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297A06D">
      <w:pPr>
        <w:keepNext w:val="0"/>
        <w:keepLines w:val="0"/>
        <w:pageBreakBefore w:val="0"/>
        <w:widowControl/>
        <w:wordWrap/>
        <w:topLinePunct w:val="0"/>
        <w:bidi w:val="0"/>
        <w:adjustRightInd w:val="0"/>
        <w:snapToGrid w:val="0"/>
        <w:spacing w:line="360" w:lineRule="auto"/>
        <w:ind w:firstLine="0" w:firstLineChars="0"/>
        <w:jc w:val="center"/>
        <w:textAlignment w:val="auto"/>
        <w:outlineLvl w:val="2"/>
        <w:rPr>
          <w:rFonts w:hint="eastAsia" w:ascii="宋体" w:hAnsi="宋体" w:eastAsia="宋体" w:cs="宋体"/>
          <w:b/>
          <w:smallCaps/>
          <w:spacing w:val="5"/>
          <w:kern w:val="0"/>
          <w:sz w:val="28"/>
          <w:szCs w:val="28"/>
          <w:highlight w:val="none"/>
        </w:rPr>
      </w:pPr>
      <w:bookmarkStart w:id="0" w:name="_Toc167116141"/>
      <w:bookmarkStart w:id="1" w:name="_Toc14948623"/>
      <w:bookmarkStart w:id="7" w:name="_GoBack"/>
      <w:bookmarkEnd w:id="7"/>
      <w:r>
        <w:rPr>
          <w:rFonts w:hint="eastAsia" w:ascii="宋体" w:hAnsi="宋体" w:eastAsia="宋体" w:cs="宋体"/>
          <w:b/>
          <w:smallCaps/>
          <w:spacing w:val="5"/>
          <w:kern w:val="0"/>
          <w:sz w:val="28"/>
          <w:szCs w:val="28"/>
          <w:highlight w:val="none"/>
        </w:rPr>
        <w:t>采购包6【具体技术（参数）要求】VTE静脉血栓栓塞症与风险评估系统</w:t>
      </w:r>
    </w:p>
    <w:p w14:paraId="0D1B38BE">
      <w:pPr>
        <w:keepNext w:val="0"/>
        <w:keepLines w:val="0"/>
        <w:pageBreakBefore w:val="0"/>
        <w:widowControl/>
        <w:wordWrap/>
        <w:topLinePunct w:val="0"/>
        <w:bidi w:val="0"/>
        <w:adjustRightInd w:val="0"/>
        <w:snapToGrid w:val="0"/>
        <w:spacing w:line="360" w:lineRule="auto"/>
        <w:ind w:firstLine="442" w:firstLineChars="200"/>
        <w:jc w:val="left"/>
        <w:textAlignment w:val="auto"/>
        <w:outlineLvl w:val="2"/>
        <w:rPr>
          <w:rFonts w:hint="eastAsia" w:ascii="宋体" w:hAnsi="宋体" w:eastAsia="宋体" w:cs="宋体"/>
          <w:b/>
          <w:smallCaps/>
          <w:spacing w:val="5"/>
          <w:kern w:val="0"/>
          <w:sz w:val="21"/>
          <w:szCs w:val="21"/>
          <w:highlight w:val="none"/>
        </w:rPr>
      </w:pPr>
      <w:r>
        <w:rPr>
          <w:rFonts w:hint="eastAsia" w:ascii="宋体" w:hAnsi="宋体" w:eastAsia="宋体" w:cs="宋体"/>
          <w:b/>
          <w:smallCaps/>
          <w:spacing w:val="5"/>
          <w:kern w:val="0"/>
          <w:sz w:val="21"/>
          <w:szCs w:val="21"/>
          <w:highlight w:val="none"/>
        </w:rPr>
        <w:t>1.★项目的主要内容</w:t>
      </w:r>
      <w:bookmarkEnd w:id="0"/>
    </w:p>
    <w:tbl>
      <w:tblPr>
        <w:tblStyle w:val="47"/>
        <w:tblW w:w="465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19"/>
        <w:gridCol w:w="5074"/>
        <w:gridCol w:w="1883"/>
      </w:tblGrid>
      <w:tr w14:paraId="1B89E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1250" w:type="pct"/>
            <w:shd w:val="clear" w:color="auto" w:fill="F2F2F2"/>
            <w:vAlign w:val="center"/>
          </w:tcPr>
          <w:p w14:paraId="04A36964">
            <w:pPr>
              <w:keepNext w:val="0"/>
              <w:keepLines w:val="0"/>
              <w:pageBreakBefore w:val="0"/>
              <w:wordWrap/>
              <w:topLinePunct w:val="0"/>
              <w:bidi w:val="0"/>
              <w:spacing w:line="240" w:lineRule="auto"/>
              <w:jc w:val="center"/>
              <w:textAlignment w:val="auto"/>
              <w:rPr>
                <w:rFonts w:hint="eastAsia" w:ascii="宋体" w:hAnsi="宋体" w:eastAsia="宋体" w:cs="宋体"/>
                <w:b/>
                <w:kern w:val="0"/>
                <w:sz w:val="21"/>
                <w:szCs w:val="21"/>
                <w:highlight w:val="none"/>
              </w:rPr>
            </w:pPr>
            <w:r>
              <w:rPr>
                <w:rFonts w:hint="eastAsia" w:ascii="宋体" w:hAnsi="宋体" w:eastAsia="宋体" w:cs="宋体"/>
                <w:b/>
                <w:kern w:val="0"/>
                <w:sz w:val="21"/>
                <w:szCs w:val="21"/>
                <w:highlight w:val="none"/>
              </w:rPr>
              <w:t>序号</w:t>
            </w:r>
          </w:p>
        </w:tc>
        <w:tc>
          <w:tcPr>
            <w:tcW w:w="2735" w:type="pct"/>
            <w:shd w:val="clear" w:color="auto" w:fill="F2F2F2"/>
            <w:vAlign w:val="center"/>
          </w:tcPr>
          <w:p w14:paraId="02E073CB">
            <w:pPr>
              <w:keepNext w:val="0"/>
              <w:keepLines w:val="0"/>
              <w:pageBreakBefore w:val="0"/>
              <w:wordWrap/>
              <w:topLinePunct w:val="0"/>
              <w:bidi w:val="0"/>
              <w:spacing w:line="240" w:lineRule="auto"/>
              <w:jc w:val="center"/>
              <w:textAlignment w:val="auto"/>
              <w:rPr>
                <w:rFonts w:hint="eastAsia" w:ascii="宋体" w:hAnsi="宋体" w:eastAsia="宋体" w:cs="宋体"/>
                <w:b/>
                <w:kern w:val="0"/>
                <w:sz w:val="21"/>
                <w:szCs w:val="21"/>
                <w:highlight w:val="none"/>
              </w:rPr>
            </w:pPr>
            <w:r>
              <w:rPr>
                <w:rFonts w:hint="eastAsia" w:ascii="宋体" w:hAnsi="宋体" w:eastAsia="宋体" w:cs="宋体"/>
                <w:b/>
                <w:kern w:val="0"/>
                <w:sz w:val="21"/>
                <w:szCs w:val="21"/>
                <w:highlight w:val="none"/>
              </w:rPr>
              <w:t>建设系统</w:t>
            </w:r>
          </w:p>
        </w:tc>
        <w:tc>
          <w:tcPr>
            <w:tcW w:w="1015" w:type="pct"/>
            <w:shd w:val="clear" w:color="auto" w:fill="F2F2F2"/>
            <w:vAlign w:val="center"/>
          </w:tcPr>
          <w:p w14:paraId="79A4E109">
            <w:pPr>
              <w:keepNext w:val="0"/>
              <w:keepLines w:val="0"/>
              <w:pageBreakBefore w:val="0"/>
              <w:wordWrap/>
              <w:topLinePunct w:val="0"/>
              <w:bidi w:val="0"/>
              <w:spacing w:line="240" w:lineRule="auto"/>
              <w:jc w:val="center"/>
              <w:textAlignment w:val="auto"/>
              <w:rPr>
                <w:rFonts w:hint="eastAsia" w:ascii="宋体" w:hAnsi="宋体" w:eastAsia="宋体" w:cs="宋体"/>
                <w:b/>
                <w:kern w:val="0"/>
                <w:sz w:val="21"/>
                <w:szCs w:val="21"/>
                <w:highlight w:val="none"/>
              </w:rPr>
            </w:pPr>
            <w:r>
              <w:rPr>
                <w:rFonts w:hint="eastAsia" w:ascii="宋体" w:hAnsi="宋体" w:eastAsia="宋体" w:cs="宋体"/>
                <w:b/>
                <w:kern w:val="0"/>
                <w:sz w:val="21"/>
                <w:szCs w:val="21"/>
                <w:highlight w:val="none"/>
              </w:rPr>
              <w:t>数量</w:t>
            </w:r>
          </w:p>
        </w:tc>
      </w:tr>
      <w:tr w14:paraId="49317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50" w:type="pct"/>
            <w:vAlign w:val="center"/>
          </w:tcPr>
          <w:p w14:paraId="211E6406">
            <w:pPr>
              <w:keepNext w:val="0"/>
              <w:keepLines w:val="0"/>
              <w:pageBreakBefore w:val="0"/>
              <w:wordWrap/>
              <w:topLinePunct w:val="0"/>
              <w:bidi w:val="0"/>
              <w:spacing w:line="240" w:lineRule="auto"/>
              <w:jc w:val="center"/>
              <w:textAlignment w:val="auto"/>
              <w:rPr>
                <w:rFonts w:hint="eastAsia" w:ascii="宋体" w:hAnsi="宋体" w:eastAsia="宋体" w:cs="宋体"/>
                <w:bCs/>
                <w:kern w:val="0"/>
                <w:sz w:val="21"/>
                <w:szCs w:val="21"/>
                <w:highlight w:val="none"/>
              </w:rPr>
            </w:pPr>
            <w:r>
              <w:rPr>
                <w:rFonts w:hint="eastAsia" w:ascii="宋体" w:hAnsi="宋体" w:eastAsia="宋体" w:cs="宋体"/>
                <w:bCs/>
                <w:kern w:val="0"/>
                <w:sz w:val="21"/>
                <w:szCs w:val="21"/>
                <w:highlight w:val="none"/>
              </w:rPr>
              <w:t>1</w:t>
            </w:r>
          </w:p>
        </w:tc>
        <w:tc>
          <w:tcPr>
            <w:tcW w:w="2735" w:type="pct"/>
            <w:vAlign w:val="center"/>
          </w:tcPr>
          <w:p w14:paraId="5E08B59B">
            <w:pPr>
              <w:keepNext w:val="0"/>
              <w:keepLines w:val="0"/>
              <w:pageBreakBefore w:val="0"/>
              <w:wordWrap/>
              <w:topLinePunct w:val="0"/>
              <w:bidi w:val="0"/>
              <w:spacing w:line="240" w:lineRule="auto"/>
              <w:jc w:val="center"/>
              <w:textAlignment w:val="auto"/>
              <w:rPr>
                <w:rFonts w:hint="eastAsia" w:ascii="宋体" w:hAnsi="宋体" w:eastAsia="宋体" w:cs="宋体"/>
                <w:bCs/>
                <w:kern w:val="0"/>
                <w:sz w:val="21"/>
                <w:szCs w:val="21"/>
                <w:highlight w:val="none"/>
                <w:lang w:val="en-US" w:eastAsia="zh-CN"/>
              </w:rPr>
            </w:pPr>
            <w:r>
              <w:rPr>
                <w:rFonts w:hint="eastAsia" w:ascii="宋体" w:hAnsi="宋体" w:eastAsia="宋体" w:cs="宋体"/>
                <w:bCs/>
                <w:kern w:val="0"/>
                <w:sz w:val="21"/>
                <w:szCs w:val="21"/>
                <w:highlight w:val="none"/>
              </w:rPr>
              <w:t>VTE静脉血栓栓塞症与风险评估</w:t>
            </w:r>
            <w:r>
              <w:rPr>
                <w:rFonts w:hint="eastAsia" w:ascii="宋体" w:hAnsi="宋体" w:cs="宋体"/>
                <w:bCs/>
                <w:kern w:val="0"/>
                <w:sz w:val="21"/>
                <w:szCs w:val="21"/>
                <w:highlight w:val="none"/>
                <w:lang w:val="en-US" w:eastAsia="zh-CN"/>
              </w:rPr>
              <w:t>系统</w:t>
            </w:r>
          </w:p>
        </w:tc>
        <w:tc>
          <w:tcPr>
            <w:tcW w:w="1015" w:type="pct"/>
            <w:vAlign w:val="center"/>
          </w:tcPr>
          <w:p w14:paraId="3EB68218">
            <w:pPr>
              <w:keepNext w:val="0"/>
              <w:keepLines w:val="0"/>
              <w:pageBreakBefore w:val="0"/>
              <w:wordWrap/>
              <w:topLinePunct w:val="0"/>
              <w:bidi w:val="0"/>
              <w:spacing w:line="240" w:lineRule="auto"/>
              <w:jc w:val="center"/>
              <w:textAlignment w:val="auto"/>
              <w:rPr>
                <w:rFonts w:hint="eastAsia" w:ascii="宋体" w:hAnsi="宋体" w:eastAsia="宋体" w:cs="宋体"/>
                <w:bCs/>
                <w:kern w:val="0"/>
                <w:sz w:val="21"/>
                <w:szCs w:val="21"/>
                <w:highlight w:val="none"/>
              </w:rPr>
            </w:pPr>
            <w:r>
              <w:rPr>
                <w:rFonts w:hint="eastAsia" w:ascii="宋体" w:hAnsi="宋体" w:eastAsia="宋体" w:cs="宋体"/>
                <w:bCs/>
                <w:kern w:val="0"/>
                <w:sz w:val="21"/>
                <w:szCs w:val="21"/>
                <w:highlight w:val="none"/>
              </w:rPr>
              <w:t>1套</w:t>
            </w:r>
          </w:p>
        </w:tc>
      </w:tr>
    </w:tbl>
    <w:p w14:paraId="6EF7AC8E">
      <w:pPr>
        <w:keepNext w:val="0"/>
        <w:keepLines w:val="0"/>
        <w:pageBreakBefore w:val="0"/>
        <w:widowControl/>
        <w:wordWrap/>
        <w:topLinePunct w:val="0"/>
        <w:bidi w:val="0"/>
        <w:adjustRightInd w:val="0"/>
        <w:snapToGrid w:val="0"/>
        <w:spacing w:line="360" w:lineRule="auto"/>
        <w:ind w:firstLine="442" w:firstLineChars="200"/>
        <w:jc w:val="left"/>
        <w:textAlignment w:val="auto"/>
        <w:outlineLvl w:val="2"/>
        <w:rPr>
          <w:rFonts w:hint="eastAsia" w:ascii="宋体" w:hAnsi="宋体" w:eastAsia="宋体" w:cs="宋体"/>
          <w:b/>
          <w:smallCaps/>
          <w:spacing w:val="5"/>
          <w:kern w:val="0"/>
          <w:sz w:val="21"/>
          <w:szCs w:val="21"/>
          <w:highlight w:val="none"/>
        </w:rPr>
      </w:pPr>
      <w:bookmarkStart w:id="2" w:name="_Toc167116142"/>
      <w:r>
        <w:rPr>
          <w:rFonts w:hint="eastAsia" w:ascii="宋体" w:hAnsi="宋体" w:eastAsia="宋体" w:cs="宋体"/>
          <w:b/>
          <w:smallCaps/>
          <w:spacing w:val="5"/>
          <w:kern w:val="0"/>
          <w:sz w:val="21"/>
          <w:szCs w:val="21"/>
          <w:highlight w:val="none"/>
        </w:rPr>
        <w:t>2.系统的实现遵循以下原则</w:t>
      </w:r>
      <w:bookmarkEnd w:id="2"/>
    </w:p>
    <w:p w14:paraId="46F5B1BD">
      <w:pPr>
        <w:keepNext w:val="0"/>
        <w:keepLines w:val="0"/>
        <w:pageBreakBefore w:val="0"/>
        <w:widowControl/>
        <w:wordWrap/>
        <w:topLinePunct w:val="0"/>
        <w:bidi w:val="0"/>
        <w:adjustRightInd w:val="0"/>
        <w:snapToGrid w:val="0"/>
        <w:spacing w:line="360" w:lineRule="auto"/>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统一标准原则：在系统建设过程中，</w:t>
      </w:r>
      <w:r>
        <w:rPr>
          <w:rFonts w:hint="eastAsia" w:ascii="宋体" w:hAnsi="宋体" w:cs="宋体"/>
          <w:kern w:val="0"/>
          <w:sz w:val="21"/>
          <w:szCs w:val="21"/>
          <w:highlight w:val="none"/>
          <w:lang w:eastAsia="zh-CN"/>
        </w:rPr>
        <w:t>应</w:t>
      </w:r>
      <w:r>
        <w:rPr>
          <w:rFonts w:hint="eastAsia" w:ascii="宋体" w:hAnsi="宋体" w:eastAsia="宋体" w:cs="宋体"/>
          <w:kern w:val="0"/>
          <w:sz w:val="21"/>
          <w:szCs w:val="21"/>
          <w:highlight w:val="none"/>
        </w:rPr>
        <w:t>“统一规范、统一代码、统一接口”。加强指导、组织和协调，规范系统的基本功能、数据模型和数据编码等信息标准。</w:t>
      </w:r>
    </w:p>
    <w:p w14:paraId="612EB3E0">
      <w:pPr>
        <w:keepNext w:val="0"/>
        <w:keepLines w:val="0"/>
        <w:pageBreakBefore w:val="0"/>
        <w:widowControl/>
        <w:wordWrap/>
        <w:topLinePunct w:val="0"/>
        <w:bidi w:val="0"/>
        <w:adjustRightInd w:val="0"/>
        <w:snapToGrid w:val="0"/>
        <w:spacing w:line="360" w:lineRule="auto"/>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性能稳定原则：系统应具有较强的数据处理能力，满足全院7×24小时服务的要求，保证医疗数据交换和资源共享的需要。</w:t>
      </w:r>
    </w:p>
    <w:p w14:paraId="48638095">
      <w:pPr>
        <w:keepNext w:val="0"/>
        <w:keepLines w:val="0"/>
        <w:pageBreakBefore w:val="0"/>
        <w:widowControl/>
        <w:wordWrap/>
        <w:topLinePunct w:val="0"/>
        <w:bidi w:val="0"/>
        <w:adjustRightInd w:val="0"/>
        <w:snapToGrid w:val="0"/>
        <w:spacing w:line="360" w:lineRule="auto"/>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保证安全原则：系统运行的安全性和稳定性是业务系统正常运行的重要保障。在系统设计和建设中要符合国家有关信息安全方面的</w:t>
      </w:r>
      <w:r>
        <w:rPr>
          <w:rFonts w:hint="eastAsia" w:ascii="宋体" w:hAnsi="宋体" w:cs="宋体"/>
          <w:kern w:val="0"/>
          <w:sz w:val="21"/>
          <w:szCs w:val="21"/>
          <w:highlight w:val="none"/>
          <w:lang w:eastAsia="zh-CN"/>
        </w:rPr>
        <w:t>法律法规</w:t>
      </w:r>
      <w:r>
        <w:rPr>
          <w:rFonts w:hint="eastAsia" w:ascii="宋体" w:hAnsi="宋体" w:eastAsia="宋体" w:cs="宋体"/>
          <w:kern w:val="0"/>
          <w:sz w:val="21"/>
          <w:szCs w:val="21"/>
          <w:highlight w:val="none"/>
        </w:rPr>
        <w:t>及技术要求，强化信息安全管理，制定和完善相关的应急处理预案，保证系统稳定运行。</w:t>
      </w:r>
    </w:p>
    <w:p w14:paraId="1281203C">
      <w:pPr>
        <w:keepNext w:val="0"/>
        <w:keepLines w:val="0"/>
        <w:pageBreakBefore w:val="0"/>
        <w:widowControl/>
        <w:wordWrap/>
        <w:topLinePunct w:val="0"/>
        <w:bidi w:val="0"/>
        <w:adjustRightInd w:val="0"/>
        <w:snapToGrid w:val="0"/>
        <w:spacing w:line="360" w:lineRule="auto"/>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经济实效原则：项目建设</w:t>
      </w:r>
      <w:r>
        <w:rPr>
          <w:rFonts w:hint="eastAsia" w:ascii="宋体" w:hAnsi="宋体" w:cs="宋体"/>
          <w:kern w:val="0"/>
          <w:sz w:val="21"/>
          <w:szCs w:val="21"/>
          <w:highlight w:val="none"/>
          <w:lang w:eastAsia="zh-CN"/>
        </w:rPr>
        <w:t>应</w:t>
      </w:r>
      <w:r>
        <w:rPr>
          <w:rFonts w:hint="eastAsia" w:ascii="宋体" w:hAnsi="宋体" w:eastAsia="宋体" w:cs="宋体"/>
          <w:kern w:val="0"/>
          <w:sz w:val="21"/>
          <w:szCs w:val="21"/>
          <w:highlight w:val="none"/>
        </w:rPr>
        <w:t>坚持经济实效的原则，注重投入产出效益，不盲目追赶技术超前，防止大起大落，以合理的投入，产出适宜的效果。</w:t>
      </w:r>
    </w:p>
    <w:p w14:paraId="3E5ECC76">
      <w:pPr>
        <w:keepNext w:val="0"/>
        <w:keepLines w:val="0"/>
        <w:pageBreakBefore w:val="0"/>
        <w:widowControl/>
        <w:wordWrap/>
        <w:topLinePunct w:val="0"/>
        <w:bidi w:val="0"/>
        <w:adjustRightInd w:val="0"/>
        <w:snapToGrid w:val="0"/>
        <w:spacing w:line="360" w:lineRule="auto"/>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扩展性、兼容性原则：项目的设计和实施应具有灵活的扩展能力，充分考虑国家相关标准和业务系统需求变化对数据格式、处理方式等带来的业务流程变动和模式调整。</w:t>
      </w:r>
    </w:p>
    <w:p w14:paraId="41E1CE07">
      <w:pPr>
        <w:keepNext w:val="0"/>
        <w:keepLines w:val="0"/>
        <w:pageBreakBefore w:val="0"/>
        <w:widowControl/>
        <w:wordWrap/>
        <w:topLinePunct w:val="0"/>
        <w:bidi w:val="0"/>
        <w:adjustRightInd w:val="0"/>
        <w:snapToGrid w:val="0"/>
        <w:spacing w:line="360" w:lineRule="auto"/>
        <w:ind w:firstLine="442" w:firstLineChars="200"/>
        <w:jc w:val="left"/>
        <w:textAlignment w:val="auto"/>
        <w:outlineLvl w:val="2"/>
        <w:rPr>
          <w:rFonts w:hint="eastAsia" w:ascii="宋体" w:hAnsi="宋体" w:eastAsia="宋体" w:cs="宋体"/>
          <w:b/>
          <w:smallCaps/>
          <w:spacing w:val="5"/>
          <w:kern w:val="0"/>
          <w:sz w:val="21"/>
          <w:szCs w:val="21"/>
          <w:highlight w:val="none"/>
        </w:rPr>
      </w:pPr>
      <w:bookmarkStart w:id="3" w:name="_Toc167116143"/>
      <w:r>
        <w:rPr>
          <w:rFonts w:hint="eastAsia" w:ascii="宋体" w:hAnsi="宋体" w:eastAsia="宋体" w:cs="宋体"/>
          <w:b/>
          <w:smallCaps/>
          <w:spacing w:val="5"/>
          <w:kern w:val="0"/>
          <w:sz w:val="21"/>
          <w:szCs w:val="21"/>
          <w:highlight w:val="none"/>
        </w:rPr>
        <w:t>3.系统实施的标准要求</w:t>
      </w:r>
      <w:bookmarkEnd w:id="3"/>
    </w:p>
    <w:p w14:paraId="2BFDF398">
      <w:pPr>
        <w:keepNext w:val="0"/>
        <w:keepLines w:val="0"/>
        <w:pageBreakBefore w:val="0"/>
        <w:widowControl/>
        <w:wordWrap/>
        <w:topLinePunct w:val="0"/>
        <w:bidi w:val="0"/>
        <w:adjustRightInd w:val="0"/>
        <w:snapToGrid w:val="0"/>
        <w:spacing w:line="360" w:lineRule="auto"/>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系统</w:t>
      </w:r>
      <w:r>
        <w:rPr>
          <w:rFonts w:hint="eastAsia" w:ascii="宋体" w:hAnsi="宋体" w:cs="宋体"/>
          <w:kern w:val="0"/>
          <w:sz w:val="21"/>
          <w:szCs w:val="21"/>
          <w:highlight w:val="none"/>
          <w:lang w:eastAsia="zh-CN"/>
        </w:rPr>
        <w:t>应</w:t>
      </w:r>
      <w:r>
        <w:rPr>
          <w:rFonts w:hint="eastAsia" w:ascii="宋体" w:hAnsi="宋体" w:eastAsia="宋体" w:cs="宋体"/>
          <w:kern w:val="0"/>
          <w:sz w:val="21"/>
          <w:szCs w:val="21"/>
          <w:highlight w:val="none"/>
        </w:rPr>
        <w:t>遵循《国家卫生信息标准基础框架》制定的统一的技术规范和相关数据共享要求。采用多层软件体系架构，以便能随时适应未来的新的需求调整，实现各级卫生部门、各业务系统的信息服务共享及各种服务的快速整合与快速响应。</w:t>
      </w:r>
    </w:p>
    <w:p w14:paraId="479AA411">
      <w:pPr>
        <w:keepNext w:val="0"/>
        <w:keepLines w:val="0"/>
        <w:pageBreakBefore w:val="0"/>
        <w:widowControl/>
        <w:wordWrap/>
        <w:topLinePunct w:val="0"/>
        <w:bidi w:val="0"/>
        <w:adjustRightInd w:val="0"/>
        <w:snapToGrid w:val="0"/>
        <w:spacing w:line="360" w:lineRule="auto"/>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系统设计和使用</w:t>
      </w:r>
      <w:r>
        <w:rPr>
          <w:rFonts w:hint="eastAsia" w:ascii="宋体" w:hAnsi="宋体" w:cs="宋体"/>
          <w:kern w:val="0"/>
          <w:sz w:val="21"/>
          <w:szCs w:val="21"/>
          <w:highlight w:val="none"/>
          <w:lang w:eastAsia="zh-CN"/>
        </w:rPr>
        <w:t>应</w:t>
      </w:r>
      <w:r>
        <w:rPr>
          <w:rFonts w:hint="eastAsia" w:ascii="宋体" w:hAnsi="宋体" w:eastAsia="宋体" w:cs="宋体"/>
          <w:kern w:val="0"/>
          <w:sz w:val="21"/>
          <w:szCs w:val="21"/>
          <w:highlight w:val="none"/>
        </w:rPr>
        <w:t>确保数据的准确性、可靠性、完整性、连续性、安全性及保密性。在网络环境下，需要使用多种技术手段保护数据的安全。应符合国家及医疗卫生行业的相关信息化和数据标准或规范，如HL7 CDA、DICOM、IHE XDS、XML、ICD10、电子病历国家标准、中华人民共和国计算机信息系统安全保护条例、中华人民共和国保密法、中国计算机安全法规标准等，在大量数据环境下能保证系统的运行速度；能确保数据存储及共享的标准化。</w:t>
      </w:r>
    </w:p>
    <w:p w14:paraId="058029A1">
      <w:pPr>
        <w:keepNext w:val="0"/>
        <w:keepLines w:val="0"/>
        <w:pageBreakBefore w:val="0"/>
        <w:widowControl/>
        <w:wordWrap/>
        <w:topLinePunct w:val="0"/>
        <w:bidi w:val="0"/>
        <w:adjustRightInd w:val="0"/>
        <w:snapToGrid w:val="0"/>
        <w:spacing w:line="360" w:lineRule="auto"/>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1）优先参照国家统一标准，凡已公布国家/行业标准的遵循国家/行业标准；无国家/行业标准的参考国际标准、外国国家标准。</w:t>
      </w:r>
    </w:p>
    <w:p w14:paraId="0AE09711">
      <w:pPr>
        <w:keepNext w:val="0"/>
        <w:keepLines w:val="0"/>
        <w:pageBreakBefore w:val="0"/>
        <w:widowControl/>
        <w:wordWrap/>
        <w:topLinePunct w:val="0"/>
        <w:bidi w:val="0"/>
        <w:adjustRightInd w:val="0"/>
        <w:snapToGrid w:val="0"/>
        <w:spacing w:line="360" w:lineRule="auto"/>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2）如果国家、国际没有相应标准，参考国内省市已经形成的标准、规范。</w:t>
      </w:r>
    </w:p>
    <w:p w14:paraId="0AF62581">
      <w:pPr>
        <w:keepNext w:val="0"/>
        <w:keepLines w:val="0"/>
        <w:pageBreakBefore w:val="0"/>
        <w:widowControl/>
        <w:wordWrap/>
        <w:topLinePunct w:val="0"/>
        <w:bidi w:val="0"/>
        <w:adjustRightInd w:val="0"/>
        <w:snapToGrid w:val="0"/>
        <w:spacing w:line="360" w:lineRule="auto"/>
        <w:ind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3）如果国家、国际、省市都没有相应标准，自建区标准。需自建信息字典的编制和维护，卫生信息标准的引用和参照。</w:t>
      </w:r>
    </w:p>
    <w:p w14:paraId="0F756CA5">
      <w:pPr>
        <w:keepNext w:val="0"/>
        <w:keepLines w:val="0"/>
        <w:pageBreakBefore w:val="0"/>
        <w:widowControl/>
        <w:wordWrap/>
        <w:topLinePunct w:val="0"/>
        <w:bidi w:val="0"/>
        <w:adjustRightInd w:val="0"/>
        <w:snapToGrid w:val="0"/>
        <w:spacing w:line="360" w:lineRule="auto"/>
        <w:ind w:firstLine="442" w:firstLineChars="200"/>
        <w:jc w:val="left"/>
        <w:textAlignment w:val="auto"/>
        <w:outlineLvl w:val="2"/>
        <w:rPr>
          <w:rFonts w:hint="eastAsia" w:ascii="宋体" w:hAnsi="宋体" w:eastAsia="宋体" w:cs="宋体"/>
          <w:b/>
          <w:smallCaps/>
          <w:spacing w:val="5"/>
          <w:kern w:val="0"/>
          <w:sz w:val="21"/>
          <w:szCs w:val="21"/>
          <w:highlight w:val="none"/>
        </w:rPr>
      </w:pPr>
      <w:bookmarkStart w:id="4" w:name="_Toc167116144"/>
      <w:r>
        <w:rPr>
          <w:rFonts w:hint="eastAsia" w:ascii="宋体" w:hAnsi="宋体" w:eastAsia="宋体" w:cs="宋体"/>
          <w:b/>
          <w:smallCaps/>
          <w:spacing w:val="5"/>
          <w:kern w:val="0"/>
          <w:sz w:val="21"/>
          <w:szCs w:val="21"/>
          <w:highlight w:val="none"/>
        </w:rPr>
        <w:t>4.系统评审要求</w:t>
      </w:r>
      <w:bookmarkEnd w:id="4"/>
    </w:p>
    <w:p w14:paraId="1BAC1A82">
      <w:pPr>
        <w:keepNext w:val="0"/>
        <w:keepLines w:val="0"/>
        <w:pageBreakBefore w:val="0"/>
        <w:widowControl/>
        <w:numPr>
          <w:ilvl w:val="0"/>
          <w:numId w:val="1"/>
        </w:numPr>
        <w:wordWrap/>
        <w:topLinePunct w:val="0"/>
        <w:bidi w:val="0"/>
        <w:adjustRightInd w:val="0"/>
        <w:snapToGrid w:val="0"/>
        <w:spacing w:line="360" w:lineRule="auto"/>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提供的软件版本</w:t>
      </w:r>
      <w:r>
        <w:rPr>
          <w:rFonts w:hint="eastAsia" w:ascii="宋体" w:hAnsi="宋体" w:cs="宋体"/>
          <w:kern w:val="0"/>
          <w:sz w:val="21"/>
          <w:szCs w:val="21"/>
          <w:highlight w:val="none"/>
          <w:lang w:val="en-US" w:eastAsia="zh-CN"/>
        </w:rPr>
        <w:t>能</w:t>
      </w:r>
      <w:r>
        <w:rPr>
          <w:rFonts w:hint="eastAsia" w:ascii="宋体" w:hAnsi="宋体" w:eastAsia="宋体" w:cs="宋体"/>
          <w:kern w:val="0"/>
          <w:sz w:val="21"/>
          <w:szCs w:val="21"/>
          <w:highlight w:val="none"/>
        </w:rPr>
        <w:t>配合</w:t>
      </w:r>
      <w:r>
        <w:rPr>
          <w:rFonts w:hint="eastAsia" w:ascii="宋体" w:hAnsi="宋体" w:cs="宋体"/>
          <w:kern w:val="0"/>
          <w:sz w:val="21"/>
          <w:szCs w:val="21"/>
          <w:highlight w:val="none"/>
          <w:lang w:val="en-US" w:eastAsia="zh-CN"/>
        </w:rPr>
        <w:t>采购人</w:t>
      </w:r>
      <w:r>
        <w:rPr>
          <w:rFonts w:hint="eastAsia" w:ascii="宋体" w:hAnsi="宋体" w:eastAsia="宋体" w:cs="宋体"/>
          <w:kern w:val="0"/>
          <w:sz w:val="21"/>
          <w:szCs w:val="21"/>
          <w:highlight w:val="none"/>
        </w:rPr>
        <w:t>通过5级电子病历评审工作。</w:t>
      </w:r>
    </w:p>
    <w:p w14:paraId="099567A0">
      <w:pPr>
        <w:keepNext w:val="0"/>
        <w:keepLines w:val="0"/>
        <w:pageBreakBefore w:val="0"/>
        <w:widowControl/>
        <w:numPr>
          <w:ilvl w:val="0"/>
          <w:numId w:val="1"/>
        </w:numPr>
        <w:wordWrap/>
        <w:topLinePunct w:val="0"/>
        <w:bidi w:val="0"/>
        <w:adjustRightInd w:val="0"/>
        <w:snapToGrid w:val="0"/>
        <w:spacing w:line="360" w:lineRule="auto"/>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具备通过6级电子病历要求的技术能力，并具备通过6级电子病历评审要求。</w:t>
      </w:r>
    </w:p>
    <w:p w14:paraId="59766C81">
      <w:pPr>
        <w:keepNext w:val="0"/>
        <w:keepLines w:val="0"/>
        <w:pageBreakBefore w:val="0"/>
        <w:widowControl/>
        <w:numPr>
          <w:ilvl w:val="0"/>
          <w:numId w:val="1"/>
        </w:numPr>
        <w:wordWrap/>
        <w:topLinePunct w:val="0"/>
        <w:bidi w:val="0"/>
        <w:adjustRightInd w:val="0"/>
        <w:snapToGrid w:val="0"/>
        <w:spacing w:line="360" w:lineRule="auto"/>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提供的软件版本</w:t>
      </w:r>
      <w:r>
        <w:rPr>
          <w:rFonts w:hint="eastAsia" w:ascii="宋体" w:hAnsi="宋体" w:cs="宋体"/>
          <w:kern w:val="0"/>
          <w:sz w:val="21"/>
          <w:szCs w:val="21"/>
          <w:highlight w:val="none"/>
          <w:lang w:val="en-US" w:eastAsia="zh-CN"/>
        </w:rPr>
        <w:t>能</w:t>
      </w:r>
      <w:r>
        <w:rPr>
          <w:rFonts w:hint="eastAsia" w:ascii="宋体" w:hAnsi="宋体" w:eastAsia="宋体" w:cs="宋体"/>
          <w:kern w:val="0"/>
          <w:sz w:val="21"/>
          <w:szCs w:val="21"/>
          <w:highlight w:val="none"/>
        </w:rPr>
        <w:t>配合</w:t>
      </w:r>
      <w:r>
        <w:rPr>
          <w:rFonts w:hint="eastAsia" w:ascii="宋体" w:hAnsi="宋体" w:cs="宋体"/>
          <w:kern w:val="0"/>
          <w:sz w:val="21"/>
          <w:szCs w:val="21"/>
          <w:highlight w:val="none"/>
          <w:lang w:val="en-US" w:eastAsia="zh-CN"/>
        </w:rPr>
        <w:t>采购人</w:t>
      </w:r>
      <w:r>
        <w:rPr>
          <w:rFonts w:hint="eastAsia" w:ascii="宋体" w:hAnsi="宋体" w:eastAsia="宋体" w:cs="宋体"/>
          <w:kern w:val="0"/>
          <w:sz w:val="21"/>
          <w:szCs w:val="21"/>
          <w:highlight w:val="none"/>
        </w:rPr>
        <w:t>通过互联互通五乙评审工作。</w:t>
      </w:r>
    </w:p>
    <w:p w14:paraId="0E861BAB">
      <w:pPr>
        <w:keepNext w:val="0"/>
        <w:keepLines w:val="0"/>
        <w:pageBreakBefore w:val="0"/>
        <w:widowControl/>
        <w:numPr>
          <w:ilvl w:val="0"/>
          <w:numId w:val="1"/>
        </w:numPr>
        <w:wordWrap/>
        <w:topLinePunct w:val="0"/>
        <w:bidi w:val="0"/>
        <w:adjustRightInd w:val="0"/>
        <w:snapToGrid w:val="0"/>
        <w:spacing w:line="360" w:lineRule="auto"/>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配合</w:t>
      </w:r>
      <w:r>
        <w:rPr>
          <w:rFonts w:hint="eastAsia" w:ascii="宋体" w:hAnsi="宋体" w:cs="宋体"/>
          <w:kern w:val="0"/>
          <w:sz w:val="21"/>
          <w:szCs w:val="21"/>
          <w:highlight w:val="none"/>
          <w:lang w:val="en-US" w:eastAsia="zh-CN"/>
        </w:rPr>
        <w:t>采购人</w:t>
      </w:r>
      <w:r>
        <w:rPr>
          <w:rFonts w:hint="eastAsia" w:ascii="宋体" w:hAnsi="宋体" w:eastAsia="宋体" w:cs="宋体"/>
          <w:kern w:val="0"/>
          <w:sz w:val="21"/>
          <w:szCs w:val="21"/>
          <w:highlight w:val="none"/>
        </w:rPr>
        <w:t>通过智慧服务三级、智慧管理三级评审工作。</w:t>
      </w:r>
    </w:p>
    <w:p w14:paraId="122DB1CD">
      <w:pPr>
        <w:keepNext w:val="0"/>
        <w:keepLines w:val="0"/>
        <w:pageBreakBefore w:val="0"/>
        <w:widowControl/>
        <w:numPr>
          <w:ilvl w:val="0"/>
          <w:numId w:val="1"/>
        </w:numPr>
        <w:wordWrap/>
        <w:topLinePunct w:val="0"/>
        <w:bidi w:val="0"/>
        <w:adjustRightInd w:val="0"/>
        <w:snapToGrid w:val="0"/>
        <w:spacing w:line="360" w:lineRule="auto"/>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提供的软件版本</w:t>
      </w:r>
      <w:r>
        <w:rPr>
          <w:rFonts w:hint="eastAsia" w:ascii="宋体" w:hAnsi="宋体" w:cs="宋体"/>
          <w:kern w:val="0"/>
          <w:sz w:val="21"/>
          <w:szCs w:val="21"/>
          <w:highlight w:val="none"/>
          <w:lang w:val="en-US" w:eastAsia="zh-CN"/>
        </w:rPr>
        <w:t>能</w:t>
      </w:r>
      <w:r>
        <w:rPr>
          <w:rFonts w:hint="eastAsia" w:ascii="宋体" w:hAnsi="宋体" w:eastAsia="宋体" w:cs="宋体"/>
          <w:kern w:val="0"/>
          <w:sz w:val="21"/>
          <w:szCs w:val="21"/>
          <w:highlight w:val="none"/>
        </w:rPr>
        <w:t>配合</w:t>
      </w:r>
      <w:r>
        <w:rPr>
          <w:rFonts w:hint="eastAsia" w:ascii="宋体" w:hAnsi="宋体" w:cs="宋体"/>
          <w:kern w:val="0"/>
          <w:sz w:val="21"/>
          <w:szCs w:val="21"/>
          <w:highlight w:val="none"/>
          <w:lang w:val="en-US" w:eastAsia="zh-CN"/>
        </w:rPr>
        <w:t>采购人</w:t>
      </w:r>
      <w:r>
        <w:rPr>
          <w:rFonts w:hint="eastAsia" w:ascii="宋体" w:hAnsi="宋体" w:eastAsia="宋体" w:cs="宋体"/>
          <w:kern w:val="0"/>
          <w:sz w:val="21"/>
          <w:szCs w:val="21"/>
          <w:highlight w:val="none"/>
        </w:rPr>
        <w:t>通过三甲医院评审工作。</w:t>
      </w:r>
    </w:p>
    <w:p w14:paraId="42569301">
      <w:pPr>
        <w:keepNext w:val="0"/>
        <w:keepLines w:val="0"/>
        <w:pageBreakBefore w:val="0"/>
        <w:widowControl/>
        <w:wordWrap/>
        <w:topLinePunct w:val="0"/>
        <w:bidi w:val="0"/>
        <w:adjustRightInd w:val="0"/>
        <w:snapToGrid w:val="0"/>
        <w:spacing w:line="360" w:lineRule="auto"/>
        <w:ind w:firstLine="442" w:firstLineChars="200"/>
        <w:jc w:val="left"/>
        <w:textAlignment w:val="auto"/>
        <w:outlineLvl w:val="2"/>
        <w:rPr>
          <w:rFonts w:hint="eastAsia" w:ascii="宋体" w:hAnsi="宋体" w:eastAsia="宋体" w:cs="宋体"/>
          <w:b/>
          <w:smallCaps/>
          <w:spacing w:val="5"/>
          <w:kern w:val="0"/>
          <w:sz w:val="21"/>
          <w:szCs w:val="21"/>
          <w:highlight w:val="none"/>
        </w:rPr>
      </w:pPr>
      <w:bookmarkStart w:id="5" w:name="_Toc167116145"/>
      <w:r>
        <w:rPr>
          <w:rFonts w:hint="eastAsia" w:ascii="宋体" w:hAnsi="宋体" w:eastAsia="宋体" w:cs="宋体"/>
          <w:b/>
          <w:smallCaps/>
          <w:spacing w:val="5"/>
          <w:kern w:val="0"/>
          <w:sz w:val="21"/>
          <w:szCs w:val="21"/>
          <w:highlight w:val="none"/>
        </w:rPr>
        <w:t>5.系统功能需求</w:t>
      </w:r>
      <w:bookmarkEnd w:id="5"/>
    </w:p>
    <w:p w14:paraId="53B963A2">
      <w:pPr>
        <w:keepNext w:val="0"/>
        <w:keepLines w:val="0"/>
        <w:pageBreakBefore w:val="0"/>
        <w:widowControl/>
        <w:numPr>
          <w:ilvl w:val="1"/>
          <w:numId w:val="0"/>
        </w:numPr>
        <w:wordWrap/>
        <w:topLinePunct w:val="0"/>
        <w:bidi w:val="0"/>
        <w:adjustRightInd w:val="0"/>
        <w:snapToGrid w:val="0"/>
        <w:spacing w:line="360" w:lineRule="auto"/>
        <w:ind w:firstLine="422" w:firstLineChars="200"/>
        <w:jc w:val="left"/>
        <w:textAlignment w:val="auto"/>
        <w:outlineLvl w:val="3"/>
        <w:rPr>
          <w:rFonts w:hint="eastAsia" w:ascii="宋体" w:hAnsi="宋体" w:eastAsia="宋体" w:cs="宋体"/>
          <w:b/>
          <w:smallCaps/>
          <w:kern w:val="0"/>
          <w:sz w:val="21"/>
          <w:szCs w:val="21"/>
          <w:highlight w:val="none"/>
        </w:rPr>
      </w:pPr>
      <w:r>
        <w:rPr>
          <w:rFonts w:hint="eastAsia" w:ascii="宋体" w:hAnsi="宋体" w:eastAsia="宋体" w:cs="宋体"/>
          <w:b/>
          <w:smallCaps/>
          <w:kern w:val="0"/>
          <w:sz w:val="21"/>
          <w:szCs w:val="21"/>
          <w:highlight w:val="none"/>
        </w:rPr>
        <w:t>5.1系统技术规格基本要求</w:t>
      </w:r>
    </w:p>
    <w:p w14:paraId="01C1AE41">
      <w:pPr>
        <w:keepNext w:val="0"/>
        <w:keepLines w:val="0"/>
        <w:pageBreakBefore w:val="0"/>
        <w:widowControl/>
        <w:numPr>
          <w:ilvl w:val="0"/>
          <w:numId w:val="2"/>
        </w:numPr>
        <w:wordWrap/>
        <w:topLinePunct w:val="0"/>
        <w:bidi w:val="0"/>
        <w:spacing w:line="360" w:lineRule="auto"/>
        <w:ind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安全要求：系统服务器</w:t>
      </w:r>
      <w:r>
        <w:rPr>
          <w:rFonts w:hint="eastAsia" w:ascii="宋体" w:hAnsi="宋体" w:cs="宋体"/>
          <w:sz w:val="21"/>
          <w:szCs w:val="21"/>
          <w:highlight w:val="none"/>
          <w:lang w:eastAsia="zh-CN"/>
        </w:rPr>
        <w:t>应</w:t>
      </w:r>
      <w:r>
        <w:rPr>
          <w:rFonts w:hint="eastAsia" w:ascii="宋体" w:hAnsi="宋体" w:eastAsia="宋体" w:cs="宋体"/>
          <w:sz w:val="21"/>
          <w:szCs w:val="21"/>
          <w:highlight w:val="none"/>
        </w:rPr>
        <w:t>在医院内网安装。</w:t>
      </w:r>
    </w:p>
    <w:p w14:paraId="3AA48E47">
      <w:pPr>
        <w:keepNext w:val="0"/>
        <w:keepLines w:val="0"/>
        <w:pageBreakBefore w:val="0"/>
        <w:widowControl/>
        <w:numPr>
          <w:ilvl w:val="0"/>
          <w:numId w:val="2"/>
        </w:numPr>
        <w:wordWrap/>
        <w:topLinePunct w:val="0"/>
        <w:bidi w:val="0"/>
        <w:spacing w:line="360" w:lineRule="auto"/>
        <w:ind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接口要求</w:t>
      </w:r>
    </w:p>
    <w:p w14:paraId="3A053603">
      <w:pPr>
        <w:keepNext w:val="0"/>
        <w:keepLines w:val="0"/>
        <w:pageBreakBefore w:val="0"/>
        <w:widowControl/>
        <w:numPr>
          <w:ilvl w:val="1"/>
          <w:numId w:val="2"/>
        </w:numPr>
        <w:wordWrap/>
        <w:topLinePunct w:val="0"/>
        <w:bidi w:val="0"/>
        <w:spacing w:line="360" w:lineRule="auto"/>
        <w:ind w:left="851" w:firstLine="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符合</w:t>
      </w:r>
      <w:r>
        <w:rPr>
          <w:rFonts w:hint="eastAsia" w:ascii="宋体" w:hAnsi="宋体" w:cs="宋体"/>
          <w:sz w:val="21"/>
          <w:szCs w:val="21"/>
          <w:highlight w:val="none"/>
          <w:lang w:eastAsia="zh-CN"/>
        </w:rPr>
        <w:t>原卫计委</w:t>
      </w:r>
      <w:r>
        <w:rPr>
          <w:rFonts w:hint="eastAsia" w:ascii="宋体" w:hAnsi="宋体" w:eastAsia="宋体" w:cs="宋体"/>
          <w:sz w:val="21"/>
          <w:szCs w:val="21"/>
          <w:highlight w:val="none"/>
        </w:rPr>
        <w:t>颁布的《医院信息系统功能基本规范》；</w:t>
      </w:r>
    </w:p>
    <w:p w14:paraId="6A4525FA">
      <w:pPr>
        <w:keepNext w:val="0"/>
        <w:keepLines w:val="0"/>
        <w:pageBreakBefore w:val="0"/>
        <w:widowControl/>
        <w:numPr>
          <w:ilvl w:val="1"/>
          <w:numId w:val="2"/>
        </w:numPr>
        <w:wordWrap/>
        <w:topLinePunct w:val="0"/>
        <w:bidi w:val="0"/>
        <w:spacing w:line="360" w:lineRule="auto"/>
        <w:ind w:left="851" w:firstLine="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符合</w:t>
      </w:r>
      <w:r>
        <w:rPr>
          <w:rFonts w:hint="eastAsia" w:ascii="宋体" w:hAnsi="宋体" w:cs="宋体"/>
          <w:sz w:val="21"/>
          <w:szCs w:val="21"/>
          <w:highlight w:val="none"/>
          <w:lang w:eastAsia="zh-CN"/>
        </w:rPr>
        <w:t>原卫计委</w:t>
      </w:r>
      <w:r>
        <w:rPr>
          <w:rFonts w:hint="eastAsia" w:ascii="宋体" w:hAnsi="宋体" w:eastAsia="宋体" w:cs="宋体"/>
          <w:sz w:val="21"/>
          <w:szCs w:val="21"/>
          <w:highlight w:val="none"/>
        </w:rPr>
        <w:t>颁布的《电子病历系统功能规范（试行）》；</w:t>
      </w:r>
    </w:p>
    <w:p w14:paraId="60A88700">
      <w:pPr>
        <w:keepNext w:val="0"/>
        <w:keepLines w:val="0"/>
        <w:pageBreakBefore w:val="0"/>
        <w:widowControl/>
        <w:numPr>
          <w:ilvl w:val="1"/>
          <w:numId w:val="2"/>
        </w:numPr>
        <w:wordWrap/>
        <w:topLinePunct w:val="0"/>
        <w:bidi w:val="0"/>
        <w:spacing w:line="360" w:lineRule="auto"/>
        <w:ind w:left="851" w:firstLine="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符合</w:t>
      </w:r>
      <w:r>
        <w:rPr>
          <w:rFonts w:hint="eastAsia" w:ascii="宋体" w:hAnsi="宋体" w:cs="宋体"/>
          <w:sz w:val="21"/>
          <w:szCs w:val="21"/>
          <w:highlight w:val="none"/>
          <w:lang w:eastAsia="zh-CN"/>
        </w:rPr>
        <w:t>原卫计委</w:t>
      </w:r>
      <w:r>
        <w:rPr>
          <w:rFonts w:hint="eastAsia" w:ascii="宋体" w:hAnsi="宋体" w:eastAsia="宋体" w:cs="宋体"/>
          <w:sz w:val="21"/>
          <w:szCs w:val="21"/>
          <w:highlight w:val="none"/>
        </w:rPr>
        <w:t>颁发的《电子病历系统功能应用水平分级评价方法及标准（试行）》；</w:t>
      </w:r>
    </w:p>
    <w:p w14:paraId="6D4CDDC0">
      <w:pPr>
        <w:keepNext w:val="0"/>
        <w:keepLines w:val="0"/>
        <w:pageBreakBefore w:val="0"/>
        <w:widowControl/>
        <w:numPr>
          <w:ilvl w:val="1"/>
          <w:numId w:val="2"/>
        </w:numPr>
        <w:wordWrap/>
        <w:topLinePunct w:val="0"/>
        <w:bidi w:val="0"/>
        <w:spacing w:line="360" w:lineRule="auto"/>
        <w:ind w:left="851" w:firstLine="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能够与医院住院电子病历对接，获取电子病历中的数据内容，包括但不限于主诉、现病史、既往史等信息。</w:t>
      </w:r>
    </w:p>
    <w:p w14:paraId="6209DC54">
      <w:pPr>
        <w:keepNext w:val="0"/>
        <w:keepLines w:val="0"/>
        <w:pageBreakBefore w:val="0"/>
        <w:widowControl/>
        <w:numPr>
          <w:ilvl w:val="1"/>
          <w:numId w:val="2"/>
        </w:numPr>
        <w:wordWrap/>
        <w:topLinePunct w:val="0"/>
        <w:bidi w:val="0"/>
        <w:spacing w:line="360" w:lineRule="auto"/>
        <w:ind w:left="851" w:firstLine="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能够与医院集成平台对接，获取集成平台中的数据内容，包括但不限于患者检验结果、检查报告、医嘱内容等；</w:t>
      </w:r>
    </w:p>
    <w:p w14:paraId="5003235B">
      <w:pPr>
        <w:keepNext w:val="0"/>
        <w:keepLines w:val="0"/>
        <w:pageBreakBefore w:val="0"/>
        <w:widowControl/>
        <w:numPr>
          <w:ilvl w:val="1"/>
          <w:numId w:val="2"/>
        </w:numPr>
        <w:wordWrap/>
        <w:topLinePunct w:val="0"/>
        <w:bidi w:val="0"/>
        <w:spacing w:line="360" w:lineRule="auto"/>
        <w:ind w:left="851" w:firstLine="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能够与医院医嘱对接，获取医嘱信息，包括但不限于药品、检验、检查、手术医嘱；</w:t>
      </w:r>
    </w:p>
    <w:p w14:paraId="5747186C">
      <w:pPr>
        <w:keepNext w:val="0"/>
        <w:keepLines w:val="0"/>
        <w:pageBreakBefore w:val="0"/>
        <w:widowControl/>
        <w:numPr>
          <w:ilvl w:val="1"/>
          <w:numId w:val="2"/>
        </w:numPr>
        <w:wordWrap/>
        <w:topLinePunct w:val="0"/>
        <w:bidi w:val="0"/>
        <w:spacing w:line="360" w:lineRule="auto"/>
        <w:ind w:left="851" w:firstLine="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能够与医院护理系统进行对接，支持页面外挂，允许护理人员在同一界面下进行护理记录及VTE记录的编辑。</w:t>
      </w:r>
    </w:p>
    <w:p w14:paraId="328023E8">
      <w:pPr>
        <w:keepNext w:val="0"/>
        <w:keepLines w:val="0"/>
        <w:pageBreakBefore w:val="0"/>
        <w:widowControl/>
        <w:numPr>
          <w:ilvl w:val="0"/>
          <w:numId w:val="2"/>
        </w:numPr>
        <w:wordWrap/>
        <w:topLinePunct w:val="0"/>
        <w:bidi w:val="0"/>
        <w:spacing w:line="360" w:lineRule="auto"/>
        <w:ind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性能要求：提供不同级别，不同故障情况下的应用系统的应急预案（指技术实现方案）。避免因计算机故障导致的医疗工作的延迟和医疗差错。</w:t>
      </w:r>
    </w:p>
    <w:p w14:paraId="6EC58D6C">
      <w:pPr>
        <w:keepNext w:val="0"/>
        <w:keepLines w:val="0"/>
        <w:pageBreakBefore w:val="0"/>
        <w:widowControl/>
        <w:numPr>
          <w:ilvl w:val="0"/>
          <w:numId w:val="2"/>
        </w:numPr>
        <w:wordWrap/>
        <w:topLinePunct w:val="0"/>
        <w:bidi w:val="0"/>
        <w:spacing w:line="360" w:lineRule="auto"/>
        <w:ind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数据格式化要求：不需要电子病历实现结构化录入，可以从非结构化电子病历内容中，通过机器学习，自动抽取结构化信息。</w:t>
      </w:r>
    </w:p>
    <w:p w14:paraId="1E104E39">
      <w:pPr>
        <w:keepNext w:val="0"/>
        <w:keepLines w:val="0"/>
        <w:pageBreakBefore w:val="0"/>
        <w:widowControl/>
        <w:numPr>
          <w:ilvl w:val="0"/>
          <w:numId w:val="2"/>
        </w:numPr>
        <w:wordWrap/>
        <w:topLinePunct w:val="0"/>
        <w:bidi w:val="0"/>
        <w:spacing w:line="360" w:lineRule="auto"/>
        <w:ind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终端用户操作性能指标：软件系统要体现易于理解掌握、操作简单、提示清晰、逻辑性强，直观简洁、帮助信息丰富等特点，保证操作人员以最快速度和最少的击键次数完成工作。</w:t>
      </w:r>
    </w:p>
    <w:p w14:paraId="6585BCA3">
      <w:pPr>
        <w:keepNext w:val="0"/>
        <w:keepLines w:val="0"/>
        <w:pageBreakBefore w:val="0"/>
        <w:widowControl/>
        <w:numPr>
          <w:ilvl w:val="1"/>
          <w:numId w:val="0"/>
        </w:numPr>
        <w:wordWrap/>
        <w:topLinePunct w:val="0"/>
        <w:bidi w:val="0"/>
        <w:adjustRightInd w:val="0"/>
        <w:snapToGrid w:val="0"/>
        <w:spacing w:line="360" w:lineRule="auto"/>
        <w:ind w:firstLine="422" w:firstLineChars="200"/>
        <w:jc w:val="left"/>
        <w:textAlignment w:val="auto"/>
        <w:outlineLvl w:val="3"/>
        <w:rPr>
          <w:rFonts w:hint="eastAsia" w:ascii="宋体" w:hAnsi="宋体" w:eastAsia="宋体" w:cs="宋体"/>
          <w:b/>
          <w:smallCaps/>
          <w:kern w:val="0"/>
          <w:sz w:val="21"/>
          <w:szCs w:val="21"/>
          <w:highlight w:val="none"/>
        </w:rPr>
      </w:pPr>
      <w:r>
        <w:rPr>
          <w:rFonts w:hint="eastAsia" w:ascii="宋体" w:hAnsi="宋体" w:eastAsia="宋体" w:cs="宋体"/>
          <w:b/>
          <w:smallCaps/>
          <w:kern w:val="0"/>
          <w:sz w:val="21"/>
          <w:szCs w:val="21"/>
          <w:highlight w:val="none"/>
        </w:rPr>
        <w:t>5.2系统详细功能要求</w:t>
      </w:r>
    </w:p>
    <w:tbl>
      <w:tblPr>
        <w:tblStyle w:val="4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93"/>
        <w:gridCol w:w="1491"/>
        <w:gridCol w:w="2"/>
        <w:gridCol w:w="6977"/>
      </w:tblGrid>
      <w:tr w14:paraId="2663D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4" w:hRule="atLeast"/>
          <w:tblHeader/>
          <w:jc w:val="center"/>
        </w:trPr>
        <w:tc>
          <w:tcPr>
            <w:tcW w:w="749" w:type="pct"/>
            <w:shd w:val="clear" w:color="auto" w:fill="E7E6E6"/>
            <w:vAlign w:val="center"/>
          </w:tcPr>
          <w:p w14:paraId="6661D078">
            <w:pPr>
              <w:keepNext w:val="0"/>
              <w:keepLines w:val="0"/>
              <w:pageBreakBefore w:val="0"/>
              <w:wordWrap/>
              <w:topLinePunct w:val="0"/>
              <w:bidi w:val="0"/>
              <w:spacing w:line="240" w:lineRule="auto"/>
              <w:jc w:val="center"/>
              <w:textAlignment w:val="auto"/>
              <w:rPr>
                <w:rFonts w:hint="eastAsia" w:ascii="宋体" w:hAnsi="宋体" w:eastAsia="宋体" w:cs="宋体"/>
                <w:b/>
                <w:bCs/>
                <w:sz w:val="21"/>
                <w:szCs w:val="21"/>
                <w:highlight w:val="none"/>
              </w:rPr>
            </w:pPr>
            <w:r>
              <w:rPr>
                <w:rFonts w:hint="eastAsia" w:ascii="宋体" w:hAnsi="宋体" w:eastAsia="宋体" w:cs="宋体"/>
                <w:b/>
                <w:bCs/>
                <w:color w:val="000000"/>
                <w:sz w:val="21"/>
                <w:szCs w:val="21"/>
                <w:highlight w:val="none"/>
              </w:rPr>
              <w:t>模块</w:t>
            </w:r>
          </w:p>
        </w:tc>
        <w:tc>
          <w:tcPr>
            <w:tcW w:w="749" w:type="pct"/>
            <w:gridSpan w:val="2"/>
            <w:shd w:val="clear" w:color="auto" w:fill="E7E6E6"/>
            <w:vAlign w:val="center"/>
          </w:tcPr>
          <w:p w14:paraId="18BECB0B">
            <w:pPr>
              <w:keepNext w:val="0"/>
              <w:keepLines w:val="0"/>
              <w:pageBreakBefore w:val="0"/>
              <w:wordWrap/>
              <w:topLinePunct w:val="0"/>
              <w:bidi w:val="0"/>
              <w:spacing w:line="240" w:lineRule="auto"/>
              <w:jc w:val="center"/>
              <w:textAlignment w:val="auto"/>
              <w:rPr>
                <w:rFonts w:hint="eastAsia" w:ascii="宋体" w:hAnsi="宋体" w:eastAsia="宋体" w:cs="宋体"/>
                <w:b/>
                <w:bCs/>
                <w:sz w:val="21"/>
                <w:szCs w:val="21"/>
                <w:highlight w:val="none"/>
              </w:rPr>
            </w:pPr>
            <w:r>
              <w:rPr>
                <w:rFonts w:hint="eastAsia" w:ascii="宋体" w:hAnsi="宋体" w:eastAsia="宋体" w:cs="宋体"/>
                <w:b/>
                <w:bCs/>
                <w:color w:val="000000"/>
                <w:sz w:val="21"/>
                <w:szCs w:val="21"/>
                <w:highlight w:val="none"/>
              </w:rPr>
              <w:t>功能</w:t>
            </w:r>
          </w:p>
        </w:tc>
        <w:tc>
          <w:tcPr>
            <w:tcW w:w="3501" w:type="pct"/>
            <w:shd w:val="clear" w:color="auto" w:fill="E7E6E6"/>
            <w:vAlign w:val="center"/>
          </w:tcPr>
          <w:p w14:paraId="3A532D66">
            <w:pPr>
              <w:keepNext w:val="0"/>
              <w:keepLines w:val="0"/>
              <w:pageBreakBefore w:val="0"/>
              <w:wordWrap/>
              <w:topLinePunct w:val="0"/>
              <w:bidi w:val="0"/>
              <w:spacing w:line="240" w:lineRule="auto"/>
              <w:jc w:val="center"/>
              <w:textAlignment w:val="auto"/>
              <w:rPr>
                <w:rFonts w:hint="eastAsia" w:ascii="宋体" w:hAnsi="宋体" w:eastAsia="宋体" w:cs="宋体"/>
                <w:b/>
                <w:bCs/>
                <w:sz w:val="21"/>
                <w:szCs w:val="21"/>
                <w:highlight w:val="none"/>
              </w:rPr>
            </w:pPr>
            <w:r>
              <w:rPr>
                <w:rFonts w:hint="eastAsia" w:ascii="宋体" w:hAnsi="宋体" w:eastAsia="宋体" w:cs="宋体"/>
                <w:b/>
                <w:bCs/>
                <w:color w:val="000000"/>
                <w:sz w:val="21"/>
                <w:szCs w:val="21"/>
                <w:highlight w:val="none"/>
              </w:rPr>
              <w:t>功能描述</w:t>
            </w:r>
          </w:p>
        </w:tc>
      </w:tr>
      <w:tr w14:paraId="29095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restart"/>
            <w:vAlign w:val="center"/>
          </w:tcPr>
          <w:p w14:paraId="7F197CBA">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pacing w:val="-2"/>
                <w:sz w:val="21"/>
                <w:szCs w:val="21"/>
                <w:highlight w:val="none"/>
              </w:rPr>
            </w:pPr>
            <w:r>
              <w:rPr>
                <w:rFonts w:hint="eastAsia" w:ascii="宋体" w:hAnsi="宋体" w:eastAsia="宋体" w:cs="宋体"/>
                <w:spacing w:val="-2"/>
                <w:sz w:val="21"/>
                <w:szCs w:val="21"/>
                <w:highlight w:val="none"/>
              </w:rPr>
              <w:t>VTE肺栓塞及深静脉血栓全流程质控</w:t>
            </w:r>
          </w:p>
        </w:tc>
        <w:tc>
          <w:tcPr>
            <w:tcW w:w="749" w:type="pct"/>
            <w:gridSpan w:val="2"/>
            <w:vAlign w:val="center"/>
          </w:tcPr>
          <w:p w14:paraId="16478850">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pacing w:val="-2"/>
                <w:sz w:val="21"/>
                <w:szCs w:val="21"/>
                <w:highlight w:val="none"/>
              </w:rPr>
            </w:pPr>
            <w:r>
              <w:rPr>
                <w:rFonts w:hint="eastAsia" w:ascii="宋体" w:hAnsi="宋体" w:eastAsia="宋体" w:cs="宋体"/>
                <w:spacing w:val="-2"/>
                <w:sz w:val="21"/>
                <w:szCs w:val="21"/>
                <w:highlight w:val="none"/>
              </w:rPr>
              <w:t>质控提醒</w:t>
            </w:r>
          </w:p>
        </w:tc>
        <w:tc>
          <w:tcPr>
            <w:tcW w:w="3501" w:type="pct"/>
            <w:vAlign w:val="center"/>
          </w:tcPr>
          <w:p w14:paraId="213CBE70">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支持患者入院后通过风险评估、早期预防、动态风险评估等事前提醒、事中干预、事后回溯的闭环式预警质控，协助医院减少因认识不足和缺乏必要预防措施而导致的不良后果。</w:t>
            </w:r>
          </w:p>
          <w:p w14:paraId="6E3E7EDE">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其中动态评估提醒包括：入院初始评估、术后评估、转科后评估、出院评估、病情变化时评估中至少4项内容。</w:t>
            </w:r>
          </w:p>
        </w:tc>
      </w:tr>
      <w:tr w14:paraId="1835F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continue"/>
            <w:vAlign w:val="center"/>
          </w:tcPr>
          <w:p w14:paraId="71FF7297">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749" w:type="pct"/>
            <w:gridSpan w:val="2"/>
            <w:vAlign w:val="center"/>
          </w:tcPr>
          <w:p w14:paraId="1C57BFC0">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pacing w:val="-2"/>
                <w:sz w:val="21"/>
                <w:szCs w:val="21"/>
                <w:highlight w:val="none"/>
              </w:rPr>
            </w:pPr>
            <w:r>
              <w:rPr>
                <w:rFonts w:hint="eastAsia" w:ascii="宋体" w:hAnsi="宋体" w:eastAsia="宋体" w:cs="宋体"/>
                <w:spacing w:val="-2"/>
                <w:sz w:val="21"/>
                <w:szCs w:val="21"/>
                <w:highlight w:val="none"/>
              </w:rPr>
              <w:t>质控分析</w:t>
            </w:r>
          </w:p>
        </w:tc>
        <w:tc>
          <w:tcPr>
            <w:tcW w:w="3501" w:type="pct"/>
            <w:vAlign w:val="center"/>
          </w:tcPr>
          <w:p w14:paraId="3B2F4EA5">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支持对监测指标和VTE发生率进行实时动态追踪和统计分析，提醒医生对未按规范防治的高危患者及时采取补救措施进行防治、避免和减少因未及时防治而导致的VTE发生率及致死率。</w:t>
            </w:r>
          </w:p>
          <w:p w14:paraId="151E6FF0">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支持监测预防措施完成情况，包括恰当预防措施实施情况。</w:t>
            </w:r>
          </w:p>
        </w:tc>
      </w:tr>
      <w:tr w14:paraId="28A55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continue"/>
            <w:vAlign w:val="center"/>
          </w:tcPr>
          <w:p w14:paraId="622A8F97">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749" w:type="pct"/>
            <w:gridSpan w:val="2"/>
            <w:vAlign w:val="center"/>
          </w:tcPr>
          <w:p w14:paraId="227EAEEB">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pacing w:val="-2"/>
                <w:sz w:val="21"/>
                <w:szCs w:val="21"/>
                <w:highlight w:val="none"/>
              </w:rPr>
            </w:pPr>
            <w:r>
              <w:rPr>
                <w:rFonts w:hint="eastAsia" w:ascii="宋体" w:hAnsi="宋体" w:eastAsia="宋体" w:cs="宋体"/>
                <w:spacing w:val="-2"/>
                <w:sz w:val="21"/>
                <w:szCs w:val="21"/>
                <w:highlight w:val="none"/>
              </w:rPr>
              <w:t>质控监管</w:t>
            </w:r>
          </w:p>
        </w:tc>
        <w:tc>
          <w:tcPr>
            <w:tcW w:w="3501" w:type="pct"/>
            <w:vAlign w:val="center"/>
          </w:tcPr>
          <w:p w14:paraId="72A16B1B">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支持医院管理方对VTE关键指标进行回顾性分析，完善临床医生管理和质控监控措施。</w:t>
            </w:r>
          </w:p>
        </w:tc>
      </w:tr>
      <w:tr w14:paraId="34BFE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restart"/>
            <w:vAlign w:val="center"/>
          </w:tcPr>
          <w:p w14:paraId="02FC90D7">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pacing w:val="-2"/>
                <w:sz w:val="21"/>
                <w:szCs w:val="21"/>
                <w:highlight w:val="none"/>
              </w:rPr>
            </w:pPr>
            <w:r>
              <w:rPr>
                <w:rFonts w:hint="eastAsia" w:ascii="宋体" w:hAnsi="宋体" w:eastAsia="宋体" w:cs="宋体"/>
                <w:spacing w:val="-2"/>
                <w:sz w:val="21"/>
                <w:szCs w:val="21"/>
                <w:highlight w:val="none"/>
              </w:rPr>
              <w:t>VTE风险和出血风险自动化计算评估</w:t>
            </w:r>
          </w:p>
        </w:tc>
        <w:tc>
          <w:tcPr>
            <w:tcW w:w="749" w:type="pct"/>
            <w:gridSpan w:val="2"/>
            <w:vMerge w:val="restart"/>
            <w:vAlign w:val="center"/>
          </w:tcPr>
          <w:p w14:paraId="6E4B0B55">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pacing w:val="-2"/>
                <w:sz w:val="21"/>
                <w:szCs w:val="21"/>
                <w:highlight w:val="none"/>
              </w:rPr>
            </w:pPr>
            <w:r>
              <w:rPr>
                <w:rFonts w:hint="eastAsia" w:ascii="宋体" w:hAnsi="宋体" w:eastAsia="宋体" w:cs="宋体"/>
                <w:spacing w:val="-2"/>
                <w:sz w:val="21"/>
                <w:szCs w:val="21"/>
                <w:highlight w:val="none"/>
              </w:rPr>
              <w:t>VTE风险初始评估</w:t>
            </w:r>
          </w:p>
        </w:tc>
        <w:tc>
          <w:tcPr>
            <w:tcW w:w="3501" w:type="pct"/>
            <w:vAlign w:val="center"/>
          </w:tcPr>
          <w:p w14:paraId="7F880C89">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患者入院24小时内，系统结合患者全部病史、手术、用药、检查/检验结果等信息，能够自动完成患者的VTE风险评估。并主动、及时提醒医生查看VTE风险评估的结果，且支持医生查看评估依据，快速确认。</w:t>
            </w:r>
          </w:p>
        </w:tc>
      </w:tr>
      <w:tr w14:paraId="16EA9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continue"/>
            <w:vAlign w:val="center"/>
          </w:tcPr>
          <w:p w14:paraId="54ECFC90">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pacing w:val="-2"/>
                <w:sz w:val="21"/>
                <w:szCs w:val="21"/>
                <w:highlight w:val="none"/>
              </w:rPr>
            </w:pPr>
          </w:p>
        </w:tc>
        <w:tc>
          <w:tcPr>
            <w:tcW w:w="749" w:type="pct"/>
            <w:gridSpan w:val="2"/>
            <w:vMerge w:val="continue"/>
            <w:vAlign w:val="center"/>
          </w:tcPr>
          <w:p w14:paraId="0628EA55">
            <w:pPr>
              <w:keepNext w:val="0"/>
              <w:keepLines w:val="0"/>
              <w:pageBreakBefore w:val="0"/>
              <w:wordWrap/>
              <w:topLinePunct w:val="0"/>
              <w:bidi w:val="0"/>
              <w:spacing w:line="240" w:lineRule="auto"/>
              <w:textAlignment w:val="auto"/>
              <w:rPr>
                <w:rFonts w:hint="eastAsia" w:ascii="宋体" w:hAnsi="宋体" w:eastAsia="宋体" w:cs="宋体"/>
                <w:b/>
                <w:sz w:val="21"/>
                <w:szCs w:val="21"/>
                <w:highlight w:val="none"/>
              </w:rPr>
            </w:pPr>
          </w:p>
        </w:tc>
        <w:tc>
          <w:tcPr>
            <w:tcW w:w="3501" w:type="pct"/>
            <w:vAlign w:val="center"/>
          </w:tcPr>
          <w:p w14:paraId="35273F56">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系统结合患者全部病史、用药、检查检验结果等信息、智能识别中高危患者特征，主动判断患者的VTE风险情况（是否为中高危患者）。支持人机VTE评估结果同一界面对比，根据对比结果进行重点关注。</w:t>
            </w:r>
          </w:p>
          <w:p w14:paraId="3CAF266A">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若系统评估危险程度高于医生，则应主动对医生进行提醒，帮助医生减少评估中的遗漏，增加评估的客观性和全面性。</w:t>
            </w:r>
          </w:p>
        </w:tc>
      </w:tr>
      <w:tr w14:paraId="7B256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continue"/>
            <w:vAlign w:val="center"/>
          </w:tcPr>
          <w:p w14:paraId="1D3AD65F">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749" w:type="pct"/>
            <w:gridSpan w:val="2"/>
            <w:vMerge w:val="continue"/>
            <w:vAlign w:val="center"/>
          </w:tcPr>
          <w:p w14:paraId="3C8D58ED">
            <w:pPr>
              <w:keepNext w:val="0"/>
              <w:keepLines w:val="0"/>
              <w:pageBreakBefore w:val="0"/>
              <w:wordWrap/>
              <w:topLinePunct w:val="0"/>
              <w:bidi w:val="0"/>
              <w:spacing w:line="240" w:lineRule="auto"/>
              <w:textAlignment w:val="auto"/>
              <w:rPr>
                <w:rFonts w:hint="eastAsia" w:ascii="宋体" w:hAnsi="宋体" w:eastAsia="宋体" w:cs="宋体"/>
                <w:b/>
                <w:sz w:val="21"/>
                <w:szCs w:val="21"/>
                <w:highlight w:val="none"/>
              </w:rPr>
            </w:pPr>
          </w:p>
        </w:tc>
        <w:tc>
          <w:tcPr>
            <w:tcW w:w="3501" w:type="pct"/>
            <w:vAlign w:val="center"/>
          </w:tcPr>
          <w:p w14:paraId="18EDF444">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系统自动完成所有住院患者的VTE风险评估，并支持在医生打开电子病历时，主动提醒医生完成对患者VTE风险评估结果的确认，在医务人员快速确认系统自动评估的结果后，提醒自动消失。</w:t>
            </w:r>
          </w:p>
        </w:tc>
      </w:tr>
      <w:tr w14:paraId="3BC34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continue"/>
            <w:vAlign w:val="center"/>
          </w:tcPr>
          <w:p w14:paraId="2BB76A10">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749" w:type="pct"/>
            <w:gridSpan w:val="2"/>
            <w:vMerge w:val="restart"/>
            <w:vAlign w:val="center"/>
          </w:tcPr>
          <w:p w14:paraId="1B7CB4A4">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b/>
                <w:sz w:val="21"/>
                <w:szCs w:val="21"/>
                <w:highlight w:val="none"/>
              </w:rPr>
            </w:pPr>
            <w:r>
              <w:rPr>
                <w:rFonts w:hint="eastAsia" w:ascii="宋体" w:hAnsi="宋体" w:eastAsia="宋体" w:cs="宋体"/>
                <w:sz w:val="21"/>
                <w:szCs w:val="21"/>
                <w:highlight w:val="none"/>
              </w:rPr>
              <w:t>VTE动态评估</w:t>
            </w:r>
          </w:p>
        </w:tc>
        <w:tc>
          <w:tcPr>
            <w:tcW w:w="3501" w:type="pct"/>
            <w:vAlign w:val="center"/>
          </w:tcPr>
          <w:p w14:paraId="1F9D4E71">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系统可实时根据患者在院情况自动进行VTE风险评估，并主动提醒医务人员对评估结果进行快速确认。保证患者病情变化时，能使用准确的VTE风险评估量表、自动判断风险程度、识别中高危患者，及时完成VTE风险评估，使医生掌握患者VTE风险动态变化。</w:t>
            </w:r>
          </w:p>
        </w:tc>
      </w:tr>
      <w:tr w14:paraId="54324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continue"/>
            <w:vAlign w:val="center"/>
          </w:tcPr>
          <w:p w14:paraId="6E21164A">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749" w:type="pct"/>
            <w:gridSpan w:val="2"/>
            <w:vMerge w:val="continue"/>
            <w:vAlign w:val="center"/>
          </w:tcPr>
          <w:p w14:paraId="506C3D59">
            <w:pPr>
              <w:keepNext w:val="0"/>
              <w:keepLines w:val="0"/>
              <w:pageBreakBefore w:val="0"/>
              <w:wordWrap/>
              <w:topLinePunct w:val="0"/>
              <w:bidi w:val="0"/>
              <w:spacing w:line="240" w:lineRule="auto"/>
              <w:textAlignment w:val="auto"/>
              <w:rPr>
                <w:rFonts w:hint="eastAsia" w:ascii="宋体" w:hAnsi="宋体" w:eastAsia="宋体" w:cs="宋体"/>
                <w:b/>
                <w:sz w:val="21"/>
                <w:szCs w:val="21"/>
                <w:highlight w:val="none"/>
              </w:rPr>
            </w:pPr>
          </w:p>
        </w:tc>
        <w:tc>
          <w:tcPr>
            <w:tcW w:w="3501" w:type="pct"/>
            <w:vAlign w:val="center"/>
          </w:tcPr>
          <w:p w14:paraId="44D67D54">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▲在术前准备阶段，系统自动根据手术申请信息，自动对患者进行VTE风险评估，主动提醒医务人员对评估结果进行确认，在医务人员快速确认评估结果后，质控提醒自动消失。</w:t>
            </w:r>
          </w:p>
          <w:p w14:paraId="090C4980">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系统可主动识别患者手术申请医嘱、术前小结文书，监测评估是否在手术开始前24小时内完成。</w:t>
            </w:r>
          </w:p>
        </w:tc>
      </w:tr>
      <w:tr w14:paraId="5A6F8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continue"/>
            <w:vAlign w:val="center"/>
          </w:tcPr>
          <w:p w14:paraId="50B20B14">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749" w:type="pct"/>
            <w:gridSpan w:val="2"/>
            <w:vMerge w:val="continue"/>
            <w:vAlign w:val="center"/>
          </w:tcPr>
          <w:p w14:paraId="775D5397">
            <w:pPr>
              <w:keepNext w:val="0"/>
              <w:keepLines w:val="0"/>
              <w:pageBreakBefore w:val="0"/>
              <w:wordWrap/>
              <w:topLinePunct w:val="0"/>
              <w:bidi w:val="0"/>
              <w:spacing w:line="240" w:lineRule="auto"/>
              <w:textAlignment w:val="auto"/>
              <w:rPr>
                <w:rFonts w:hint="eastAsia" w:ascii="宋体" w:hAnsi="宋体" w:eastAsia="宋体" w:cs="宋体"/>
                <w:b/>
                <w:sz w:val="21"/>
                <w:szCs w:val="21"/>
                <w:highlight w:val="none"/>
              </w:rPr>
            </w:pPr>
          </w:p>
        </w:tc>
        <w:tc>
          <w:tcPr>
            <w:tcW w:w="3501" w:type="pct"/>
            <w:vAlign w:val="center"/>
          </w:tcPr>
          <w:p w14:paraId="61FFBC18">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在患者完成相关手术后，系统自动根据患者术后情况，自动对患者进行VTE风险评估，针对VTE风险评估结果有变化的患者，主动提醒医务人员对评估结果进行确认，在医务人员快速确认评估结果后，质控提醒自动消失。</w:t>
            </w:r>
          </w:p>
          <w:p w14:paraId="1F1B617F">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系统可主动识别患者手术时间，监测评估是否在手术结束后24小时内完成。</w:t>
            </w:r>
          </w:p>
        </w:tc>
      </w:tr>
      <w:tr w14:paraId="4A969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continue"/>
            <w:vAlign w:val="center"/>
          </w:tcPr>
          <w:p w14:paraId="4469A887">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749" w:type="pct"/>
            <w:gridSpan w:val="2"/>
            <w:vMerge w:val="continue"/>
            <w:vAlign w:val="center"/>
          </w:tcPr>
          <w:p w14:paraId="107F5930">
            <w:pPr>
              <w:keepNext w:val="0"/>
              <w:keepLines w:val="0"/>
              <w:pageBreakBefore w:val="0"/>
              <w:wordWrap/>
              <w:topLinePunct w:val="0"/>
              <w:bidi w:val="0"/>
              <w:spacing w:line="240" w:lineRule="auto"/>
              <w:textAlignment w:val="auto"/>
              <w:rPr>
                <w:rFonts w:hint="eastAsia" w:ascii="宋体" w:hAnsi="宋体" w:eastAsia="宋体" w:cs="宋体"/>
                <w:b/>
                <w:sz w:val="21"/>
                <w:szCs w:val="21"/>
                <w:highlight w:val="none"/>
              </w:rPr>
            </w:pPr>
          </w:p>
        </w:tc>
        <w:tc>
          <w:tcPr>
            <w:tcW w:w="3501" w:type="pct"/>
            <w:vAlign w:val="center"/>
          </w:tcPr>
          <w:p w14:paraId="3160856F">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在患者完成转科后24小时内，系统应主动提醒转入科室是否及时完成患者VTE动态风险评估结果的确认。</w:t>
            </w:r>
          </w:p>
        </w:tc>
      </w:tr>
      <w:tr w14:paraId="7AD43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continue"/>
            <w:vAlign w:val="center"/>
          </w:tcPr>
          <w:p w14:paraId="701095D6">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749" w:type="pct"/>
            <w:gridSpan w:val="2"/>
            <w:vMerge w:val="continue"/>
            <w:vAlign w:val="center"/>
          </w:tcPr>
          <w:p w14:paraId="3AB2E013">
            <w:pPr>
              <w:keepNext w:val="0"/>
              <w:keepLines w:val="0"/>
              <w:pageBreakBefore w:val="0"/>
              <w:wordWrap/>
              <w:topLinePunct w:val="0"/>
              <w:bidi w:val="0"/>
              <w:spacing w:line="240" w:lineRule="auto"/>
              <w:textAlignment w:val="auto"/>
              <w:rPr>
                <w:rFonts w:hint="eastAsia" w:ascii="宋体" w:hAnsi="宋体" w:eastAsia="宋体" w:cs="宋体"/>
                <w:b/>
                <w:sz w:val="21"/>
                <w:szCs w:val="21"/>
                <w:highlight w:val="none"/>
              </w:rPr>
            </w:pPr>
          </w:p>
        </w:tc>
        <w:tc>
          <w:tcPr>
            <w:tcW w:w="3501" w:type="pct"/>
            <w:vAlign w:val="center"/>
          </w:tcPr>
          <w:p w14:paraId="4B5AB2A9">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患者在院期间，系统根据患者病情变化、患者全部病史、手术、用药、检查检验结果等信息更新，实时自动评估和监测VTE风险。患者一旦发生变化，系统应即刻主动提示，提醒医生及时采取措施。</w:t>
            </w:r>
          </w:p>
        </w:tc>
      </w:tr>
      <w:tr w14:paraId="23C40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continue"/>
            <w:vAlign w:val="center"/>
          </w:tcPr>
          <w:p w14:paraId="1C972704">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749" w:type="pct"/>
            <w:gridSpan w:val="2"/>
            <w:vMerge w:val="continue"/>
            <w:vAlign w:val="center"/>
          </w:tcPr>
          <w:p w14:paraId="00537590">
            <w:pPr>
              <w:keepNext w:val="0"/>
              <w:keepLines w:val="0"/>
              <w:pageBreakBefore w:val="0"/>
              <w:wordWrap/>
              <w:topLinePunct w:val="0"/>
              <w:bidi w:val="0"/>
              <w:spacing w:line="240" w:lineRule="auto"/>
              <w:textAlignment w:val="auto"/>
              <w:rPr>
                <w:rFonts w:hint="eastAsia" w:ascii="宋体" w:hAnsi="宋体" w:eastAsia="宋体" w:cs="宋体"/>
                <w:b/>
                <w:sz w:val="21"/>
                <w:szCs w:val="21"/>
                <w:highlight w:val="none"/>
              </w:rPr>
            </w:pPr>
          </w:p>
        </w:tc>
        <w:tc>
          <w:tcPr>
            <w:tcW w:w="3501" w:type="pct"/>
            <w:vAlign w:val="center"/>
          </w:tcPr>
          <w:p w14:paraId="4BEC1510">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患者出院时，系统应主动提醒医生再次进行VTE风险评估结果的确认，避免在患者出院前发生遗漏。</w:t>
            </w:r>
          </w:p>
        </w:tc>
      </w:tr>
      <w:tr w14:paraId="6DA80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continue"/>
            <w:vAlign w:val="center"/>
          </w:tcPr>
          <w:p w14:paraId="231C4302">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749" w:type="pct"/>
            <w:gridSpan w:val="2"/>
            <w:vMerge w:val="continue"/>
            <w:vAlign w:val="center"/>
          </w:tcPr>
          <w:p w14:paraId="078EA2A9">
            <w:pPr>
              <w:keepNext w:val="0"/>
              <w:keepLines w:val="0"/>
              <w:pageBreakBefore w:val="0"/>
              <w:wordWrap/>
              <w:topLinePunct w:val="0"/>
              <w:bidi w:val="0"/>
              <w:spacing w:line="240" w:lineRule="auto"/>
              <w:textAlignment w:val="auto"/>
              <w:rPr>
                <w:rFonts w:hint="eastAsia" w:ascii="宋体" w:hAnsi="宋体" w:eastAsia="宋体" w:cs="宋体"/>
                <w:b/>
                <w:sz w:val="21"/>
                <w:szCs w:val="21"/>
                <w:highlight w:val="none"/>
              </w:rPr>
            </w:pPr>
          </w:p>
        </w:tc>
        <w:tc>
          <w:tcPr>
            <w:tcW w:w="3501" w:type="pct"/>
            <w:vAlign w:val="center"/>
          </w:tcPr>
          <w:p w14:paraId="61AE8BD5">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▲动态复评：系统应支持动态复评提醒，VTE高危患者支持每3日自动复评，中低危患者支持每7日自动复评，并提醒医生及时确认，医生确认后提醒自动消失。</w:t>
            </w:r>
          </w:p>
        </w:tc>
      </w:tr>
      <w:tr w14:paraId="65C8C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continue"/>
            <w:vAlign w:val="center"/>
          </w:tcPr>
          <w:p w14:paraId="4C7403EC">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749" w:type="pct"/>
            <w:gridSpan w:val="2"/>
            <w:vMerge w:val="restart"/>
            <w:vAlign w:val="center"/>
          </w:tcPr>
          <w:p w14:paraId="5A3B02E2">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出血风险评估</w:t>
            </w:r>
          </w:p>
        </w:tc>
        <w:tc>
          <w:tcPr>
            <w:tcW w:w="3501" w:type="pct"/>
            <w:vAlign w:val="center"/>
          </w:tcPr>
          <w:p w14:paraId="637891B6">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鉴于抗凝预防本身潜在的出血并发症，系统实时自动根据患者的住院情况进行出血风险评估，并主动提醒医生对患者的出血风险评估结果进行查看，快速确认。（可智能推荐适用于手术患者/内科住院患者的出血风险评估表）</w:t>
            </w:r>
          </w:p>
          <w:p w14:paraId="09B9E250">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系统支持对患者出血风险评估结果进行病历回填。</w:t>
            </w:r>
          </w:p>
        </w:tc>
      </w:tr>
      <w:tr w14:paraId="2F686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continue"/>
            <w:vAlign w:val="center"/>
          </w:tcPr>
          <w:p w14:paraId="180C0392">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749" w:type="pct"/>
            <w:gridSpan w:val="2"/>
            <w:vMerge w:val="continue"/>
            <w:vAlign w:val="center"/>
          </w:tcPr>
          <w:p w14:paraId="0A634A95">
            <w:pPr>
              <w:keepNext w:val="0"/>
              <w:keepLines w:val="0"/>
              <w:pageBreakBefore w:val="0"/>
              <w:wordWrap/>
              <w:topLinePunct w:val="0"/>
              <w:bidi w:val="0"/>
              <w:spacing w:line="240" w:lineRule="auto"/>
              <w:textAlignment w:val="auto"/>
              <w:rPr>
                <w:rFonts w:hint="eastAsia" w:ascii="宋体" w:hAnsi="宋体" w:eastAsia="宋体" w:cs="宋体"/>
                <w:b/>
                <w:sz w:val="21"/>
                <w:szCs w:val="21"/>
                <w:highlight w:val="none"/>
              </w:rPr>
            </w:pPr>
          </w:p>
        </w:tc>
        <w:tc>
          <w:tcPr>
            <w:tcW w:w="3501" w:type="pct"/>
            <w:vAlign w:val="center"/>
          </w:tcPr>
          <w:p w14:paraId="7EB87EC5">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结合患者全部病史、用药、检查检验结果等信息，系统可根据出血高危患者特征，自动判断患者的出血风险情况。支持人机VTE评估对比，根据对比结果进行重点关注。</w:t>
            </w:r>
          </w:p>
        </w:tc>
      </w:tr>
      <w:tr w14:paraId="4E5FE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continue"/>
            <w:vAlign w:val="center"/>
          </w:tcPr>
          <w:p w14:paraId="770B13D7">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749" w:type="pct"/>
            <w:gridSpan w:val="2"/>
            <w:vMerge w:val="continue"/>
            <w:vAlign w:val="center"/>
          </w:tcPr>
          <w:p w14:paraId="6BBFC1E8">
            <w:pPr>
              <w:keepNext w:val="0"/>
              <w:keepLines w:val="0"/>
              <w:pageBreakBefore w:val="0"/>
              <w:wordWrap/>
              <w:topLinePunct w:val="0"/>
              <w:bidi w:val="0"/>
              <w:spacing w:line="240" w:lineRule="auto"/>
              <w:textAlignment w:val="auto"/>
              <w:rPr>
                <w:rFonts w:hint="eastAsia" w:ascii="宋体" w:hAnsi="宋体" w:eastAsia="宋体" w:cs="宋体"/>
                <w:b/>
                <w:sz w:val="21"/>
                <w:szCs w:val="21"/>
                <w:highlight w:val="none"/>
              </w:rPr>
            </w:pPr>
          </w:p>
        </w:tc>
        <w:tc>
          <w:tcPr>
            <w:tcW w:w="3501" w:type="pct"/>
            <w:vAlign w:val="center"/>
          </w:tcPr>
          <w:p w14:paraId="253BCACB">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出血风险动态评估：在VTE动态评估节点中，当VTE评估结果为中危或高危，系统自动再次提醒医生评估出血风险。</w:t>
            </w:r>
          </w:p>
        </w:tc>
      </w:tr>
      <w:tr w14:paraId="4E32C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continue"/>
            <w:vAlign w:val="center"/>
          </w:tcPr>
          <w:p w14:paraId="44C41C3A">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749" w:type="pct"/>
            <w:gridSpan w:val="2"/>
            <w:vMerge w:val="restart"/>
            <w:vAlign w:val="center"/>
          </w:tcPr>
          <w:p w14:paraId="7831DD07">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Wells评分</w:t>
            </w:r>
          </w:p>
          <w:p w14:paraId="2D47846F">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3501" w:type="pct"/>
            <w:vAlign w:val="center"/>
          </w:tcPr>
          <w:p w14:paraId="4397AFA7">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系统结合患者全部病史、手术、用药、检查/检验结果等信息，根据深静脉血栓形成（DVT）临床指征及当前患者特征，系统应自动判断患者是否应进行Wells评估并对符合条件的患者自动评估风险。</w:t>
            </w:r>
          </w:p>
        </w:tc>
      </w:tr>
      <w:tr w14:paraId="703D3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continue"/>
            <w:vAlign w:val="center"/>
          </w:tcPr>
          <w:p w14:paraId="36684CCA">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749" w:type="pct"/>
            <w:gridSpan w:val="2"/>
            <w:vMerge w:val="continue"/>
            <w:vAlign w:val="center"/>
          </w:tcPr>
          <w:p w14:paraId="0611A6C4">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3501" w:type="pct"/>
            <w:vAlign w:val="center"/>
          </w:tcPr>
          <w:p w14:paraId="731D897D">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根据VTE风险评估结果及Wells评估结果，对适宜的患者在EMR界面提醒医生开立D-二聚体检查医嘱。</w:t>
            </w:r>
          </w:p>
        </w:tc>
      </w:tr>
      <w:tr w14:paraId="6A59F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continue"/>
            <w:vAlign w:val="center"/>
          </w:tcPr>
          <w:p w14:paraId="2F162720">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749" w:type="pct"/>
            <w:gridSpan w:val="2"/>
            <w:vMerge w:val="continue"/>
            <w:vAlign w:val="center"/>
          </w:tcPr>
          <w:p w14:paraId="5D931289">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3501" w:type="pct"/>
            <w:vAlign w:val="center"/>
          </w:tcPr>
          <w:p w14:paraId="7C77B13C">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根据VTE风险评估结果及Wells评估结果，对适宜的患者在EMR界面提醒医生开立静脉超声检查医嘱。</w:t>
            </w:r>
          </w:p>
        </w:tc>
      </w:tr>
      <w:tr w14:paraId="74CA7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 w:hRule="atLeast"/>
          <w:jc w:val="center"/>
        </w:trPr>
        <w:tc>
          <w:tcPr>
            <w:tcW w:w="749" w:type="pct"/>
            <w:vMerge w:val="continue"/>
            <w:vAlign w:val="center"/>
          </w:tcPr>
          <w:p w14:paraId="2A1B8FBC">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749" w:type="pct"/>
            <w:gridSpan w:val="2"/>
            <w:vMerge w:val="continue"/>
            <w:vAlign w:val="center"/>
          </w:tcPr>
          <w:p w14:paraId="4CAE4927">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3501" w:type="pct"/>
            <w:vAlign w:val="center"/>
          </w:tcPr>
          <w:p w14:paraId="153330DC">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支持评估表的下载，打印以及合并打印等，并支持以PDF形式保持在电子病历系统中。</w:t>
            </w:r>
          </w:p>
        </w:tc>
      </w:tr>
      <w:tr w14:paraId="62A76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continue"/>
            <w:vAlign w:val="center"/>
          </w:tcPr>
          <w:p w14:paraId="75A1FF5D">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749" w:type="pct"/>
            <w:gridSpan w:val="2"/>
            <w:vMerge w:val="restart"/>
            <w:vAlign w:val="center"/>
          </w:tcPr>
          <w:p w14:paraId="3E999DB5">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PTE筛查</w:t>
            </w:r>
          </w:p>
        </w:tc>
        <w:tc>
          <w:tcPr>
            <w:tcW w:w="3501" w:type="pct"/>
            <w:vAlign w:val="center"/>
          </w:tcPr>
          <w:p w14:paraId="27DF364F">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▲对于高度可疑或者确诊急性肺栓塞患者，系统支持结合患者全部病史、手术、用药、检查/检验结果等信息，自动判断患者是否应进行Wells，sPESI或者肺血栓栓塞危险分层评估并对符合条件的患者自动评估风险。</w:t>
            </w:r>
          </w:p>
        </w:tc>
      </w:tr>
      <w:tr w14:paraId="3E994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continue"/>
            <w:vAlign w:val="center"/>
          </w:tcPr>
          <w:p w14:paraId="771FBB78">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749" w:type="pct"/>
            <w:gridSpan w:val="2"/>
            <w:vMerge w:val="continue"/>
            <w:vAlign w:val="center"/>
          </w:tcPr>
          <w:p w14:paraId="44F5AF96">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3501" w:type="pct"/>
            <w:vAlign w:val="center"/>
          </w:tcPr>
          <w:p w14:paraId="2AF965FD">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系统应支持根据医生确认的综合评估结果，患者病情特征，检验检查内容等，根据指南个性化分层推送PTE筛查建议，包括D-二聚体检测、CT肺动脉造影，心动图检查等，医生完成筛查后提醒消失。</w:t>
            </w:r>
          </w:p>
        </w:tc>
      </w:tr>
      <w:tr w14:paraId="6B722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continue"/>
            <w:vAlign w:val="center"/>
          </w:tcPr>
          <w:p w14:paraId="39FC4939">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749" w:type="pct"/>
            <w:gridSpan w:val="2"/>
            <w:vMerge w:val="restart"/>
            <w:vAlign w:val="center"/>
          </w:tcPr>
          <w:p w14:paraId="22261AF5">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b/>
                <w:sz w:val="21"/>
                <w:szCs w:val="21"/>
                <w:highlight w:val="none"/>
              </w:rPr>
            </w:pPr>
            <w:r>
              <w:rPr>
                <w:rFonts w:hint="eastAsia" w:ascii="宋体" w:hAnsi="宋体" w:eastAsia="宋体" w:cs="宋体"/>
                <w:sz w:val="21"/>
                <w:szCs w:val="21"/>
                <w:highlight w:val="none"/>
              </w:rPr>
              <w:t>VTE动态评估结果记录</w:t>
            </w:r>
          </w:p>
        </w:tc>
        <w:tc>
          <w:tcPr>
            <w:tcW w:w="3501" w:type="pct"/>
            <w:vAlign w:val="center"/>
          </w:tcPr>
          <w:p w14:paraId="584E3685">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系统支持记录患者在院内动态评估结果以及历次医嘱记录，供医务人员分析患者的评估结果变化趋势，帮助针对患者，建立个性化VTE防治方案。</w:t>
            </w:r>
          </w:p>
        </w:tc>
      </w:tr>
      <w:tr w14:paraId="50CB2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continue"/>
            <w:vAlign w:val="center"/>
          </w:tcPr>
          <w:p w14:paraId="40B996D0">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749" w:type="pct"/>
            <w:gridSpan w:val="2"/>
            <w:vMerge w:val="continue"/>
            <w:vAlign w:val="center"/>
          </w:tcPr>
          <w:p w14:paraId="3CCB6ABB">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3501" w:type="pct"/>
            <w:vAlign w:val="center"/>
          </w:tcPr>
          <w:p w14:paraId="3F8D81E6">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▲系统自动生成患者在院内VTE风险评估、出血风险评估等所有风险评估结果、评估时间及详细评估项的历史记录，支持医生快速根据患者病情变化对已完成的评估结果进行修改或重新评估。</w:t>
            </w:r>
          </w:p>
        </w:tc>
      </w:tr>
      <w:tr w14:paraId="16786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continue"/>
            <w:vAlign w:val="center"/>
          </w:tcPr>
          <w:p w14:paraId="4418BBFF">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749" w:type="pct"/>
            <w:gridSpan w:val="2"/>
            <w:vMerge w:val="restart"/>
            <w:vAlign w:val="center"/>
          </w:tcPr>
          <w:p w14:paraId="3496E301">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VTE预防措施</w:t>
            </w:r>
          </w:p>
        </w:tc>
        <w:tc>
          <w:tcPr>
            <w:tcW w:w="3501" w:type="pct"/>
            <w:vAlign w:val="center"/>
          </w:tcPr>
          <w:p w14:paraId="05334284">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当患者VTE风险评分结果为中高危时，系统应主动提醒医生采取VTE的预防措施。</w:t>
            </w:r>
          </w:p>
        </w:tc>
      </w:tr>
      <w:tr w14:paraId="53D5A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continue"/>
            <w:vAlign w:val="center"/>
          </w:tcPr>
          <w:p w14:paraId="6D406476">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749" w:type="pct"/>
            <w:gridSpan w:val="2"/>
            <w:vMerge w:val="continue"/>
            <w:vAlign w:val="center"/>
          </w:tcPr>
          <w:p w14:paraId="3A6617E3">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3501" w:type="pct"/>
            <w:vAlign w:val="center"/>
          </w:tcPr>
          <w:p w14:paraId="57DA28D2">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能够实时根据患者在院情况自动判断，对未进行VTE预防措施的VTE风险中高危患者，主动、智能提醒医务人员进行相应的基础预防、物理预防、药物预防、联合预防等措施。</w:t>
            </w:r>
          </w:p>
          <w:p w14:paraId="595B6E25">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可根据医院需要设置为强制功能（强制给予预防措施），防止医生漏开预防措施。</w:t>
            </w:r>
          </w:p>
        </w:tc>
      </w:tr>
      <w:tr w14:paraId="79831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continue"/>
            <w:vAlign w:val="center"/>
          </w:tcPr>
          <w:p w14:paraId="3E2C857F">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749" w:type="pct"/>
            <w:gridSpan w:val="2"/>
            <w:vMerge w:val="continue"/>
            <w:vAlign w:val="center"/>
          </w:tcPr>
          <w:p w14:paraId="42EBF1C6">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3501" w:type="pct"/>
            <w:vAlign w:val="center"/>
          </w:tcPr>
          <w:p w14:paraId="2F2E6008">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根据患者VTE和出血风险的结果不同，定义恰当的预防措施，例如：VTE高危、出血低危的患者应采用抗凝药物进行预防；VTE高危、出血高危的患者应采用物理预防等；能够根据患者病情和预防措施的采取情况，自动判断患者是否采用恰当的预防措施，并主动给予医生提醒，保证预防措施执行到位</w:t>
            </w:r>
            <w:r>
              <w:rPr>
                <w:rFonts w:hint="eastAsia" w:ascii="宋体" w:hAnsi="宋体" w:cs="宋体"/>
                <w:sz w:val="21"/>
                <w:szCs w:val="21"/>
                <w:highlight w:val="none"/>
                <w:lang w:eastAsia="zh-CN"/>
              </w:rPr>
              <w:t>。</w:t>
            </w:r>
          </w:p>
        </w:tc>
      </w:tr>
      <w:tr w14:paraId="08B66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continue"/>
            <w:vAlign w:val="center"/>
          </w:tcPr>
          <w:p w14:paraId="4A4D9A85">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749" w:type="pct"/>
            <w:gridSpan w:val="2"/>
            <w:vMerge w:val="continue"/>
            <w:vAlign w:val="center"/>
          </w:tcPr>
          <w:p w14:paraId="69983F86">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3501" w:type="pct"/>
            <w:vAlign w:val="center"/>
          </w:tcPr>
          <w:p w14:paraId="4718AC86">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出院时评估为VTE中高危的患者，系统应主动提醒医务人员进行相应出院医嘱告知的情况。</w:t>
            </w:r>
          </w:p>
        </w:tc>
      </w:tr>
      <w:tr w14:paraId="17DEF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749" w:type="pct"/>
            <w:vMerge w:val="continue"/>
            <w:vAlign w:val="center"/>
          </w:tcPr>
          <w:p w14:paraId="2203F636">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749" w:type="pct"/>
            <w:gridSpan w:val="2"/>
            <w:vAlign w:val="center"/>
          </w:tcPr>
          <w:p w14:paraId="4245FB28">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补充VTE诊断</w:t>
            </w:r>
          </w:p>
        </w:tc>
        <w:tc>
          <w:tcPr>
            <w:tcW w:w="3501" w:type="pct"/>
            <w:vAlign w:val="center"/>
          </w:tcPr>
          <w:p w14:paraId="2B73911D">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▲系统应能够实时根据病历文书、检查报告结果、静脉血栓情况自动判断，对疑似VTE患者病历信息内无诊断时，主动、智能提醒医务人员补充诊断。</w:t>
            </w:r>
          </w:p>
        </w:tc>
      </w:tr>
      <w:tr w14:paraId="4BAFB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749" w:type="pct"/>
            <w:vMerge w:val="continue"/>
            <w:vAlign w:val="center"/>
          </w:tcPr>
          <w:p w14:paraId="729EA136">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749" w:type="pct"/>
            <w:gridSpan w:val="2"/>
            <w:vAlign w:val="center"/>
          </w:tcPr>
          <w:p w14:paraId="2ED4E550">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会诊提醒</w:t>
            </w:r>
          </w:p>
        </w:tc>
        <w:tc>
          <w:tcPr>
            <w:tcW w:w="3501" w:type="pct"/>
            <w:vAlign w:val="center"/>
          </w:tcPr>
          <w:p w14:paraId="7C2365D8">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对于VTE确诊患者，系统支持多学科会诊智能提醒。</w:t>
            </w:r>
          </w:p>
        </w:tc>
      </w:tr>
      <w:tr w14:paraId="7BC00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continue"/>
            <w:vAlign w:val="center"/>
          </w:tcPr>
          <w:p w14:paraId="51F53706">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749" w:type="pct"/>
            <w:gridSpan w:val="2"/>
            <w:vAlign w:val="center"/>
          </w:tcPr>
          <w:p w14:paraId="65008A35">
            <w:pPr>
              <w:pStyle w:val="163"/>
              <w:keepNext w:val="0"/>
              <w:keepLines w:val="0"/>
              <w:pageBreakBefore w:val="0"/>
              <w:kinsoku w:val="0"/>
              <w:wordWrap/>
              <w:overflowPunct w:val="0"/>
              <w:topLinePunct w:val="0"/>
              <w:bidi w:val="0"/>
              <w:spacing w:line="24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人机逐项对比</w:t>
            </w:r>
          </w:p>
        </w:tc>
        <w:tc>
          <w:tcPr>
            <w:tcW w:w="3501" w:type="pct"/>
            <w:vAlign w:val="center"/>
          </w:tcPr>
          <w:p w14:paraId="69C1B1FD">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▲当人机评分不一致时，可在一个界面上进行系统AI和人工（医务人员）逐项评分对比，并给出系统评分的原文依据内容及位置。</w:t>
            </w:r>
          </w:p>
        </w:tc>
      </w:tr>
      <w:tr w14:paraId="5CE4B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continue"/>
            <w:vAlign w:val="center"/>
          </w:tcPr>
          <w:p w14:paraId="5D59E4C1">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749" w:type="pct"/>
            <w:gridSpan w:val="2"/>
            <w:vMerge w:val="restart"/>
            <w:vAlign w:val="center"/>
          </w:tcPr>
          <w:p w14:paraId="0A62A7A5">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禁忌提示</w:t>
            </w:r>
          </w:p>
        </w:tc>
        <w:tc>
          <w:tcPr>
            <w:tcW w:w="3501" w:type="pct"/>
            <w:vAlign w:val="center"/>
          </w:tcPr>
          <w:p w14:paraId="29EE231A">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▲出血高危：对于评估为出血高危的患者，系统应自动进行抗凝药物审核，当医生开具抗凝药物时，进行出血高危禁忌提醒，避免加重出血风险。</w:t>
            </w:r>
          </w:p>
        </w:tc>
      </w:tr>
      <w:tr w14:paraId="29159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continue"/>
            <w:vAlign w:val="center"/>
          </w:tcPr>
          <w:p w14:paraId="1BDC8759">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749" w:type="pct"/>
            <w:gridSpan w:val="2"/>
            <w:vMerge w:val="continue"/>
            <w:vAlign w:val="center"/>
          </w:tcPr>
          <w:p w14:paraId="27E5D748">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3501" w:type="pct"/>
            <w:vAlign w:val="center"/>
          </w:tcPr>
          <w:p w14:paraId="09F3F674">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▲下肢压力泵：医生开具下肢压力泵医嘱时，系统应自动判断患者是否已完成相应的下肢静脉超声，或检查结果中是否体现下肢静脉血栓，系统应主动、实时进行判断风险提醒，避免肺栓塞等严重并发症的发生。</w:t>
            </w:r>
          </w:p>
        </w:tc>
      </w:tr>
      <w:tr w14:paraId="27C33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continue"/>
            <w:vAlign w:val="center"/>
          </w:tcPr>
          <w:p w14:paraId="3F4CF981">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749" w:type="pct"/>
            <w:gridSpan w:val="2"/>
            <w:vMerge w:val="continue"/>
            <w:vAlign w:val="center"/>
          </w:tcPr>
          <w:p w14:paraId="265C74C1">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3501" w:type="pct"/>
            <w:vAlign w:val="center"/>
          </w:tcPr>
          <w:p w14:paraId="21B11CA3">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▲对于VTE评估中危或高危患者，系统自动提醒评估机械预防禁忌评估表</w:t>
            </w:r>
            <w:r>
              <w:rPr>
                <w:rFonts w:hint="eastAsia" w:ascii="宋体" w:hAnsi="宋体" w:cs="宋体"/>
                <w:sz w:val="21"/>
                <w:szCs w:val="21"/>
                <w:highlight w:val="none"/>
                <w:lang w:eastAsia="zh-CN"/>
              </w:rPr>
              <w:t>。</w:t>
            </w:r>
          </w:p>
        </w:tc>
      </w:tr>
      <w:tr w14:paraId="06F0C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continue"/>
            <w:vAlign w:val="center"/>
          </w:tcPr>
          <w:p w14:paraId="3EEE2EB6">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749" w:type="pct"/>
            <w:gridSpan w:val="2"/>
            <w:vMerge w:val="continue"/>
            <w:vAlign w:val="center"/>
          </w:tcPr>
          <w:p w14:paraId="3E26A405">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3501" w:type="pct"/>
            <w:vAlign w:val="center"/>
          </w:tcPr>
          <w:p w14:paraId="49D58683">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▲机械预防禁忌：在医生进行机械预防的时候，如果患者存在机械预防禁忌，如肺水肿，下肢深静脉血栓症等情况时，系统会进行机械禁忌评估表自动评估并提示存在机械预防禁忌，进行高风险医嘱预警。</w:t>
            </w:r>
          </w:p>
        </w:tc>
      </w:tr>
      <w:tr w14:paraId="42582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749" w:type="pct"/>
            <w:vMerge w:val="continue"/>
            <w:vAlign w:val="center"/>
          </w:tcPr>
          <w:p w14:paraId="7606F228">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749" w:type="pct"/>
            <w:gridSpan w:val="2"/>
            <w:vMerge w:val="restart"/>
            <w:vAlign w:val="center"/>
          </w:tcPr>
          <w:p w14:paraId="359609A0">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护理端提醒</w:t>
            </w:r>
          </w:p>
        </w:tc>
        <w:tc>
          <w:tcPr>
            <w:tcW w:w="3501" w:type="pct"/>
            <w:vAlign w:val="center"/>
          </w:tcPr>
          <w:p w14:paraId="6F233D7F">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▲检查提醒：系统支持对确诊VTE患者进行VTE相关症状、体征检查的智能提醒，辅助护理人员及时完善相关检查。</w:t>
            </w:r>
          </w:p>
        </w:tc>
      </w:tr>
      <w:tr w14:paraId="5F056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 w:hRule="atLeast"/>
          <w:jc w:val="center"/>
        </w:trPr>
        <w:tc>
          <w:tcPr>
            <w:tcW w:w="749" w:type="pct"/>
            <w:vMerge w:val="continue"/>
            <w:vAlign w:val="center"/>
          </w:tcPr>
          <w:p w14:paraId="12533CB5">
            <w:pPr>
              <w:pStyle w:val="163"/>
              <w:keepNext w:val="0"/>
              <w:keepLines w:val="0"/>
              <w:pageBreakBefore w:val="0"/>
              <w:kinsoku w:val="0"/>
              <w:wordWrap/>
              <w:overflowPunct w:val="0"/>
              <w:topLinePunct w:val="0"/>
              <w:bidi w:val="0"/>
              <w:spacing w:line="240" w:lineRule="auto"/>
              <w:textAlignment w:val="auto"/>
              <w:rPr>
                <w:rFonts w:hint="eastAsia" w:ascii="宋体" w:hAnsi="宋体" w:eastAsia="宋体" w:cs="宋体"/>
                <w:sz w:val="21"/>
                <w:szCs w:val="21"/>
                <w:highlight w:val="none"/>
              </w:rPr>
            </w:pPr>
          </w:p>
        </w:tc>
        <w:tc>
          <w:tcPr>
            <w:tcW w:w="749" w:type="pct"/>
            <w:gridSpan w:val="2"/>
            <w:vMerge w:val="continue"/>
            <w:vAlign w:val="center"/>
          </w:tcPr>
          <w:p w14:paraId="7DEB6E57">
            <w:pPr>
              <w:pStyle w:val="163"/>
              <w:keepNext w:val="0"/>
              <w:keepLines w:val="0"/>
              <w:pageBreakBefore w:val="0"/>
              <w:kinsoku w:val="0"/>
              <w:wordWrap/>
              <w:overflowPunct w:val="0"/>
              <w:topLinePunct w:val="0"/>
              <w:bidi w:val="0"/>
              <w:spacing w:line="240" w:lineRule="auto"/>
              <w:textAlignment w:val="auto"/>
              <w:rPr>
                <w:rFonts w:hint="eastAsia" w:ascii="宋体" w:hAnsi="宋体" w:eastAsia="宋体" w:cs="宋体"/>
                <w:sz w:val="21"/>
                <w:szCs w:val="21"/>
                <w:highlight w:val="none"/>
              </w:rPr>
            </w:pPr>
          </w:p>
        </w:tc>
        <w:tc>
          <w:tcPr>
            <w:tcW w:w="3501" w:type="pct"/>
            <w:vAlign w:val="center"/>
          </w:tcPr>
          <w:p w14:paraId="38123A17">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随访提醒：系统支持对确诊VTE患者或者VTE中高危风险患者提醒需进行院后随访</w:t>
            </w:r>
            <w:r>
              <w:rPr>
                <w:rFonts w:hint="eastAsia" w:ascii="宋体" w:hAnsi="宋体" w:cs="宋体"/>
                <w:sz w:val="21"/>
                <w:szCs w:val="21"/>
                <w:highlight w:val="none"/>
                <w:lang w:eastAsia="zh-CN"/>
              </w:rPr>
              <w:t>。</w:t>
            </w:r>
          </w:p>
        </w:tc>
      </w:tr>
      <w:tr w14:paraId="4BFFE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749" w:type="pct"/>
            <w:vMerge w:val="continue"/>
            <w:vAlign w:val="center"/>
          </w:tcPr>
          <w:p w14:paraId="00CFF1AF">
            <w:pPr>
              <w:pStyle w:val="163"/>
              <w:keepNext w:val="0"/>
              <w:keepLines w:val="0"/>
              <w:pageBreakBefore w:val="0"/>
              <w:kinsoku w:val="0"/>
              <w:wordWrap/>
              <w:overflowPunct w:val="0"/>
              <w:topLinePunct w:val="0"/>
              <w:bidi w:val="0"/>
              <w:spacing w:line="240" w:lineRule="auto"/>
              <w:textAlignment w:val="auto"/>
              <w:rPr>
                <w:rFonts w:hint="eastAsia" w:ascii="宋体" w:hAnsi="宋体" w:eastAsia="宋体" w:cs="宋体"/>
                <w:sz w:val="21"/>
                <w:szCs w:val="21"/>
                <w:highlight w:val="none"/>
              </w:rPr>
            </w:pPr>
          </w:p>
        </w:tc>
        <w:tc>
          <w:tcPr>
            <w:tcW w:w="749" w:type="pct"/>
            <w:gridSpan w:val="2"/>
            <w:vMerge w:val="continue"/>
            <w:vAlign w:val="center"/>
          </w:tcPr>
          <w:p w14:paraId="41525CA6">
            <w:pPr>
              <w:pStyle w:val="163"/>
              <w:keepNext w:val="0"/>
              <w:keepLines w:val="0"/>
              <w:pageBreakBefore w:val="0"/>
              <w:kinsoku w:val="0"/>
              <w:wordWrap/>
              <w:overflowPunct w:val="0"/>
              <w:topLinePunct w:val="0"/>
              <w:bidi w:val="0"/>
              <w:spacing w:line="240" w:lineRule="auto"/>
              <w:textAlignment w:val="auto"/>
              <w:rPr>
                <w:rFonts w:hint="eastAsia" w:ascii="宋体" w:hAnsi="宋体" w:eastAsia="宋体" w:cs="宋体"/>
                <w:sz w:val="21"/>
                <w:szCs w:val="21"/>
                <w:highlight w:val="none"/>
              </w:rPr>
            </w:pPr>
          </w:p>
        </w:tc>
        <w:tc>
          <w:tcPr>
            <w:tcW w:w="3501" w:type="pct"/>
            <w:vAlign w:val="center"/>
          </w:tcPr>
          <w:p w14:paraId="6C0F8D3A">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宣教提醒：系统支持对确诊VTE患者或者VTE中高危风险患者进行VTE相关预防措施宣教提醒。</w:t>
            </w:r>
          </w:p>
        </w:tc>
      </w:tr>
      <w:tr w14:paraId="1DEF1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restart"/>
            <w:vAlign w:val="center"/>
          </w:tcPr>
          <w:p w14:paraId="478AF70B">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妊娠期及产褥期VTE风险管理</w:t>
            </w:r>
          </w:p>
        </w:tc>
        <w:tc>
          <w:tcPr>
            <w:tcW w:w="749" w:type="pct"/>
            <w:gridSpan w:val="2"/>
            <w:vMerge w:val="restart"/>
            <w:vAlign w:val="center"/>
          </w:tcPr>
          <w:p w14:paraId="377BD4A4">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初始风险评估</w:t>
            </w:r>
          </w:p>
        </w:tc>
        <w:tc>
          <w:tcPr>
            <w:tcW w:w="3501" w:type="pct"/>
            <w:vAlign w:val="center"/>
          </w:tcPr>
          <w:p w14:paraId="7CF84790">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患者入院24小时内，系统根据患者病程记录信息自动识别妊娠期及产褥期患者，并基于权威指南RCOG血栓风险评估体系，结合患者全部病史、手术、用药、检查检验结果等信息，自动完成妊娠期及产褥期患者的VTE风险评估。并主动、及时提醒医生查看妊娠期及产褥期患者的VTE风险评估结果，且支持医生查看评估依据，快速确认。</w:t>
            </w:r>
          </w:p>
        </w:tc>
      </w:tr>
      <w:tr w14:paraId="34A06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continue"/>
            <w:vAlign w:val="center"/>
          </w:tcPr>
          <w:p w14:paraId="2F327AB8">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749" w:type="pct"/>
            <w:gridSpan w:val="2"/>
            <w:vMerge w:val="continue"/>
            <w:vAlign w:val="center"/>
          </w:tcPr>
          <w:p w14:paraId="0A62C916">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3501" w:type="pct"/>
            <w:vAlign w:val="center"/>
          </w:tcPr>
          <w:p w14:paraId="06AFB4FC">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系统结合妊娠期及产褥期患者全部病史、用药、检查检验结果等信息、智能识别中高危患者特征，根据患者妊娠期或产褥期状态，自动判断患者的VTE风险情况（是否为中高危患者）。支持人机VTE评估结果同一界面对比，根据对比结果进行重点关注。若系统评估危险程度高于医生，则应主动对医生进行提醒，帮助医生减少评估中的遗漏，增加评估的客观性和全面性。</w:t>
            </w:r>
          </w:p>
        </w:tc>
      </w:tr>
      <w:tr w14:paraId="3E83A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continue"/>
            <w:vAlign w:val="center"/>
          </w:tcPr>
          <w:p w14:paraId="4167CDEF">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749" w:type="pct"/>
            <w:gridSpan w:val="2"/>
            <w:vMerge w:val="continue"/>
            <w:vAlign w:val="center"/>
          </w:tcPr>
          <w:p w14:paraId="27C2EC44">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3501" w:type="pct"/>
            <w:vAlign w:val="center"/>
          </w:tcPr>
          <w:p w14:paraId="42F80FB8">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系统自动完成所有住院患者的VTE风险评估，并支持在医生打开电子病历时，主动提醒医生完成对患者VTE风险评估结果的确认，在医务人员快速确认系统自动评估的结果后，提醒自动消失。</w:t>
            </w:r>
          </w:p>
        </w:tc>
      </w:tr>
      <w:tr w14:paraId="64573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continue"/>
            <w:vAlign w:val="center"/>
          </w:tcPr>
          <w:p w14:paraId="2C80D6D5">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749" w:type="pct"/>
            <w:gridSpan w:val="2"/>
            <w:vMerge w:val="restart"/>
            <w:vAlign w:val="center"/>
          </w:tcPr>
          <w:p w14:paraId="6EA55057">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动态评估</w:t>
            </w:r>
          </w:p>
        </w:tc>
        <w:tc>
          <w:tcPr>
            <w:tcW w:w="3501" w:type="pct"/>
            <w:vAlign w:val="center"/>
          </w:tcPr>
          <w:p w14:paraId="41926522">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系统可实时识别妊娠期及产褥期患者，实时根据患者在院情况自动进行VTE风险评估，并主动提醒医务人员对妊娠期及产褥期患者的评估结果进行快速确认。保证患者病情变化时，能使用准确的VTE风险评估量表、自动判断风险程度、识别中高危患者，使医生掌握患者VTE风险动态变化。</w:t>
            </w:r>
          </w:p>
        </w:tc>
      </w:tr>
      <w:tr w14:paraId="6FB6C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continue"/>
            <w:vAlign w:val="center"/>
          </w:tcPr>
          <w:p w14:paraId="154CF228">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749" w:type="pct"/>
            <w:gridSpan w:val="2"/>
            <w:vMerge w:val="continue"/>
            <w:vAlign w:val="center"/>
          </w:tcPr>
          <w:p w14:paraId="689A516D">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3501" w:type="pct"/>
            <w:vAlign w:val="center"/>
          </w:tcPr>
          <w:p w14:paraId="591083F7">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在患者完成产科相关手术或分娩后，系统自动根据患者的术后情况，自动对患者进行VTE风险评估，针对VTE风险评估结果有变化的患者，主动提醒医务人员对评估结果进行确认，在医务人员快速确认评估结果后，质控提醒自动消失。</w:t>
            </w:r>
          </w:p>
          <w:p w14:paraId="2701677E">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系统可主动识别患者产科手术时间，监测评估是否在手术结束后24小时内完成。</w:t>
            </w:r>
          </w:p>
        </w:tc>
      </w:tr>
      <w:tr w14:paraId="78B47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continue"/>
            <w:vAlign w:val="center"/>
          </w:tcPr>
          <w:p w14:paraId="075AD1ED">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749" w:type="pct"/>
            <w:gridSpan w:val="2"/>
            <w:vMerge w:val="continue"/>
            <w:vAlign w:val="center"/>
          </w:tcPr>
          <w:p w14:paraId="606B8C35">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3501" w:type="pct"/>
            <w:vAlign w:val="center"/>
          </w:tcPr>
          <w:p w14:paraId="4E3EE6F6">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在患者完成转科后24小时内，系统主动提醒转入科室是否及时完成妊娠期及产褥期患者的VTE动态风险评估结果的确认。</w:t>
            </w:r>
          </w:p>
        </w:tc>
      </w:tr>
      <w:tr w14:paraId="6EDC3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continue"/>
            <w:vAlign w:val="center"/>
          </w:tcPr>
          <w:p w14:paraId="4CBB393D">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749" w:type="pct"/>
            <w:gridSpan w:val="2"/>
            <w:vMerge w:val="continue"/>
            <w:vAlign w:val="center"/>
          </w:tcPr>
          <w:p w14:paraId="22391FD9">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3501" w:type="pct"/>
            <w:vAlign w:val="center"/>
          </w:tcPr>
          <w:p w14:paraId="5C308215">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患者出院时，系统应主动提醒医生再次进行VTE风险评估结果确认，避免在患者出院前发生遗漏。</w:t>
            </w:r>
          </w:p>
        </w:tc>
      </w:tr>
      <w:tr w14:paraId="4A886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continue"/>
            <w:vAlign w:val="center"/>
          </w:tcPr>
          <w:p w14:paraId="26923D5A">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749" w:type="pct"/>
            <w:gridSpan w:val="2"/>
            <w:vMerge w:val="restart"/>
            <w:vAlign w:val="center"/>
          </w:tcPr>
          <w:p w14:paraId="73D76268">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出血风险评估</w:t>
            </w:r>
          </w:p>
        </w:tc>
        <w:tc>
          <w:tcPr>
            <w:tcW w:w="3501" w:type="pct"/>
            <w:vAlign w:val="center"/>
          </w:tcPr>
          <w:p w14:paraId="187D69C6">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鉴于抗凝预防本身潜在的出血并发症，系统实时自动根据患者的住院情况进行出血风险评估，并主动提醒医生对妊娠期及产褥期患者的出血风险评估结果进行查看，快速确认（可智能推荐适用于妊娠期及产褥期住院患者的出血风险评估表，并自动完成评估）。</w:t>
            </w:r>
          </w:p>
          <w:p w14:paraId="6CF6BCEB">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系统支持对妊娠期及产褥期住院患者的出血风险评估结果进行病历回填。</w:t>
            </w:r>
          </w:p>
        </w:tc>
      </w:tr>
      <w:tr w14:paraId="2630F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continue"/>
            <w:vAlign w:val="center"/>
          </w:tcPr>
          <w:p w14:paraId="57A92DE9">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749" w:type="pct"/>
            <w:gridSpan w:val="2"/>
            <w:vMerge w:val="continue"/>
            <w:vAlign w:val="center"/>
          </w:tcPr>
          <w:p w14:paraId="589F34E6">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3501" w:type="pct"/>
            <w:vAlign w:val="center"/>
          </w:tcPr>
          <w:p w14:paraId="251B48D3">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结合患者全部病史、用药、检查检验结果等信息，系统可根据出血高危患者特征，自动判断患者的出血风险情况。支持人机VTE评估对比，根据对比结果进行重点关注。</w:t>
            </w:r>
          </w:p>
        </w:tc>
      </w:tr>
      <w:tr w14:paraId="6B877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continue"/>
            <w:vAlign w:val="center"/>
          </w:tcPr>
          <w:p w14:paraId="7242B163">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749" w:type="pct"/>
            <w:gridSpan w:val="2"/>
            <w:vMerge w:val="restart"/>
            <w:vAlign w:val="center"/>
          </w:tcPr>
          <w:p w14:paraId="2AD791A1">
            <w:pPr>
              <w:pStyle w:val="163"/>
              <w:keepNext w:val="0"/>
              <w:keepLines w:val="0"/>
              <w:pageBreakBefore w:val="0"/>
              <w:kinsoku w:val="0"/>
              <w:wordWrap/>
              <w:overflowPunct w:val="0"/>
              <w:topLinePunct w:val="0"/>
              <w:bidi w:val="0"/>
              <w:spacing w:line="24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VTE预防措施</w:t>
            </w:r>
          </w:p>
        </w:tc>
        <w:tc>
          <w:tcPr>
            <w:tcW w:w="3501" w:type="pct"/>
            <w:vAlign w:val="center"/>
          </w:tcPr>
          <w:p w14:paraId="00535C06">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能够实时根据患者产褥期或妊娠期状态自动判断，对产褥期及妊娠期的VTE中危、高危患者推荐恰当、针对性的VTE预防措施，对未进行VTE预防措施的中高危风险患者，主动、智能提醒医务人员进行相应的基础预防、物理预防、药物预防等措施。</w:t>
            </w:r>
          </w:p>
          <w:p w14:paraId="7CDE72FF">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可根据医院需要设置为强制功能（强制给予预防措施），防止医生漏开预防措施。</w:t>
            </w:r>
          </w:p>
        </w:tc>
      </w:tr>
      <w:tr w14:paraId="24E6D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continue"/>
            <w:vAlign w:val="center"/>
          </w:tcPr>
          <w:p w14:paraId="63657D1A">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749" w:type="pct"/>
            <w:gridSpan w:val="2"/>
            <w:vMerge w:val="continue"/>
            <w:vAlign w:val="center"/>
          </w:tcPr>
          <w:p w14:paraId="7415317F">
            <w:pPr>
              <w:pStyle w:val="163"/>
              <w:keepNext w:val="0"/>
              <w:keepLines w:val="0"/>
              <w:pageBreakBefore w:val="0"/>
              <w:kinsoku w:val="0"/>
              <w:wordWrap/>
              <w:overflowPunct w:val="0"/>
              <w:topLinePunct w:val="0"/>
              <w:bidi w:val="0"/>
              <w:spacing w:line="240" w:lineRule="auto"/>
              <w:textAlignment w:val="auto"/>
              <w:rPr>
                <w:rFonts w:hint="eastAsia" w:ascii="宋体" w:hAnsi="宋体" w:eastAsia="宋体" w:cs="宋体"/>
                <w:sz w:val="21"/>
                <w:szCs w:val="21"/>
                <w:highlight w:val="none"/>
              </w:rPr>
            </w:pPr>
          </w:p>
        </w:tc>
        <w:tc>
          <w:tcPr>
            <w:tcW w:w="3501" w:type="pct"/>
            <w:vAlign w:val="center"/>
          </w:tcPr>
          <w:p w14:paraId="2D08EDDA">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根据患者VTE和出血风险的结果不同，定义恰当的预防措施，例如：产前阶段VTE高危、出血低危的患者应采用无妊娠禁忌的低分子肝素等抗凝药物进行预防。能够根据患者病情和预防措施的采取情况，自动判断患者是否采用恰当的预防措施，并主动给予医生提醒，保证预防措施执行到位。</w:t>
            </w:r>
          </w:p>
        </w:tc>
      </w:tr>
      <w:tr w14:paraId="11ED4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continue"/>
            <w:vAlign w:val="center"/>
          </w:tcPr>
          <w:p w14:paraId="4A8817A3">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749" w:type="pct"/>
            <w:gridSpan w:val="2"/>
            <w:vAlign w:val="center"/>
          </w:tcPr>
          <w:p w14:paraId="31576164">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在院监测</w:t>
            </w:r>
          </w:p>
        </w:tc>
        <w:tc>
          <w:tcPr>
            <w:tcW w:w="3501" w:type="pct"/>
            <w:vAlign w:val="center"/>
          </w:tcPr>
          <w:p w14:paraId="2A8410A1">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支持管理者对在院产褥期及妊娠期患者VTE防治措施执行情况进行监管，提醒医生对未按规范防治的高危患者及时采取补救措施进行防治、避免和减少因未及时防治而导致的VTE发生率及致死率。</w:t>
            </w:r>
          </w:p>
        </w:tc>
      </w:tr>
      <w:tr w14:paraId="211D1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continue"/>
            <w:vAlign w:val="center"/>
          </w:tcPr>
          <w:p w14:paraId="19C0E1B2">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749" w:type="pct"/>
            <w:gridSpan w:val="2"/>
            <w:vAlign w:val="center"/>
          </w:tcPr>
          <w:p w14:paraId="607A8DAC">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指标统计</w:t>
            </w:r>
          </w:p>
        </w:tc>
        <w:tc>
          <w:tcPr>
            <w:tcW w:w="3501" w:type="pct"/>
            <w:vAlign w:val="center"/>
          </w:tcPr>
          <w:p w14:paraId="6E2578EE">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医院和科室管理人员可对全院</w:t>
            </w:r>
            <w:r>
              <w:rPr>
                <w:rFonts w:hint="eastAsia" w:ascii="宋体" w:hAnsi="宋体" w:cs="宋体"/>
                <w:sz w:val="21"/>
                <w:szCs w:val="21"/>
                <w:highlight w:val="none"/>
                <w:lang w:eastAsia="zh-CN"/>
              </w:rPr>
              <w:t>或</w:t>
            </w:r>
            <w:r>
              <w:rPr>
                <w:rFonts w:hint="eastAsia" w:ascii="宋体" w:hAnsi="宋体" w:eastAsia="宋体" w:cs="宋体"/>
                <w:sz w:val="21"/>
                <w:szCs w:val="21"/>
                <w:highlight w:val="none"/>
              </w:rPr>
              <w:t>按科室对妇产科相关科室患者的VTE防治质控指标的达成情况和VTE实际发生率分析一览、查看相关患者明细，便于回顾追踪患者在院期间的VTE防治情况。至少包括入院评估、术后评估、转科评估、出院评估、出血评估、预防采取情况等至少五项统计指标。</w:t>
            </w:r>
          </w:p>
        </w:tc>
      </w:tr>
      <w:tr w14:paraId="7FB34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continue"/>
            <w:vAlign w:val="center"/>
          </w:tcPr>
          <w:p w14:paraId="41AF5BAA">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749" w:type="pct"/>
            <w:gridSpan w:val="2"/>
            <w:vAlign w:val="center"/>
          </w:tcPr>
          <w:p w14:paraId="4E524A9C">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恰当评估及预防情况监测</w:t>
            </w:r>
          </w:p>
        </w:tc>
        <w:tc>
          <w:tcPr>
            <w:tcW w:w="3501" w:type="pct"/>
            <w:vAlign w:val="center"/>
          </w:tcPr>
          <w:p w14:paraId="59BDF537">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系统自动根据患者妊娠期及产褥期状态、判断患者是否使用针对性的VTE风险评估量表，监测医务人员对患者的恰当VTE、出血风险评估</w:t>
            </w:r>
            <w:r>
              <w:rPr>
                <w:rFonts w:hint="eastAsia" w:ascii="宋体" w:hAnsi="宋体" w:cs="宋体"/>
                <w:sz w:val="21"/>
                <w:szCs w:val="21"/>
                <w:highlight w:val="none"/>
                <w:lang w:eastAsia="zh-CN"/>
              </w:rPr>
              <w:t>，以及</w:t>
            </w:r>
            <w:r>
              <w:rPr>
                <w:rFonts w:hint="eastAsia" w:ascii="宋体" w:hAnsi="宋体" w:eastAsia="宋体" w:cs="宋体"/>
                <w:sz w:val="21"/>
                <w:szCs w:val="21"/>
                <w:highlight w:val="none"/>
              </w:rPr>
              <w:t>预防情况。例如：产前阶段住院患者，系统自动判断患者是否进行适用于妊娠期患者的VTE风险评估，对于VTE高危、出血低危的患者，系统自动判断患者是否进行了针对性、无妊娠禁忌的抗凝药物预防措施。</w:t>
            </w:r>
          </w:p>
        </w:tc>
      </w:tr>
      <w:tr w14:paraId="3A614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restart"/>
            <w:vAlign w:val="center"/>
          </w:tcPr>
          <w:p w14:paraId="61112CEE">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r>
              <w:rPr>
                <w:rFonts w:hint="eastAsia" w:ascii="宋体" w:hAnsi="宋体" w:cs="宋体"/>
                <w:sz w:val="21"/>
                <w:szCs w:val="21"/>
                <w:highlight w:val="none"/>
              </w:rPr>
              <w:t>门诊VTE风险管理</w:t>
            </w:r>
          </w:p>
        </w:tc>
        <w:tc>
          <w:tcPr>
            <w:tcW w:w="749" w:type="pct"/>
            <w:gridSpan w:val="2"/>
            <w:vAlign w:val="center"/>
          </w:tcPr>
          <w:p w14:paraId="01A77FA8">
            <w:pPr>
              <w:pStyle w:val="163"/>
              <w:kinsoku w:val="0"/>
              <w:overflowPunct w:val="0"/>
              <w:jc w:val="center"/>
              <w:rPr>
                <w:rFonts w:hint="eastAsia" w:ascii="宋体" w:hAnsi="宋体" w:eastAsia="宋体" w:cs="宋体"/>
                <w:sz w:val="21"/>
                <w:szCs w:val="21"/>
                <w:highlight w:val="none"/>
              </w:rPr>
            </w:pPr>
            <w:r>
              <w:rPr>
                <w:rFonts w:hint="eastAsia" w:ascii="宋体" w:hAnsi="宋体" w:cs="宋体"/>
                <w:sz w:val="21"/>
                <w:szCs w:val="21"/>
                <w:highlight w:val="none"/>
              </w:rPr>
              <w:t>门诊妊娠VTE风险评估</w:t>
            </w:r>
          </w:p>
        </w:tc>
        <w:tc>
          <w:tcPr>
            <w:tcW w:w="3501" w:type="pct"/>
            <w:vAlign w:val="center"/>
          </w:tcPr>
          <w:p w14:paraId="583B5A3D">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cs="宋体"/>
                <w:sz w:val="21"/>
                <w:szCs w:val="21"/>
                <w:highlight w:val="none"/>
              </w:rPr>
              <w:t>支持与门诊HIS系统对接后对于妊娠期及产褥期的门诊患者，提醒医生对患者进行妊娠期及产褥期VTE风险评估，对于妊娠风险评估中危及以上患者，提醒进行出血风险评估。结合患者VTE风险评估结果和出血评估结果，提醒VTE预防措施。</w:t>
            </w:r>
          </w:p>
        </w:tc>
      </w:tr>
      <w:tr w14:paraId="5B72E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continue"/>
            <w:vAlign w:val="center"/>
          </w:tcPr>
          <w:p w14:paraId="4919BFDB">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749" w:type="pct"/>
            <w:gridSpan w:val="2"/>
            <w:vAlign w:val="center"/>
          </w:tcPr>
          <w:p w14:paraId="749B45A6">
            <w:pPr>
              <w:pStyle w:val="163"/>
              <w:kinsoku w:val="0"/>
              <w:overflowPunct w:val="0"/>
              <w:jc w:val="center"/>
              <w:rPr>
                <w:rFonts w:hint="eastAsia" w:ascii="宋体" w:hAnsi="宋体" w:eastAsia="宋体" w:cs="宋体"/>
                <w:sz w:val="21"/>
                <w:szCs w:val="21"/>
                <w:highlight w:val="none"/>
              </w:rPr>
            </w:pPr>
            <w:r>
              <w:rPr>
                <w:rFonts w:hint="eastAsia" w:ascii="宋体" w:hAnsi="宋体" w:cs="宋体"/>
                <w:sz w:val="21"/>
                <w:szCs w:val="21"/>
                <w:highlight w:val="none"/>
              </w:rPr>
              <w:t>门诊肿瘤VTE风险评估</w:t>
            </w:r>
          </w:p>
        </w:tc>
        <w:tc>
          <w:tcPr>
            <w:tcW w:w="3501" w:type="pct"/>
            <w:vAlign w:val="center"/>
          </w:tcPr>
          <w:p w14:paraId="6BC14642">
            <w:pPr>
              <w:pStyle w:val="163"/>
              <w:overflowPunct w:val="0"/>
              <w:rPr>
                <w:rFonts w:ascii="宋体" w:hAnsi="宋体" w:cs="宋体"/>
                <w:sz w:val="21"/>
                <w:szCs w:val="21"/>
                <w:highlight w:val="none"/>
              </w:rPr>
            </w:pPr>
            <w:r>
              <w:rPr>
                <w:rFonts w:hint="eastAsia" w:ascii="宋体" w:hAnsi="宋体" w:cs="宋体"/>
                <w:sz w:val="21"/>
                <w:szCs w:val="21"/>
                <w:highlight w:val="none"/>
              </w:rPr>
              <w:t>支持与门诊HIS系统对接后：</w:t>
            </w:r>
          </w:p>
          <w:p w14:paraId="27977839">
            <w:pPr>
              <w:pStyle w:val="163"/>
              <w:overflowPunct w:val="0"/>
              <w:rPr>
                <w:rFonts w:ascii="宋体" w:hAnsi="宋体" w:cs="宋体"/>
                <w:sz w:val="21"/>
                <w:szCs w:val="21"/>
                <w:highlight w:val="none"/>
              </w:rPr>
            </w:pPr>
            <w:r>
              <w:rPr>
                <w:rFonts w:hint="eastAsia" w:ascii="宋体" w:hAnsi="宋体" w:cs="宋体"/>
                <w:sz w:val="21"/>
                <w:szCs w:val="21"/>
                <w:highlight w:val="none"/>
              </w:rPr>
              <w:t>1.对于诊断恶性肿瘤的门诊患者，提醒评估Khorana风险评估表。</w:t>
            </w:r>
          </w:p>
          <w:p w14:paraId="3564D8F1">
            <w:pPr>
              <w:pStyle w:val="163"/>
              <w:overflowPunct w:val="0"/>
              <w:rPr>
                <w:rFonts w:ascii="宋体" w:hAnsi="宋体" w:cs="宋体"/>
                <w:sz w:val="21"/>
                <w:szCs w:val="21"/>
                <w:highlight w:val="none"/>
              </w:rPr>
            </w:pPr>
            <w:r>
              <w:rPr>
                <w:rFonts w:hint="eastAsia" w:ascii="宋体" w:hAnsi="宋体" w:cs="宋体"/>
                <w:sz w:val="21"/>
                <w:szCs w:val="21"/>
                <w:highlight w:val="none"/>
              </w:rPr>
              <w:t>2.对于Khroana风险评估2分及以上患者，提醒进行出血风险评估。</w:t>
            </w:r>
          </w:p>
          <w:p w14:paraId="00E829BD">
            <w:pPr>
              <w:pStyle w:val="163"/>
              <w:overflowPunct w:val="0"/>
              <w:rPr>
                <w:rFonts w:ascii="宋体" w:hAnsi="宋体" w:cs="宋体"/>
                <w:sz w:val="21"/>
                <w:szCs w:val="21"/>
                <w:highlight w:val="none"/>
              </w:rPr>
            </w:pPr>
            <w:r>
              <w:rPr>
                <w:rFonts w:hint="eastAsia" w:ascii="宋体" w:hAnsi="宋体" w:cs="宋体"/>
                <w:sz w:val="21"/>
                <w:szCs w:val="21"/>
                <w:highlight w:val="none"/>
              </w:rPr>
              <w:t>3.结合患者VTE风险评估结果和出血评估结果，提醒VTE预防措施。</w:t>
            </w:r>
          </w:p>
          <w:p w14:paraId="2D2119D5">
            <w:pPr>
              <w:pStyle w:val="163"/>
              <w:overflowPunct w:val="0"/>
              <w:rPr>
                <w:rFonts w:ascii="宋体" w:hAnsi="宋体" w:cs="宋体"/>
                <w:sz w:val="21"/>
                <w:szCs w:val="21"/>
                <w:highlight w:val="none"/>
              </w:rPr>
            </w:pPr>
            <w:r>
              <w:rPr>
                <w:rFonts w:hint="eastAsia" w:ascii="宋体" w:hAnsi="宋体" w:cs="宋体"/>
                <w:sz w:val="21"/>
                <w:szCs w:val="21"/>
                <w:highlight w:val="none"/>
              </w:rPr>
              <w:t>4.对于VTE风险1分及以下患者，提醒进行VTE基础预防及宣教。</w:t>
            </w:r>
          </w:p>
          <w:p w14:paraId="6B678D56">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cs="宋体"/>
                <w:sz w:val="21"/>
                <w:szCs w:val="21"/>
                <w:highlight w:val="none"/>
              </w:rPr>
              <w:t>5.主动识别历史VTE患者情况，提醒医生补充患者VTE既往病史。</w:t>
            </w:r>
          </w:p>
        </w:tc>
      </w:tr>
      <w:tr w14:paraId="01F28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restart"/>
            <w:vAlign w:val="center"/>
          </w:tcPr>
          <w:p w14:paraId="0E06C60A">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VTE质控平台</w:t>
            </w:r>
          </w:p>
        </w:tc>
        <w:tc>
          <w:tcPr>
            <w:tcW w:w="749" w:type="pct"/>
            <w:gridSpan w:val="2"/>
            <w:vAlign w:val="center"/>
          </w:tcPr>
          <w:p w14:paraId="1E87EFBF">
            <w:pPr>
              <w:keepNext w:val="0"/>
              <w:keepLines w:val="0"/>
              <w:pageBreakBefore w:val="0"/>
              <w:wordWrap/>
              <w:topLinePunct w:val="0"/>
              <w:bidi w:val="0"/>
              <w:spacing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科室质量管理平台</w:t>
            </w:r>
          </w:p>
        </w:tc>
        <w:tc>
          <w:tcPr>
            <w:tcW w:w="3501" w:type="pct"/>
            <w:vAlign w:val="center"/>
          </w:tcPr>
          <w:p w14:paraId="1AFB3853">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质控统计功能在科室质量管理平台中“VTE防治”模块，可查看VTE防治统计数据。能够提供管理部门完整、详细的数据统计分析报表，可以从管理端直观、多维度查看VTE防治效果。</w:t>
            </w:r>
          </w:p>
        </w:tc>
      </w:tr>
      <w:tr w14:paraId="56634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continue"/>
            <w:vAlign w:val="center"/>
          </w:tcPr>
          <w:p w14:paraId="5C89298A">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749" w:type="pct"/>
            <w:gridSpan w:val="2"/>
            <w:vMerge w:val="restart"/>
            <w:vAlign w:val="center"/>
          </w:tcPr>
          <w:p w14:paraId="38A43A1C">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在院监测</w:t>
            </w:r>
          </w:p>
        </w:tc>
        <w:tc>
          <w:tcPr>
            <w:tcW w:w="3501" w:type="pct"/>
            <w:vAlign w:val="center"/>
          </w:tcPr>
          <w:p w14:paraId="10C5682D">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支持管理者对在院患者VTE防治措施执行情况进行监管，提醒医生对未按规范防治的高危患者及时采取补救措施进行防治、避免和减少因未及时防治而导致的VTE发生率及致死率。</w:t>
            </w:r>
          </w:p>
        </w:tc>
      </w:tr>
      <w:tr w14:paraId="38243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continue"/>
            <w:vAlign w:val="center"/>
          </w:tcPr>
          <w:p w14:paraId="40D6CDCC">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749" w:type="pct"/>
            <w:gridSpan w:val="2"/>
            <w:vMerge w:val="continue"/>
            <w:vAlign w:val="center"/>
          </w:tcPr>
          <w:p w14:paraId="61AA45CE">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3501" w:type="pct"/>
            <w:vAlign w:val="center"/>
          </w:tcPr>
          <w:p w14:paraId="5324E45C">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对于未完成某项VTE防治措施的患者，系统可自动标红并提醒尽快完成防治措施；对于已完成某项VTE防治措施的患者，系统可自动查询相关评估结果的详细信息。支持下载患者VTE防治明细表格，进行更多维度的统计分析和临床管理。</w:t>
            </w:r>
          </w:p>
        </w:tc>
      </w:tr>
      <w:tr w14:paraId="327CB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3" w:hRule="atLeast"/>
          <w:jc w:val="center"/>
        </w:trPr>
        <w:tc>
          <w:tcPr>
            <w:tcW w:w="749" w:type="pct"/>
            <w:vMerge w:val="continue"/>
            <w:vAlign w:val="center"/>
          </w:tcPr>
          <w:p w14:paraId="1A56EF43">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749" w:type="pct"/>
            <w:gridSpan w:val="2"/>
            <w:vAlign w:val="center"/>
          </w:tcPr>
          <w:p w14:paraId="0716BCE6">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指标统计</w:t>
            </w:r>
          </w:p>
        </w:tc>
        <w:tc>
          <w:tcPr>
            <w:tcW w:w="3501" w:type="pct"/>
            <w:vAlign w:val="center"/>
          </w:tcPr>
          <w:p w14:paraId="5568B245">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▲医院和科室管理人员可对全院</w:t>
            </w:r>
            <w:r>
              <w:rPr>
                <w:rFonts w:hint="eastAsia" w:ascii="宋体" w:hAnsi="宋体" w:cs="宋体"/>
                <w:sz w:val="21"/>
                <w:szCs w:val="21"/>
                <w:highlight w:val="none"/>
                <w:lang w:eastAsia="zh-CN"/>
              </w:rPr>
              <w:t>或</w:t>
            </w:r>
            <w:r>
              <w:rPr>
                <w:rFonts w:hint="eastAsia" w:ascii="宋体" w:hAnsi="宋体" w:eastAsia="宋体" w:cs="宋体"/>
                <w:sz w:val="21"/>
                <w:szCs w:val="21"/>
                <w:highlight w:val="none"/>
              </w:rPr>
              <w:t>按科室对各科室患者的VTE防治质控指标的达成情况和VTE实际发生率分析一览、查看相关患者明细，同时支持按年龄、是否手术、是否为院外VTE、是否正在接受抗凝治疗、是否有机械预防禁忌等条件查看患者明细，便于回顾追踪患者在院期间的VTE防治情况。</w:t>
            </w:r>
          </w:p>
          <w:p w14:paraId="70A14519">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至少包括：</w:t>
            </w:r>
          </w:p>
          <w:p w14:paraId="36178F07">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（1）评估指标：支持按全院/科室/时间等不同维度筛选，统计指标包括，入院、术后、转科等关键节点的VTE评估情况、不同人群出血评估、Wells评估情况统计，各个指标支持下钻、科室分布图以及趋势图。</w:t>
            </w:r>
          </w:p>
          <w:p w14:paraId="18B5C556">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（2）预防详情指标：支持按全院/科室/时间等不同维度筛选，统计指标包括机械、药物、基础等不同层面，各个指标支持下钻、科室分布图以及趋势图。</w:t>
            </w:r>
          </w:p>
          <w:p w14:paraId="2B99010B">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（3）诊断指标：支持按全院/科室/时间等不同维度筛选，统计指标包括D-二聚体检测率、下肢血管超声率、超声心动图、肺血管CT率等不同层面，各个指标支持下钻、科室分布图以及趋势图。</w:t>
            </w:r>
          </w:p>
          <w:p w14:paraId="51BECF38">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（4）治疗指标：支持按全院/科室/时间等不同维度筛选，统计指标包括VTE患者的抗凝、溶栓等不同层面，各个指标支持下钻、分布图以及趋势图。</w:t>
            </w:r>
          </w:p>
          <w:p w14:paraId="53E434F2">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（5）结局指标：支持按全院/科室/时间等不同维度筛选，支持院内VTE发生情况的细指标统计，包括VTE，PTE，DVT等相关性和病死率统计，以及资源消耗情况统计，支持趋势图。</w:t>
            </w:r>
          </w:p>
          <w:p w14:paraId="0EB9DE7A">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（6）肿瘤相关指标：支持重症ICU患者VTE评估率，肺癌、结直肠癌、胃癌、乳腺癌、肝癌、食管癌等患者VTE评估率指标统计。每个指标支持计算公式、趋势图以及下钻功能。</w:t>
            </w:r>
          </w:p>
        </w:tc>
      </w:tr>
      <w:tr w14:paraId="4D614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continue"/>
            <w:vAlign w:val="center"/>
          </w:tcPr>
          <w:p w14:paraId="5F139234">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749" w:type="pct"/>
            <w:gridSpan w:val="2"/>
            <w:vAlign w:val="center"/>
          </w:tcPr>
          <w:p w14:paraId="19A7A6E6">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lang w:eastAsia="zh-Hans"/>
              </w:rPr>
            </w:pPr>
            <w:r>
              <w:rPr>
                <w:rFonts w:hint="eastAsia" w:ascii="宋体" w:hAnsi="宋体" w:eastAsia="宋体" w:cs="宋体"/>
                <w:sz w:val="21"/>
                <w:szCs w:val="21"/>
                <w:highlight w:val="none"/>
                <w:lang w:eastAsia="zh-Hans"/>
              </w:rPr>
              <w:t>随访清单</w:t>
            </w:r>
          </w:p>
        </w:tc>
        <w:tc>
          <w:tcPr>
            <w:tcW w:w="3501" w:type="pct"/>
            <w:vAlign w:val="center"/>
          </w:tcPr>
          <w:p w14:paraId="2530FCAF">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医院和科室管理人员可对全院</w:t>
            </w:r>
            <w:r>
              <w:rPr>
                <w:rFonts w:hint="eastAsia" w:ascii="宋体" w:hAnsi="宋体" w:cs="宋体"/>
                <w:sz w:val="21"/>
                <w:szCs w:val="21"/>
                <w:highlight w:val="none"/>
                <w:lang w:eastAsia="zh-CN"/>
              </w:rPr>
              <w:t>或</w:t>
            </w:r>
            <w:r>
              <w:rPr>
                <w:rFonts w:hint="eastAsia" w:ascii="宋体" w:hAnsi="宋体" w:eastAsia="宋体" w:cs="宋体"/>
                <w:sz w:val="21"/>
                <w:szCs w:val="21"/>
                <w:highlight w:val="none"/>
              </w:rPr>
              <w:t>按科室查看各科室患者的VTE防治情况，根据VTE风险情况、出血风险评估情况筛选随访目标患者。</w:t>
            </w:r>
          </w:p>
          <w:p w14:paraId="5449730F">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支持查看患者评估情况、出入院诊断、检查情况、预防措施情况等，支持下载患者清单。</w:t>
            </w:r>
          </w:p>
        </w:tc>
      </w:tr>
      <w:tr w14:paraId="2D719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8" w:hRule="atLeast"/>
          <w:jc w:val="center"/>
        </w:trPr>
        <w:tc>
          <w:tcPr>
            <w:tcW w:w="749" w:type="pct"/>
            <w:vMerge w:val="restart"/>
            <w:vAlign w:val="center"/>
          </w:tcPr>
          <w:p w14:paraId="6C1723BF">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VTE过程质量监控</w:t>
            </w:r>
          </w:p>
        </w:tc>
        <w:tc>
          <w:tcPr>
            <w:tcW w:w="749" w:type="pct"/>
            <w:gridSpan w:val="2"/>
            <w:vMerge w:val="restart"/>
            <w:vAlign w:val="center"/>
          </w:tcPr>
          <w:p w14:paraId="7B2B2F0A">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pacing w:val="-2"/>
                <w:sz w:val="21"/>
                <w:szCs w:val="21"/>
                <w:highlight w:val="none"/>
              </w:rPr>
              <w:t>医嘱监控（三级卡控）</w:t>
            </w:r>
          </w:p>
        </w:tc>
        <w:tc>
          <w:tcPr>
            <w:tcW w:w="3501" w:type="pct"/>
            <w:vAlign w:val="center"/>
          </w:tcPr>
          <w:p w14:paraId="0E902E59">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结合医院监管需求，支持医院根据自身业务需求设置VTE质控的提醒方式，提醒强度区分三级：1级仅提醒、2级弹出框主动展示提醒医生关注、3级弹出框主动展示提醒（医生开立预防医嘱时，根据患者病情，自动校验预防措施合理性，判断不合理或需完成相关检查、检验结果），以监测医生在患者住院期间病情变化的关键节点采取恰当、及时的预防措施。三级提醒级别支持医院个性化配置到每一条质控要求上，匹配医院不同的管理要求。</w:t>
            </w:r>
          </w:p>
        </w:tc>
      </w:tr>
      <w:tr w14:paraId="6A7B7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continue"/>
            <w:vAlign w:val="center"/>
          </w:tcPr>
          <w:p w14:paraId="4184A7B5">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749" w:type="pct"/>
            <w:gridSpan w:val="2"/>
            <w:vMerge w:val="continue"/>
            <w:vAlign w:val="center"/>
          </w:tcPr>
          <w:p w14:paraId="2057AE0E">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3501" w:type="pct"/>
            <w:vAlign w:val="center"/>
          </w:tcPr>
          <w:p w14:paraId="09F22ADA">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当患者VTE评估结果为中/高危时，系统应自动对预防措施的采取情况进行判断。若尚未完成相应的预防医嘱，系统应主动提醒（弹框提醒）医生下达预防处方。</w:t>
            </w:r>
          </w:p>
        </w:tc>
      </w:tr>
      <w:tr w14:paraId="4CA27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continue"/>
            <w:vAlign w:val="center"/>
          </w:tcPr>
          <w:p w14:paraId="1B93FFF9">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749" w:type="pct"/>
            <w:gridSpan w:val="2"/>
            <w:vMerge w:val="continue"/>
            <w:vAlign w:val="center"/>
          </w:tcPr>
          <w:p w14:paraId="1C392C9C">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3501" w:type="pct"/>
            <w:vAlign w:val="center"/>
          </w:tcPr>
          <w:p w14:paraId="78D87FF5">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当患者VTE评估结果为中/高危，且出血风险为高危时，若尚未完成物理预防医嘱，系统应主动对医生进行提醒（弹框提醒），在医生提交/保存医嘱时，进行提醒。若医生有其他考虑，需写明原因。</w:t>
            </w:r>
          </w:p>
        </w:tc>
      </w:tr>
      <w:tr w14:paraId="2F18E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continue"/>
            <w:vAlign w:val="center"/>
          </w:tcPr>
          <w:p w14:paraId="3EFF3D0B">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749" w:type="pct"/>
            <w:gridSpan w:val="2"/>
            <w:vMerge w:val="continue"/>
            <w:vAlign w:val="center"/>
          </w:tcPr>
          <w:p w14:paraId="36569A3B">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3501" w:type="pct"/>
            <w:vAlign w:val="center"/>
          </w:tcPr>
          <w:p w14:paraId="6EEC8780">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当患者出血风险为高危时，若医生继续下达抗凝药物医嘱时，系统应主动对医生进行强提醒，在医生提交/保存医嘱时，进行提醒。若医生有其他考虑，需写明原因。</w:t>
            </w:r>
          </w:p>
        </w:tc>
      </w:tr>
      <w:tr w14:paraId="618DE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continue"/>
            <w:vAlign w:val="center"/>
          </w:tcPr>
          <w:p w14:paraId="3B692E64">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749" w:type="pct"/>
            <w:gridSpan w:val="2"/>
            <w:vMerge w:val="continue"/>
            <w:vAlign w:val="center"/>
          </w:tcPr>
          <w:p w14:paraId="1C140139">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3501" w:type="pct"/>
            <w:vAlign w:val="center"/>
          </w:tcPr>
          <w:p w14:paraId="0E0972F9">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当患者VTE评估结果为中/高危，且出血风险为低危时，系统应主动提醒（弹框提醒）医生下达抗凝药物医嘱以预防血栓，若医生有其他顾虑，需写明原因。</w:t>
            </w:r>
          </w:p>
        </w:tc>
      </w:tr>
      <w:tr w14:paraId="63560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continue"/>
            <w:vAlign w:val="center"/>
          </w:tcPr>
          <w:p w14:paraId="35BC4CF3">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749" w:type="pct"/>
            <w:gridSpan w:val="2"/>
            <w:vMerge w:val="restart"/>
            <w:vAlign w:val="center"/>
          </w:tcPr>
          <w:p w14:paraId="0669475B">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实时可视化数据大屏监控</w:t>
            </w:r>
          </w:p>
        </w:tc>
        <w:tc>
          <w:tcPr>
            <w:tcW w:w="3501" w:type="pct"/>
            <w:vAlign w:val="center"/>
          </w:tcPr>
          <w:p w14:paraId="575DC3B2">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将全院、各个科室的VTE防治情况进行实时可视化大屏监控，进行多维度实时监测院内评测和VTE的风险评估情况、出血风险评估情况、风险评估率走势、预防措施等情况，并自动计算VTE评估率、出血评估率、预防措施实施率等，便于监控患者的VTE实时防治情况。</w:t>
            </w:r>
          </w:p>
        </w:tc>
      </w:tr>
      <w:tr w14:paraId="3673C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continue"/>
            <w:vAlign w:val="center"/>
          </w:tcPr>
          <w:p w14:paraId="7B446D0A">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749" w:type="pct"/>
            <w:gridSpan w:val="2"/>
            <w:vMerge w:val="continue"/>
            <w:vAlign w:val="center"/>
          </w:tcPr>
          <w:p w14:paraId="545A227C">
            <w:pPr>
              <w:pStyle w:val="163"/>
              <w:keepNext w:val="0"/>
              <w:keepLines w:val="0"/>
              <w:pageBreakBefore w:val="0"/>
              <w:kinsoku w:val="0"/>
              <w:wordWrap/>
              <w:overflowPunct w:val="0"/>
              <w:topLinePunct w:val="0"/>
              <w:bidi w:val="0"/>
              <w:spacing w:line="240" w:lineRule="auto"/>
              <w:jc w:val="center"/>
              <w:textAlignment w:val="auto"/>
              <w:rPr>
                <w:rFonts w:hint="eastAsia" w:ascii="宋体" w:hAnsi="宋体" w:eastAsia="宋体" w:cs="宋体"/>
                <w:sz w:val="21"/>
                <w:szCs w:val="21"/>
                <w:highlight w:val="none"/>
              </w:rPr>
            </w:pPr>
          </w:p>
        </w:tc>
        <w:tc>
          <w:tcPr>
            <w:tcW w:w="3501" w:type="pct"/>
            <w:vAlign w:val="center"/>
          </w:tcPr>
          <w:p w14:paraId="777B5ED4">
            <w:pPr>
              <w:pStyle w:val="163"/>
              <w:keepNext w:val="0"/>
              <w:keepLines w:val="0"/>
              <w:pageBreakBefore w:val="0"/>
              <w:wordWrap/>
              <w:overflowPunct w:val="0"/>
              <w:topLinePunct w:val="0"/>
              <w:bidi w:val="0"/>
              <w:spacing w:line="24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实时分类展示全院、各个科室患者的VTE防控详细信息，包括：使用的VTE评估表名称、VTE风险等级、出血风险评估情况、VTE中高危患者的详细风险评估结果、出血风险因素、预防药物、药物剂量、物理预防措施、是否确诊DVT/PTE、入院或带入性VTE。</w:t>
            </w:r>
          </w:p>
        </w:tc>
      </w:tr>
      <w:tr w14:paraId="46061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restart"/>
            <w:vAlign w:val="center"/>
          </w:tcPr>
          <w:p w14:paraId="35A36D12">
            <w:pPr>
              <w:jc w:val="center"/>
              <w:rPr>
                <w:rFonts w:ascii="宋体" w:hAnsi="宋体" w:cs="宋体"/>
                <w:sz w:val="21"/>
                <w:szCs w:val="21"/>
                <w:highlight w:val="none"/>
              </w:rPr>
            </w:pPr>
            <w:bookmarkStart w:id="6" w:name="_Toc167116146"/>
            <w:r>
              <w:rPr>
                <w:rFonts w:hint="eastAsia" w:ascii="Times New Roman" w:hAnsi="Times New Roman"/>
                <w:highlight w:val="none"/>
              </w:rPr>
              <w:t>数据治理</w:t>
            </w:r>
          </w:p>
        </w:tc>
        <w:tc>
          <w:tcPr>
            <w:tcW w:w="749" w:type="pct"/>
            <w:gridSpan w:val="2"/>
            <w:vAlign w:val="center"/>
          </w:tcPr>
          <w:p w14:paraId="02C9A4AE">
            <w:pPr>
              <w:pStyle w:val="163"/>
              <w:kinsoku w:val="0"/>
              <w:overflowPunct w:val="0"/>
              <w:jc w:val="center"/>
              <w:rPr>
                <w:rFonts w:ascii="宋体" w:hAnsi="宋体" w:cs="宋体"/>
                <w:sz w:val="21"/>
                <w:szCs w:val="21"/>
                <w:highlight w:val="none"/>
              </w:rPr>
            </w:pPr>
            <w:r>
              <w:rPr>
                <w:rFonts w:hint="eastAsia" w:ascii="宋体" w:hAnsi="宋体" w:cs="宋体"/>
                <w:spacing w:val="-2"/>
                <w:sz w:val="21"/>
                <w:szCs w:val="21"/>
                <w:highlight w:val="none"/>
              </w:rPr>
              <w:t>数据质量管理</w:t>
            </w:r>
          </w:p>
        </w:tc>
        <w:tc>
          <w:tcPr>
            <w:tcW w:w="3501" w:type="pct"/>
            <w:vAlign w:val="top"/>
          </w:tcPr>
          <w:p w14:paraId="7DCCC1D1">
            <w:pPr>
              <w:pStyle w:val="163"/>
              <w:overflowPunct w:val="0"/>
              <w:jc w:val="both"/>
              <w:rPr>
                <w:rFonts w:ascii="宋体" w:hAnsi="宋体" w:cs="宋体"/>
                <w:b w:val="0"/>
                <w:bCs w:val="0"/>
                <w:color w:val="000000"/>
                <w:szCs w:val="21"/>
                <w:highlight w:val="none"/>
              </w:rPr>
            </w:pPr>
            <w:r>
              <w:rPr>
                <w:rFonts w:hint="eastAsia" w:ascii="宋体" w:hAnsi="宋体" w:cs="宋体"/>
                <w:b w:val="0"/>
                <w:bCs w:val="0"/>
                <w:color w:val="000000"/>
                <w:sz w:val="21"/>
                <w:szCs w:val="21"/>
                <w:highlight w:val="none"/>
              </w:rPr>
              <w:t>可按照电子病历评级五级、六级标准包对以下业务的数据质量实现监控：</w:t>
            </w:r>
          </w:p>
          <w:p w14:paraId="5D85589A">
            <w:pPr>
              <w:pStyle w:val="163"/>
              <w:overflowPunct w:val="0"/>
              <w:jc w:val="both"/>
              <w:rPr>
                <w:rFonts w:ascii="宋体" w:hAnsi="宋体" w:cs="宋体"/>
                <w:b w:val="0"/>
                <w:bCs w:val="0"/>
                <w:color w:val="000000"/>
                <w:szCs w:val="21"/>
                <w:highlight w:val="none"/>
              </w:rPr>
            </w:pPr>
            <w:r>
              <w:rPr>
                <w:rFonts w:hint="eastAsia" w:ascii="宋体" w:hAnsi="宋体" w:cs="宋体"/>
                <w:sz w:val="21"/>
                <w:szCs w:val="21"/>
                <w:highlight w:val="none"/>
              </w:rPr>
              <w:t>1</w:t>
            </w:r>
            <w:r>
              <w:rPr>
                <w:rFonts w:ascii="宋体" w:hAnsi="宋体" w:cs="宋体"/>
                <w:b w:val="0"/>
                <w:bCs w:val="0"/>
                <w:color w:val="000000"/>
                <w:sz w:val="21"/>
                <w:szCs w:val="21"/>
                <w:highlight w:val="none"/>
              </w:rPr>
              <w:t>.自动对病房医师、门诊医师、检查科室、检验处理等业务项目自动进行数据质量评分。</w:t>
            </w:r>
          </w:p>
          <w:p w14:paraId="2A7CECC3">
            <w:pPr>
              <w:pStyle w:val="163"/>
              <w:overflowPunct w:val="0"/>
              <w:jc w:val="both"/>
              <w:rPr>
                <w:rFonts w:ascii="宋体" w:hAnsi="宋体" w:cs="宋体"/>
                <w:b w:val="0"/>
                <w:bCs w:val="0"/>
                <w:color w:val="000000"/>
                <w:szCs w:val="21"/>
                <w:highlight w:val="none"/>
              </w:rPr>
            </w:pPr>
            <w:r>
              <w:rPr>
                <w:rFonts w:hint="eastAsia" w:ascii="宋体" w:hAnsi="宋体" w:cs="宋体"/>
                <w:sz w:val="21"/>
                <w:szCs w:val="21"/>
                <w:highlight w:val="none"/>
              </w:rPr>
              <w:t>2</w:t>
            </w:r>
            <w:r>
              <w:rPr>
                <w:rFonts w:ascii="宋体" w:hAnsi="宋体" w:cs="宋体"/>
                <w:b w:val="0"/>
                <w:bCs w:val="0"/>
                <w:color w:val="000000"/>
                <w:sz w:val="21"/>
                <w:szCs w:val="21"/>
                <w:highlight w:val="none"/>
              </w:rPr>
              <w:t>.针对病房医师，纳入数据质量监控的业务项目至少包含：医嘱处理、检验报告、检验申请、检查报告、检查申请、病历记录。针对检查科室，纳入数据质量监控的业务项目至少包含：申请与预约、检查记录、检查报告。</w:t>
            </w:r>
          </w:p>
          <w:p w14:paraId="78ABF228">
            <w:pPr>
              <w:pStyle w:val="163"/>
              <w:overflowPunct w:val="0"/>
              <w:jc w:val="both"/>
              <w:rPr>
                <w:rFonts w:ascii="宋体" w:hAnsi="宋体" w:cs="宋体"/>
                <w:b w:val="0"/>
                <w:bCs w:val="0"/>
                <w:color w:val="000000"/>
                <w:szCs w:val="21"/>
                <w:highlight w:val="none"/>
              </w:rPr>
            </w:pPr>
            <w:r>
              <w:rPr>
                <w:rFonts w:hint="eastAsia" w:ascii="宋体" w:hAnsi="宋体" w:cs="宋体"/>
                <w:sz w:val="21"/>
                <w:szCs w:val="21"/>
                <w:highlight w:val="none"/>
              </w:rPr>
              <w:t>3</w:t>
            </w:r>
            <w:r>
              <w:rPr>
                <w:rFonts w:ascii="宋体" w:hAnsi="宋体" w:cs="宋体"/>
                <w:b w:val="0"/>
                <w:bCs w:val="0"/>
                <w:color w:val="000000"/>
                <w:sz w:val="21"/>
                <w:szCs w:val="21"/>
                <w:highlight w:val="none"/>
              </w:rPr>
              <w:t>.对各个业务数据的编码对照率、字段有值率、字段关联率、时间顺序正确率进行自动统计并支持对于缺陷数据下钻至记录明细，记录明细至少包含：角色、业务项目、评价标准、评价项目、未通过记录ID、患者标识。</w:t>
            </w:r>
          </w:p>
          <w:p w14:paraId="1211084F">
            <w:pPr>
              <w:pStyle w:val="163"/>
              <w:overflowPunct w:val="0"/>
              <w:jc w:val="both"/>
              <w:rPr>
                <w:rFonts w:hint="eastAsia" w:ascii="宋体" w:hAnsi="宋体" w:cs="宋体"/>
                <w:sz w:val="21"/>
                <w:szCs w:val="21"/>
                <w:highlight w:val="none"/>
              </w:rPr>
            </w:pPr>
            <w:r>
              <w:rPr>
                <w:rFonts w:hint="eastAsia" w:ascii="宋体" w:hAnsi="宋体" w:cs="宋体"/>
                <w:sz w:val="21"/>
                <w:szCs w:val="21"/>
                <w:highlight w:val="none"/>
              </w:rPr>
              <w:t>4</w:t>
            </w:r>
            <w:r>
              <w:rPr>
                <w:rFonts w:ascii="宋体" w:hAnsi="宋体" w:cs="宋体"/>
                <w:b w:val="0"/>
                <w:bCs w:val="0"/>
                <w:color w:val="000000"/>
                <w:sz w:val="21"/>
                <w:szCs w:val="21"/>
                <w:highlight w:val="none"/>
              </w:rPr>
              <w:t>.可直接查看任意评价项目的sql配置。</w:t>
            </w:r>
          </w:p>
        </w:tc>
      </w:tr>
      <w:tr w14:paraId="40F5F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49" w:type="pct"/>
            <w:vMerge w:val="continue"/>
            <w:vAlign w:val="center"/>
          </w:tcPr>
          <w:p w14:paraId="007E531A">
            <w:pPr>
              <w:jc w:val="center"/>
              <w:rPr>
                <w:rFonts w:ascii="宋体" w:hAnsi="宋体" w:cs="宋体"/>
                <w:sz w:val="21"/>
                <w:szCs w:val="21"/>
                <w:highlight w:val="none"/>
              </w:rPr>
            </w:pPr>
          </w:p>
        </w:tc>
        <w:tc>
          <w:tcPr>
            <w:tcW w:w="749" w:type="pct"/>
            <w:gridSpan w:val="2"/>
            <w:vAlign w:val="center"/>
          </w:tcPr>
          <w:p w14:paraId="6C29B24B">
            <w:pPr>
              <w:pStyle w:val="163"/>
              <w:kinsoku w:val="0"/>
              <w:overflowPunct w:val="0"/>
              <w:jc w:val="center"/>
              <w:rPr>
                <w:rFonts w:ascii="宋体" w:hAnsi="宋体" w:cs="宋体"/>
                <w:sz w:val="21"/>
                <w:szCs w:val="21"/>
                <w:highlight w:val="none"/>
              </w:rPr>
            </w:pPr>
            <w:r>
              <w:rPr>
                <w:rFonts w:hint="eastAsia" w:ascii="宋体" w:hAnsi="宋体" w:cs="宋体"/>
                <w:spacing w:val="-2"/>
                <w:sz w:val="21"/>
                <w:szCs w:val="21"/>
                <w:highlight w:val="none"/>
              </w:rPr>
              <w:t>自然语言处理</w:t>
            </w:r>
          </w:p>
        </w:tc>
        <w:tc>
          <w:tcPr>
            <w:tcW w:w="3501" w:type="pct"/>
            <w:vAlign w:val="top"/>
          </w:tcPr>
          <w:p w14:paraId="41D40F28">
            <w:pPr>
              <w:pStyle w:val="163"/>
              <w:overflowPunct w:val="0"/>
              <w:rPr>
                <w:rFonts w:ascii="宋体" w:hAnsi="宋体" w:cs="宋体"/>
                <w:sz w:val="21"/>
                <w:szCs w:val="21"/>
                <w:highlight w:val="none"/>
              </w:rPr>
            </w:pPr>
            <w:r>
              <w:rPr>
                <w:rFonts w:hint="eastAsia" w:ascii="宋体" w:hAnsi="宋体" w:cs="宋体"/>
                <w:sz w:val="21"/>
                <w:szCs w:val="21"/>
                <w:highlight w:val="none"/>
              </w:rPr>
              <w:t>可对各类非结构化医疗文书进行实时后结构化处理，如对于整段文本形式的出院记录可进行实时智能分析，至少包括：</w:t>
            </w:r>
          </w:p>
          <w:p w14:paraId="48453A99">
            <w:pPr>
              <w:pStyle w:val="163"/>
              <w:overflowPunct w:val="0"/>
              <w:rPr>
                <w:rFonts w:ascii="宋体" w:hAnsi="宋体" w:cs="宋体"/>
                <w:sz w:val="21"/>
                <w:szCs w:val="21"/>
                <w:highlight w:val="none"/>
              </w:rPr>
            </w:pPr>
            <w:r>
              <w:rPr>
                <w:rFonts w:hint="eastAsia" w:ascii="宋体" w:hAnsi="宋体" w:cs="宋体"/>
                <w:sz w:val="21"/>
                <w:szCs w:val="21"/>
                <w:highlight w:val="none"/>
              </w:rPr>
              <w:t>1.自动分段、分句：自动解析出入院日期、出院日期、入院情况、入院诊断、诊疗经过、出院情况、出院诊断、出院医嘱。并将每段文本中的句子进行自动分段。</w:t>
            </w:r>
          </w:p>
          <w:p w14:paraId="4E715ADD">
            <w:pPr>
              <w:pStyle w:val="163"/>
              <w:overflowPunct w:val="0"/>
              <w:rPr>
                <w:rFonts w:ascii="宋体" w:hAnsi="宋体" w:cs="宋体"/>
                <w:sz w:val="21"/>
                <w:szCs w:val="21"/>
                <w:highlight w:val="none"/>
              </w:rPr>
            </w:pPr>
            <w:r>
              <w:rPr>
                <w:rFonts w:hint="eastAsia" w:ascii="宋体" w:hAnsi="宋体" w:cs="宋体"/>
                <w:sz w:val="21"/>
                <w:szCs w:val="21"/>
                <w:highlight w:val="none"/>
              </w:rPr>
              <w:t>2.自动分词：自动对每句文本中的医学实体进行正确识别。</w:t>
            </w:r>
          </w:p>
          <w:p w14:paraId="60545E51">
            <w:pPr>
              <w:pStyle w:val="163"/>
              <w:overflowPunct w:val="0"/>
              <w:rPr>
                <w:rFonts w:ascii="宋体" w:hAnsi="宋体" w:cs="宋体"/>
                <w:sz w:val="21"/>
                <w:szCs w:val="21"/>
                <w:highlight w:val="none"/>
              </w:rPr>
            </w:pPr>
            <w:r>
              <w:rPr>
                <w:rFonts w:hint="eastAsia" w:ascii="宋体" w:hAnsi="宋体" w:cs="宋体"/>
                <w:sz w:val="21"/>
                <w:szCs w:val="21"/>
                <w:highlight w:val="none"/>
              </w:rPr>
              <w:t>3.实体关联：对于不同实体之间的关系进行正确关联，如：对于肿瘤TNM分期可识别并与临床诊断进行关联。</w:t>
            </w:r>
          </w:p>
          <w:p w14:paraId="77C32839">
            <w:pPr>
              <w:pStyle w:val="163"/>
              <w:overflowPunct w:val="0"/>
              <w:rPr>
                <w:rFonts w:ascii="宋体" w:hAnsi="宋体" w:cs="宋体"/>
                <w:sz w:val="21"/>
                <w:szCs w:val="21"/>
                <w:highlight w:val="none"/>
              </w:rPr>
            </w:pPr>
            <w:r>
              <w:rPr>
                <w:rFonts w:hint="eastAsia" w:ascii="宋体" w:hAnsi="宋体" w:cs="宋体"/>
                <w:sz w:val="21"/>
                <w:szCs w:val="21"/>
                <w:highlight w:val="none"/>
              </w:rPr>
              <w:t>4.▲实体抽取：以数据库视图形式展示抽取的实体类型及值。</w:t>
            </w:r>
          </w:p>
          <w:p w14:paraId="47DFC615">
            <w:pPr>
              <w:pStyle w:val="163"/>
              <w:overflowPunct w:val="0"/>
              <w:jc w:val="both"/>
              <w:rPr>
                <w:rFonts w:hint="eastAsia" w:ascii="宋体" w:hAnsi="宋体" w:cs="宋体"/>
                <w:sz w:val="21"/>
                <w:szCs w:val="21"/>
                <w:highlight w:val="none"/>
              </w:rPr>
            </w:pPr>
            <w:r>
              <w:rPr>
                <w:rFonts w:hint="eastAsia" w:ascii="宋体" w:hAnsi="宋体" w:cs="宋体"/>
                <w:sz w:val="21"/>
                <w:szCs w:val="21"/>
                <w:highlight w:val="none"/>
              </w:rPr>
              <w:t>5.▲API视图：支持以RESTful API接口方式调用自然语言处理引擎并返回相应识别结果。</w:t>
            </w:r>
          </w:p>
        </w:tc>
      </w:tr>
      <w:tr w14:paraId="34820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497" w:type="pct"/>
            <w:gridSpan w:val="2"/>
            <w:vAlign w:val="center"/>
          </w:tcPr>
          <w:p w14:paraId="578EE7EF">
            <w:pPr>
              <w:pStyle w:val="163"/>
              <w:kinsoku w:val="0"/>
              <w:overflowPunct w:val="0"/>
              <w:jc w:val="center"/>
              <w:rPr>
                <w:rFonts w:ascii="宋体" w:hAnsi="宋体" w:cs="宋体"/>
                <w:sz w:val="21"/>
                <w:szCs w:val="21"/>
                <w:highlight w:val="none"/>
              </w:rPr>
            </w:pPr>
            <w:r>
              <w:rPr>
                <w:rFonts w:hint="eastAsia" w:ascii="宋体" w:hAnsi="宋体" w:cs="宋体"/>
                <w:sz w:val="21"/>
                <w:szCs w:val="21"/>
                <w:highlight w:val="none"/>
              </w:rPr>
              <w:t>VTE不良事件上报</w:t>
            </w:r>
          </w:p>
        </w:tc>
        <w:tc>
          <w:tcPr>
            <w:tcW w:w="3502" w:type="pct"/>
            <w:gridSpan w:val="2"/>
            <w:vAlign w:val="center"/>
          </w:tcPr>
          <w:p w14:paraId="1CDE23D7">
            <w:pPr>
              <w:pStyle w:val="163"/>
              <w:overflowPunct w:val="0"/>
              <w:rPr>
                <w:rFonts w:ascii="宋体" w:hAnsi="宋体" w:cs="宋体"/>
                <w:sz w:val="21"/>
                <w:szCs w:val="21"/>
                <w:highlight w:val="none"/>
              </w:rPr>
            </w:pPr>
            <w:r>
              <w:rPr>
                <w:rFonts w:hint="eastAsia" w:ascii="宋体" w:hAnsi="宋体" w:cs="宋体"/>
                <w:sz w:val="21"/>
                <w:szCs w:val="21"/>
                <w:highlight w:val="none"/>
              </w:rPr>
              <w:t>1.支持针对出院诊断VTE的患者，事中填报《VTE不良事件上报表单》。</w:t>
            </w:r>
          </w:p>
          <w:p w14:paraId="497ED2E5">
            <w:pPr>
              <w:pStyle w:val="163"/>
              <w:overflowPunct w:val="0"/>
              <w:rPr>
                <w:rFonts w:ascii="宋体" w:hAnsi="宋体" w:cs="宋体"/>
                <w:sz w:val="21"/>
                <w:szCs w:val="21"/>
                <w:highlight w:val="none"/>
              </w:rPr>
            </w:pPr>
            <w:r>
              <w:rPr>
                <w:rFonts w:hint="eastAsia" w:ascii="宋体" w:hAnsi="宋体" w:cs="宋体"/>
                <w:sz w:val="21"/>
                <w:szCs w:val="21"/>
                <w:highlight w:val="none"/>
              </w:rPr>
              <w:t>2.填报内容包括患者基本信息、出入院诊断、VTE诊断情况、VTE风险评估情况、VTE预防情况、手术情况、转归等信息。</w:t>
            </w:r>
          </w:p>
          <w:p w14:paraId="5760B269">
            <w:pPr>
              <w:pStyle w:val="163"/>
              <w:overflowPunct w:val="0"/>
              <w:jc w:val="both"/>
              <w:rPr>
                <w:rFonts w:ascii="宋体" w:hAnsi="宋体" w:cs="宋体"/>
                <w:sz w:val="21"/>
                <w:szCs w:val="21"/>
                <w:highlight w:val="none"/>
              </w:rPr>
            </w:pPr>
            <w:r>
              <w:rPr>
                <w:rFonts w:hint="eastAsia" w:ascii="宋体" w:hAnsi="宋体" w:cs="宋体"/>
                <w:sz w:val="21"/>
                <w:szCs w:val="21"/>
                <w:highlight w:val="none"/>
              </w:rPr>
              <w:t>3.支持事后对患者进行入组，并填报或修改《VTE不良事件上报表单》。</w:t>
            </w:r>
          </w:p>
        </w:tc>
      </w:tr>
      <w:tr w14:paraId="7D9BA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497" w:type="pct"/>
            <w:gridSpan w:val="2"/>
            <w:vAlign w:val="center"/>
          </w:tcPr>
          <w:p w14:paraId="3E68141B">
            <w:pPr>
              <w:pStyle w:val="163"/>
              <w:kinsoku w:val="0"/>
              <w:overflowPunct w:val="0"/>
              <w:jc w:val="center"/>
              <w:rPr>
                <w:rFonts w:ascii="宋体" w:hAnsi="宋体" w:cs="宋体"/>
                <w:sz w:val="21"/>
                <w:szCs w:val="21"/>
                <w:highlight w:val="none"/>
              </w:rPr>
            </w:pPr>
            <w:r>
              <w:rPr>
                <w:rFonts w:hint="eastAsia" w:ascii="宋体" w:hAnsi="宋体" w:cs="宋体"/>
                <w:sz w:val="21"/>
                <w:szCs w:val="21"/>
                <w:highlight w:val="none"/>
              </w:rPr>
              <w:t>静脉血栓栓塞症病例报告表</w:t>
            </w:r>
          </w:p>
        </w:tc>
        <w:tc>
          <w:tcPr>
            <w:tcW w:w="3502" w:type="pct"/>
            <w:gridSpan w:val="2"/>
            <w:vAlign w:val="center"/>
          </w:tcPr>
          <w:p w14:paraId="5149EA63">
            <w:pPr>
              <w:pStyle w:val="163"/>
              <w:overflowPunct w:val="0"/>
              <w:rPr>
                <w:rFonts w:ascii="宋体" w:hAnsi="宋体" w:cs="宋体"/>
                <w:sz w:val="21"/>
                <w:szCs w:val="21"/>
                <w:highlight w:val="none"/>
              </w:rPr>
            </w:pPr>
            <w:r>
              <w:rPr>
                <w:rFonts w:hint="eastAsia" w:ascii="宋体" w:hAnsi="宋体" w:cs="宋体"/>
                <w:sz w:val="21"/>
                <w:szCs w:val="21"/>
                <w:highlight w:val="none"/>
              </w:rPr>
              <w:t>1.针对VTE中高危患者、诊断VTE患者，支持事中提醒填报《静脉血栓栓塞症病例报告表》。</w:t>
            </w:r>
          </w:p>
          <w:p w14:paraId="7D72B38C">
            <w:pPr>
              <w:pStyle w:val="163"/>
              <w:overflowPunct w:val="0"/>
              <w:rPr>
                <w:rFonts w:ascii="宋体" w:hAnsi="宋体" w:cs="宋体"/>
                <w:sz w:val="21"/>
                <w:szCs w:val="21"/>
                <w:highlight w:val="none"/>
              </w:rPr>
            </w:pPr>
            <w:r>
              <w:rPr>
                <w:rFonts w:hint="eastAsia" w:ascii="宋体" w:hAnsi="宋体" w:cs="宋体"/>
                <w:sz w:val="21"/>
                <w:szCs w:val="21"/>
                <w:highlight w:val="none"/>
              </w:rPr>
              <w:t>2.填报包括患者基本信息、入院病情、基础疾病病史、手术操作情况、VTE风险因素、出血风险因素、实验室检查、VTE预防情况、VTE发生情况、出院情况等信息，</w:t>
            </w:r>
            <w:r>
              <w:rPr>
                <w:rFonts w:hint="eastAsia" w:ascii="宋体" w:hAnsi="宋体" w:cs="宋体"/>
                <w:sz w:val="21"/>
                <w:szCs w:val="21"/>
                <w:highlight w:val="none"/>
                <w:lang w:eastAsia="zh-CN"/>
              </w:rPr>
              <w:t>超过</w:t>
            </w:r>
            <w:r>
              <w:rPr>
                <w:rFonts w:hint="eastAsia" w:ascii="宋体" w:hAnsi="宋体" w:cs="宋体"/>
                <w:sz w:val="21"/>
                <w:szCs w:val="21"/>
                <w:highlight w:val="none"/>
              </w:rPr>
              <w:t>上百个填报项目。</w:t>
            </w:r>
          </w:p>
          <w:p w14:paraId="52A1460D">
            <w:pPr>
              <w:pStyle w:val="163"/>
              <w:overflowPunct w:val="0"/>
              <w:rPr>
                <w:rFonts w:ascii="宋体" w:hAnsi="宋体" w:cs="宋体"/>
                <w:sz w:val="21"/>
                <w:szCs w:val="21"/>
                <w:highlight w:val="none"/>
              </w:rPr>
            </w:pPr>
            <w:r>
              <w:rPr>
                <w:rFonts w:hint="eastAsia" w:ascii="宋体" w:hAnsi="宋体" w:cs="宋体"/>
                <w:sz w:val="21"/>
                <w:szCs w:val="21"/>
                <w:highlight w:val="none"/>
              </w:rPr>
              <w:t>3.支持事后对患者进行入组，并填报或修改《静脉血栓栓塞症病例报告表》。</w:t>
            </w:r>
          </w:p>
        </w:tc>
      </w:tr>
    </w:tbl>
    <w:p w14:paraId="1062B06D">
      <w:pPr>
        <w:widowControl/>
        <w:numPr>
          <w:ilvl w:val="1"/>
          <w:numId w:val="0"/>
        </w:numPr>
        <w:adjustRightInd w:val="0"/>
        <w:snapToGrid w:val="0"/>
        <w:spacing w:line="360" w:lineRule="auto"/>
        <w:ind w:firstLine="422" w:firstLineChars="200"/>
        <w:jc w:val="left"/>
        <w:outlineLvl w:val="3"/>
        <w:rPr>
          <w:rFonts w:ascii="宋体" w:hAnsi="宋体" w:cs="宋体"/>
          <w:b/>
          <w:smallCaps/>
          <w:kern w:val="0"/>
          <w:szCs w:val="21"/>
          <w:highlight w:val="none"/>
        </w:rPr>
      </w:pPr>
      <w:r>
        <w:rPr>
          <w:rFonts w:hint="eastAsia" w:ascii="宋体" w:hAnsi="宋体" w:cs="宋体"/>
          <w:b/>
          <w:smallCaps/>
          <w:kern w:val="0"/>
          <w:szCs w:val="21"/>
          <w:highlight w:val="none"/>
        </w:rPr>
        <w:t>5.3质控数据要求</w:t>
      </w:r>
    </w:p>
    <w:p w14:paraId="5F8075CE">
      <w:pPr>
        <w:widowControl/>
        <w:adjustRightInd w:val="0"/>
        <w:snapToGrid w:val="0"/>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本系统需要包含以下质控数据指标：</w:t>
      </w:r>
    </w:p>
    <w:p w14:paraId="113466E8">
      <w:pPr>
        <w:widowControl/>
        <w:numPr>
          <w:ilvl w:val="1"/>
          <w:numId w:val="0"/>
        </w:numPr>
        <w:adjustRightInd w:val="0"/>
        <w:snapToGrid w:val="0"/>
        <w:spacing w:line="360" w:lineRule="auto"/>
        <w:ind w:firstLine="422" w:firstLineChars="200"/>
        <w:jc w:val="left"/>
        <w:outlineLvl w:val="4"/>
        <w:rPr>
          <w:rFonts w:ascii="宋体" w:hAnsi="宋体" w:cs="宋体"/>
          <w:b/>
          <w:smallCaps/>
          <w:kern w:val="0"/>
          <w:szCs w:val="21"/>
          <w:highlight w:val="none"/>
        </w:rPr>
      </w:pPr>
      <w:r>
        <w:rPr>
          <w:rFonts w:hint="eastAsia" w:ascii="宋体" w:hAnsi="宋体" w:cs="宋体"/>
          <w:b/>
          <w:smallCaps/>
          <w:kern w:val="0"/>
          <w:szCs w:val="21"/>
          <w:highlight w:val="none"/>
        </w:rPr>
        <w:t>5.3.1住院患者</w:t>
      </w:r>
      <w:r>
        <w:rPr>
          <w:rFonts w:ascii="宋体" w:hAnsi="宋体" w:cs="宋体"/>
          <w:b/>
          <w:smallCaps/>
          <w:kern w:val="0"/>
          <w:szCs w:val="21"/>
          <w:highlight w:val="none"/>
        </w:rPr>
        <w:t>VTE风险评估率</w:t>
      </w:r>
    </w:p>
    <w:p w14:paraId="2000537A">
      <w:pPr>
        <w:widowControl/>
        <w:numPr>
          <w:ilvl w:val="1"/>
          <w:numId w:val="0"/>
        </w:numPr>
        <w:adjustRightInd w:val="0"/>
        <w:snapToGrid w:val="0"/>
        <w:spacing w:line="360" w:lineRule="auto"/>
        <w:ind w:firstLine="422" w:firstLineChars="200"/>
        <w:jc w:val="left"/>
        <w:outlineLvl w:val="5"/>
        <w:rPr>
          <w:rFonts w:ascii="宋体" w:hAnsi="宋体" w:cs="宋体"/>
          <w:b/>
          <w:smallCaps/>
          <w:kern w:val="0"/>
          <w:szCs w:val="21"/>
          <w:highlight w:val="none"/>
        </w:rPr>
      </w:pPr>
      <w:r>
        <w:rPr>
          <w:rFonts w:ascii="宋体" w:hAnsi="宋体" w:cs="宋体"/>
          <w:b/>
          <w:smallCaps/>
          <w:kern w:val="0"/>
          <w:szCs w:val="21"/>
          <w:highlight w:val="none"/>
        </w:rPr>
        <w:t>5.3.1.1</w:t>
      </w:r>
      <w:r>
        <w:rPr>
          <w:rFonts w:hint="eastAsia" w:ascii="宋体" w:hAnsi="宋体" w:cs="宋体"/>
          <w:b/>
          <w:smallCaps/>
          <w:kern w:val="0"/>
          <w:szCs w:val="21"/>
          <w:highlight w:val="none"/>
        </w:rPr>
        <w:t>定义</w:t>
      </w:r>
    </w:p>
    <w:p w14:paraId="32041260">
      <w:pPr>
        <w:widowControl/>
        <w:adjustRightInd w:val="0"/>
        <w:snapToGrid w:val="0"/>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住院期间接受VTE风险评估的出院患者例数与同期出院患者例数（剔除不宜进行评估的患者例数）的比值。</w:t>
      </w:r>
    </w:p>
    <w:p w14:paraId="4E2559F5">
      <w:pPr>
        <w:widowControl/>
        <w:numPr>
          <w:ilvl w:val="1"/>
          <w:numId w:val="0"/>
        </w:numPr>
        <w:adjustRightInd w:val="0"/>
        <w:snapToGrid w:val="0"/>
        <w:spacing w:line="360" w:lineRule="auto"/>
        <w:ind w:firstLine="422" w:firstLineChars="200"/>
        <w:jc w:val="left"/>
        <w:outlineLvl w:val="5"/>
        <w:rPr>
          <w:rFonts w:ascii="宋体" w:hAnsi="宋体" w:cs="宋体"/>
          <w:b/>
          <w:smallCaps/>
          <w:kern w:val="0"/>
          <w:szCs w:val="21"/>
          <w:highlight w:val="none"/>
        </w:rPr>
      </w:pPr>
      <w:r>
        <w:rPr>
          <w:rFonts w:hint="eastAsia" w:ascii="宋体" w:hAnsi="宋体" w:cs="宋体"/>
          <w:b/>
          <w:smallCaps/>
          <w:kern w:val="0"/>
          <w:szCs w:val="21"/>
          <w:highlight w:val="none"/>
        </w:rPr>
        <w:t>5.3.1.2不宜进行评估的患者</w:t>
      </w:r>
    </w:p>
    <w:p w14:paraId="5EE5F90D">
      <w:pPr>
        <w:widowControl/>
        <w:adjustRightInd w:val="0"/>
        <w:snapToGrid w:val="0"/>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ab/>
      </w:r>
      <w:r>
        <w:rPr>
          <w:rFonts w:hint="eastAsia" w:ascii="宋体" w:hAnsi="宋体" w:cs="宋体"/>
          <w:kern w:val="0"/>
          <w:szCs w:val="21"/>
          <w:highlight w:val="none"/>
        </w:rPr>
        <w:t>1）入院初步诊断中有VTE；</w:t>
      </w:r>
    </w:p>
    <w:p w14:paraId="1E97F6A9">
      <w:pPr>
        <w:widowControl/>
        <w:adjustRightInd w:val="0"/>
        <w:snapToGrid w:val="0"/>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ab/>
      </w:r>
      <w:r>
        <w:rPr>
          <w:rFonts w:hint="eastAsia" w:ascii="宋体" w:hAnsi="宋体" w:cs="宋体"/>
          <w:kern w:val="0"/>
          <w:szCs w:val="21"/>
          <w:highlight w:val="none"/>
        </w:rPr>
        <w:t>2）14岁以下。</w:t>
      </w:r>
    </w:p>
    <w:p w14:paraId="0668C6D0">
      <w:pPr>
        <w:widowControl/>
        <w:numPr>
          <w:ilvl w:val="1"/>
          <w:numId w:val="0"/>
        </w:numPr>
        <w:adjustRightInd w:val="0"/>
        <w:snapToGrid w:val="0"/>
        <w:spacing w:line="360" w:lineRule="auto"/>
        <w:ind w:firstLine="422" w:firstLineChars="200"/>
        <w:jc w:val="left"/>
        <w:outlineLvl w:val="5"/>
        <w:rPr>
          <w:rFonts w:ascii="宋体" w:hAnsi="宋体" w:cs="宋体"/>
          <w:b/>
          <w:smallCaps/>
          <w:kern w:val="0"/>
          <w:szCs w:val="21"/>
          <w:highlight w:val="none"/>
        </w:rPr>
      </w:pPr>
      <w:r>
        <w:rPr>
          <w:rFonts w:hint="eastAsia" w:ascii="宋体" w:hAnsi="宋体" w:cs="宋体"/>
          <w:b/>
          <w:smallCaps/>
          <w:kern w:val="0"/>
          <w:szCs w:val="21"/>
          <w:highlight w:val="none"/>
        </w:rPr>
        <w:t>5.3.1.3计算公式</w:t>
      </w:r>
    </w:p>
    <w:p w14:paraId="4401C4AA">
      <w:pPr>
        <w:widowControl/>
        <w:adjustRightInd w:val="0"/>
        <w:snapToGrid w:val="0"/>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住院患者VTE风险评估率=住院期间接受VTE风险评估的出院患者例数/</w:t>
      </w:r>
      <w:r>
        <w:rPr>
          <w:rFonts w:hint="eastAsia" w:ascii="宋体" w:hAnsi="宋体" w:cs="宋体"/>
          <w:kern w:val="0"/>
          <w:szCs w:val="21"/>
          <w:highlight w:val="none"/>
          <w:lang w:eastAsia="zh-CN"/>
        </w:rPr>
        <w:t>【</w:t>
      </w:r>
      <w:r>
        <w:rPr>
          <w:rFonts w:hint="eastAsia" w:ascii="宋体" w:hAnsi="宋体" w:cs="宋体"/>
          <w:kern w:val="0"/>
          <w:szCs w:val="21"/>
          <w:highlight w:val="none"/>
        </w:rPr>
        <w:t>同期出院患者总例数（剔除不评估患者）</w:t>
      </w:r>
      <w:r>
        <w:rPr>
          <w:rFonts w:hint="eastAsia" w:ascii="宋体" w:hAnsi="宋体" w:cs="宋体"/>
          <w:kern w:val="0"/>
          <w:szCs w:val="21"/>
          <w:highlight w:val="none"/>
          <w:lang w:eastAsia="zh-CN"/>
        </w:rPr>
        <w:t>】</w:t>
      </w:r>
      <w:r>
        <w:rPr>
          <w:rFonts w:hint="eastAsia" w:ascii="宋体" w:hAnsi="宋体" w:cs="宋体"/>
          <w:kern w:val="0"/>
          <w:szCs w:val="21"/>
          <w:highlight w:val="none"/>
        </w:rPr>
        <w:t>×100%</w:t>
      </w:r>
    </w:p>
    <w:p w14:paraId="58DC8BC6">
      <w:pPr>
        <w:widowControl/>
        <w:numPr>
          <w:ilvl w:val="1"/>
          <w:numId w:val="0"/>
        </w:numPr>
        <w:adjustRightInd w:val="0"/>
        <w:snapToGrid w:val="0"/>
        <w:spacing w:line="360" w:lineRule="auto"/>
        <w:ind w:firstLine="422" w:firstLineChars="200"/>
        <w:jc w:val="left"/>
        <w:outlineLvl w:val="4"/>
        <w:rPr>
          <w:rFonts w:ascii="宋体" w:hAnsi="宋体" w:cs="宋体"/>
          <w:b/>
          <w:smallCaps/>
          <w:kern w:val="0"/>
          <w:szCs w:val="21"/>
          <w:highlight w:val="none"/>
        </w:rPr>
      </w:pPr>
      <w:r>
        <w:rPr>
          <w:rFonts w:hint="eastAsia" w:ascii="宋体" w:hAnsi="宋体" w:cs="宋体"/>
          <w:b/>
          <w:smallCaps/>
          <w:kern w:val="0"/>
          <w:szCs w:val="21"/>
          <w:highlight w:val="none"/>
        </w:rPr>
        <w:t>5.3.2</w:t>
      </w:r>
      <w:r>
        <w:rPr>
          <w:rFonts w:ascii="宋体" w:hAnsi="宋体" w:cs="宋体"/>
          <w:b/>
          <w:smallCaps/>
          <w:kern w:val="0"/>
          <w:szCs w:val="21"/>
          <w:highlight w:val="none"/>
        </w:rPr>
        <w:t>VTE风险初始评估率</w:t>
      </w:r>
    </w:p>
    <w:p w14:paraId="711FAC01">
      <w:pPr>
        <w:widowControl/>
        <w:numPr>
          <w:ilvl w:val="1"/>
          <w:numId w:val="0"/>
        </w:numPr>
        <w:adjustRightInd w:val="0"/>
        <w:snapToGrid w:val="0"/>
        <w:spacing w:line="360" w:lineRule="auto"/>
        <w:ind w:firstLine="422" w:firstLineChars="200"/>
        <w:jc w:val="left"/>
        <w:outlineLvl w:val="5"/>
        <w:rPr>
          <w:rFonts w:ascii="宋体" w:hAnsi="宋体" w:cs="宋体"/>
          <w:b/>
          <w:smallCaps/>
          <w:kern w:val="0"/>
          <w:szCs w:val="21"/>
          <w:highlight w:val="none"/>
        </w:rPr>
      </w:pPr>
      <w:r>
        <w:rPr>
          <w:rFonts w:hint="eastAsia" w:ascii="宋体" w:hAnsi="宋体" w:cs="宋体"/>
          <w:b/>
          <w:smallCaps/>
          <w:kern w:val="0"/>
          <w:szCs w:val="21"/>
          <w:highlight w:val="none"/>
        </w:rPr>
        <w:t>5.3.2.1定义</w:t>
      </w:r>
    </w:p>
    <w:p w14:paraId="33EA3CBF">
      <w:pPr>
        <w:widowControl/>
        <w:adjustRightInd w:val="0"/>
        <w:snapToGrid w:val="0"/>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入院24小时内接受VTE风险评估的出院患者例数与同期出院患者例数的比值。</w:t>
      </w:r>
    </w:p>
    <w:p w14:paraId="3D922511">
      <w:pPr>
        <w:widowControl/>
        <w:numPr>
          <w:ilvl w:val="1"/>
          <w:numId w:val="0"/>
        </w:numPr>
        <w:adjustRightInd w:val="0"/>
        <w:snapToGrid w:val="0"/>
        <w:spacing w:line="360" w:lineRule="auto"/>
        <w:ind w:firstLine="422" w:firstLineChars="200"/>
        <w:jc w:val="left"/>
        <w:outlineLvl w:val="5"/>
        <w:rPr>
          <w:rFonts w:ascii="宋体" w:hAnsi="宋体" w:cs="宋体"/>
          <w:b/>
          <w:smallCaps/>
          <w:kern w:val="0"/>
          <w:szCs w:val="21"/>
          <w:highlight w:val="none"/>
        </w:rPr>
      </w:pPr>
      <w:r>
        <w:rPr>
          <w:rFonts w:hint="eastAsia" w:ascii="宋体" w:hAnsi="宋体" w:cs="宋体"/>
          <w:b/>
          <w:smallCaps/>
          <w:kern w:val="0"/>
          <w:szCs w:val="21"/>
          <w:highlight w:val="none"/>
        </w:rPr>
        <w:t>5.3.2.2计算公式</w:t>
      </w:r>
    </w:p>
    <w:p w14:paraId="071F59D1">
      <w:pPr>
        <w:widowControl/>
        <w:adjustRightInd w:val="0"/>
        <w:snapToGrid w:val="0"/>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VTE风险初始评估率=入院24h内接受VTE风险评估的出院患者总例数/同期出院患者总例数×100%</w:t>
      </w:r>
    </w:p>
    <w:p w14:paraId="5E50B78D">
      <w:pPr>
        <w:widowControl/>
        <w:numPr>
          <w:ilvl w:val="1"/>
          <w:numId w:val="0"/>
        </w:numPr>
        <w:adjustRightInd w:val="0"/>
        <w:snapToGrid w:val="0"/>
        <w:spacing w:line="360" w:lineRule="auto"/>
        <w:ind w:firstLine="422" w:firstLineChars="200"/>
        <w:jc w:val="left"/>
        <w:outlineLvl w:val="4"/>
        <w:rPr>
          <w:rFonts w:ascii="宋体" w:hAnsi="宋体" w:cs="宋体"/>
          <w:b/>
          <w:smallCaps/>
          <w:kern w:val="0"/>
          <w:szCs w:val="21"/>
          <w:highlight w:val="none"/>
        </w:rPr>
      </w:pPr>
      <w:r>
        <w:rPr>
          <w:rFonts w:hint="eastAsia" w:ascii="宋体" w:hAnsi="宋体" w:cs="宋体"/>
          <w:b/>
          <w:smallCaps/>
          <w:kern w:val="0"/>
          <w:szCs w:val="21"/>
          <w:highlight w:val="none"/>
        </w:rPr>
        <w:t>5.3.3</w:t>
      </w:r>
      <w:r>
        <w:rPr>
          <w:rFonts w:ascii="宋体" w:hAnsi="宋体" w:cs="宋体"/>
          <w:b/>
          <w:smallCaps/>
          <w:kern w:val="0"/>
          <w:szCs w:val="21"/>
          <w:highlight w:val="none"/>
        </w:rPr>
        <w:t>VTE风险动态评估率</w:t>
      </w:r>
    </w:p>
    <w:p w14:paraId="25458635">
      <w:pPr>
        <w:widowControl/>
        <w:numPr>
          <w:ilvl w:val="1"/>
          <w:numId w:val="0"/>
        </w:numPr>
        <w:adjustRightInd w:val="0"/>
        <w:snapToGrid w:val="0"/>
        <w:spacing w:line="360" w:lineRule="auto"/>
        <w:ind w:firstLine="422" w:firstLineChars="200"/>
        <w:jc w:val="left"/>
        <w:outlineLvl w:val="5"/>
        <w:rPr>
          <w:rFonts w:ascii="宋体" w:hAnsi="宋体" w:cs="宋体"/>
          <w:b/>
          <w:smallCaps/>
          <w:kern w:val="0"/>
          <w:szCs w:val="21"/>
          <w:highlight w:val="none"/>
        </w:rPr>
      </w:pPr>
      <w:r>
        <w:rPr>
          <w:rFonts w:hint="eastAsia" w:ascii="宋体" w:hAnsi="宋体" w:cs="宋体"/>
          <w:b/>
          <w:smallCaps/>
          <w:kern w:val="0"/>
          <w:szCs w:val="21"/>
          <w:highlight w:val="none"/>
        </w:rPr>
        <w:t>5.3.3.1术后</w:t>
      </w:r>
      <w:r>
        <w:rPr>
          <w:rFonts w:ascii="宋体" w:hAnsi="宋体" w:cs="宋体"/>
          <w:b/>
          <w:smallCaps/>
          <w:kern w:val="0"/>
          <w:szCs w:val="21"/>
          <w:highlight w:val="none"/>
        </w:rPr>
        <w:t>24h评估率</w:t>
      </w:r>
    </w:p>
    <w:p w14:paraId="3A743C37">
      <w:pPr>
        <w:widowControl/>
        <w:numPr>
          <w:ilvl w:val="1"/>
          <w:numId w:val="0"/>
        </w:numPr>
        <w:adjustRightInd w:val="0"/>
        <w:snapToGrid w:val="0"/>
        <w:spacing w:line="360" w:lineRule="auto"/>
        <w:ind w:firstLine="422" w:firstLineChars="200"/>
        <w:jc w:val="left"/>
        <w:outlineLvl w:val="6"/>
        <w:rPr>
          <w:rFonts w:ascii="宋体" w:hAnsi="宋体" w:cs="宋体"/>
          <w:b/>
          <w:smallCaps/>
          <w:kern w:val="0"/>
          <w:szCs w:val="21"/>
          <w:highlight w:val="none"/>
        </w:rPr>
      </w:pPr>
      <w:r>
        <w:rPr>
          <w:rFonts w:hint="eastAsia" w:ascii="宋体" w:hAnsi="宋体" w:cs="宋体"/>
          <w:b/>
          <w:smallCaps/>
          <w:kern w:val="0"/>
          <w:szCs w:val="21"/>
          <w:highlight w:val="none"/>
        </w:rPr>
        <w:t>5.3.3.1.1定义</w:t>
      </w:r>
    </w:p>
    <w:p w14:paraId="1CF572E7">
      <w:pPr>
        <w:widowControl/>
        <w:adjustRightInd w:val="0"/>
        <w:snapToGrid w:val="0"/>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手术结束24小时内接受VTE风险评估的出院患者例数与同期有手术的出院患者例数的比值。</w:t>
      </w:r>
    </w:p>
    <w:p w14:paraId="7C34F04E">
      <w:pPr>
        <w:widowControl/>
        <w:numPr>
          <w:ilvl w:val="1"/>
          <w:numId w:val="0"/>
        </w:numPr>
        <w:adjustRightInd w:val="0"/>
        <w:snapToGrid w:val="0"/>
        <w:spacing w:line="360" w:lineRule="auto"/>
        <w:ind w:firstLine="422" w:firstLineChars="200"/>
        <w:jc w:val="left"/>
        <w:outlineLvl w:val="6"/>
        <w:rPr>
          <w:rFonts w:ascii="宋体" w:hAnsi="宋体" w:cs="宋体"/>
          <w:b/>
          <w:smallCaps/>
          <w:kern w:val="0"/>
          <w:szCs w:val="21"/>
          <w:highlight w:val="none"/>
        </w:rPr>
      </w:pPr>
      <w:r>
        <w:rPr>
          <w:rFonts w:hint="eastAsia" w:ascii="宋体" w:hAnsi="宋体" w:cs="宋体"/>
          <w:b/>
          <w:smallCaps/>
          <w:kern w:val="0"/>
          <w:szCs w:val="21"/>
          <w:highlight w:val="none"/>
        </w:rPr>
        <w:t>5.3.3.1.2计算公式</w:t>
      </w:r>
    </w:p>
    <w:p w14:paraId="64C8DB35">
      <w:pPr>
        <w:widowControl/>
        <w:adjustRightInd w:val="0"/>
        <w:snapToGrid w:val="0"/>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术后24h评估率=术后24h内接受VTE风险评估的出院患者总例数/同期出院手术患者总例数×100%</w:t>
      </w:r>
    </w:p>
    <w:p w14:paraId="0EB0C144">
      <w:pPr>
        <w:widowControl/>
        <w:numPr>
          <w:ilvl w:val="1"/>
          <w:numId w:val="0"/>
        </w:numPr>
        <w:adjustRightInd w:val="0"/>
        <w:snapToGrid w:val="0"/>
        <w:spacing w:line="360" w:lineRule="auto"/>
        <w:ind w:firstLine="422" w:firstLineChars="200"/>
        <w:jc w:val="left"/>
        <w:outlineLvl w:val="5"/>
        <w:rPr>
          <w:rFonts w:ascii="宋体" w:hAnsi="宋体" w:cs="宋体"/>
          <w:b/>
          <w:smallCaps/>
          <w:kern w:val="0"/>
          <w:szCs w:val="21"/>
          <w:highlight w:val="none"/>
        </w:rPr>
      </w:pPr>
      <w:r>
        <w:rPr>
          <w:rFonts w:hint="eastAsia" w:ascii="宋体" w:hAnsi="宋体" w:cs="宋体"/>
          <w:b/>
          <w:smallCaps/>
          <w:kern w:val="0"/>
          <w:szCs w:val="21"/>
          <w:highlight w:val="none"/>
        </w:rPr>
        <w:t>5.3.3.2转科后</w:t>
      </w:r>
      <w:r>
        <w:rPr>
          <w:rFonts w:ascii="宋体" w:hAnsi="宋体" w:cs="宋体"/>
          <w:b/>
          <w:smallCaps/>
          <w:kern w:val="0"/>
          <w:szCs w:val="21"/>
          <w:highlight w:val="none"/>
        </w:rPr>
        <w:t>24h评估率</w:t>
      </w:r>
    </w:p>
    <w:p w14:paraId="283C4F9B">
      <w:pPr>
        <w:widowControl/>
        <w:numPr>
          <w:ilvl w:val="1"/>
          <w:numId w:val="0"/>
        </w:numPr>
        <w:adjustRightInd w:val="0"/>
        <w:snapToGrid w:val="0"/>
        <w:spacing w:line="360" w:lineRule="auto"/>
        <w:ind w:firstLine="422" w:firstLineChars="200"/>
        <w:jc w:val="left"/>
        <w:outlineLvl w:val="6"/>
        <w:rPr>
          <w:rFonts w:ascii="宋体" w:hAnsi="宋体" w:cs="宋体"/>
          <w:b/>
          <w:smallCaps/>
          <w:kern w:val="0"/>
          <w:szCs w:val="21"/>
          <w:highlight w:val="none"/>
        </w:rPr>
      </w:pPr>
      <w:r>
        <w:rPr>
          <w:rFonts w:hint="eastAsia" w:ascii="宋体" w:hAnsi="宋体" w:cs="宋体"/>
          <w:b/>
          <w:smallCaps/>
          <w:kern w:val="0"/>
          <w:szCs w:val="21"/>
          <w:highlight w:val="none"/>
        </w:rPr>
        <w:t>5.3.3.2.1定义</w:t>
      </w:r>
    </w:p>
    <w:p w14:paraId="18A5D224">
      <w:pPr>
        <w:widowControl/>
        <w:adjustRightInd w:val="0"/>
        <w:snapToGrid w:val="0"/>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转科后24小时内接受VTE风险评估的出院患者例数与同期有转科的出院患者例数的比值。</w:t>
      </w:r>
    </w:p>
    <w:p w14:paraId="4EC1C77F">
      <w:pPr>
        <w:widowControl/>
        <w:numPr>
          <w:ilvl w:val="1"/>
          <w:numId w:val="0"/>
        </w:numPr>
        <w:adjustRightInd w:val="0"/>
        <w:snapToGrid w:val="0"/>
        <w:spacing w:line="360" w:lineRule="auto"/>
        <w:ind w:firstLine="422" w:firstLineChars="200"/>
        <w:jc w:val="left"/>
        <w:outlineLvl w:val="6"/>
        <w:rPr>
          <w:rFonts w:ascii="宋体" w:hAnsi="宋体" w:cs="宋体"/>
          <w:b/>
          <w:smallCaps/>
          <w:kern w:val="0"/>
          <w:szCs w:val="21"/>
          <w:highlight w:val="none"/>
        </w:rPr>
      </w:pPr>
      <w:r>
        <w:rPr>
          <w:rFonts w:hint="eastAsia" w:ascii="宋体" w:hAnsi="宋体" w:cs="宋体"/>
          <w:b/>
          <w:smallCaps/>
          <w:kern w:val="0"/>
          <w:szCs w:val="21"/>
          <w:highlight w:val="none"/>
        </w:rPr>
        <w:t>5.3.3.2.2计算公式</w:t>
      </w:r>
    </w:p>
    <w:p w14:paraId="3BE2114B">
      <w:pPr>
        <w:widowControl/>
        <w:adjustRightInd w:val="0"/>
        <w:snapToGrid w:val="0"/>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转科后24h评估率=转科后24h内接受VTE风险评估的出院患者总例数/同期出院转科患者总例数×100%</w:t>
      </w:r>
    </w:p>
    <w:p w14:paraId="144CE191">
      <w:pPr>
        <w:widowControl/>
        <w:numPr>
          <w:ilvl w:val="1"/>
          <w:numId w:val="0"/>
        </w:numPr>
        <w:adjustRightInd w:val="0"/>
        <w:snapToGrid w:val="0"/>
        <w:spacing w:line="360" w:lineRule="auto"/>
        <w:ind w:firstLine="422" w:firstLineChars="200"/>
        <w:jc w:val="left"/>
        <w:outlineLvl w:val="5"/>
        <w:rPr>
          <w:rFonts w:ascii="宋体" w:hAnsi="宋体" w:cs="宋体"/>
          <w:b/>
          <w:smallCaps/>
          <w:kern w:val="0"/>
          <w:szCs w:val="21"/>
          <w:highlight w:val="none"/>
        </w:rPr>
      </w:pPr>
      <w:r>
        <w:rPr>
          <w:rFonts w:hint="eastAsia" w:ascii="宋体" w:hAnsi="宋体" w:cs="宋体"/>
          <w:b/>
          <w:smallCaps/>
          <w:kern w:val="0"/>
          <w:szCs w:val="21"/>
          <w:highlight w:val="none"/>
        </w:rPr>
        <w:t>5.3.3.3出院前</w:t>
      </w:r>
      <w:r>
        <w:rPr>
          <w:rFonts w:ascii="宋体" w:hAnsi="宋体" w:cs="宋体"/>
          <w:b/>
          <w:smallCaps/>
          <w:kern w:val="0"/>
          <w:szCs w:val="21"/>
          <w:highlight w:val="none"/>
        </w:rPr>
        <w:t>24h评估率</w:t>
      </w:r>
    </w:p>
    <w:p w14:paraId="28FCE310">
      <w:pPr>
        <w:widowControl/>
        <w:numPr>
          <w:ilvl w:val="1"/>
          <w:numId w:val="0"/>
        </w:numPr>
        <w:adjustRightInd w:val="0"/>
        <w:snapToGrid w:val="0"/>
        <w:spacing w:line="360" w:lineRule="auto"/>
        <w:ind w:firstLine="422" w:firstLineChars="200"/>
        <w:jc w:val="left"/>
        <w:outlineLvl w:val="6"/>
        <w:rPr>
          <w:rFonts w:ascii="宋体" w:hAnsi="宋体" w:cs="宋体"/>
          <w:b/>
          <w:smallCaps/>
          <w:kern w:val="0"/>
          <w:szCs w:val="21"/>
          <w:highlight w:val="none"/>
        </w:rPr>
      </w:pPr>
      <w:r>
        <w:rPr>
          <w:rFonts w:hint="eastAsia" w:ascii="宋体" w:hAnsi="宋体" w:cs="宋体"/>
          <w:b/>
          <w:smallCaps/>
          <w:kern w:val="0"/>
          <w:szCs w:val="21"/>
          <w:highlight w:val="none"/>
        </w:rPr>
        <w:t>5.3.3.3.1定义</w:t>
      </w:r>
    </w:p>
    <w:p w14:paraId="2DDE825C">
      <w:pPr>
        <w:widowControl/>
        <w:adjustRightInd w:val="0"/>
        <w:snapToGrid w:val="0"/>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出院前后24小时接受VTE风险评估的出院患者例数与同期出院患者例数的比值。</w:t>
      </w:r>
    </w:p>
    <w:p w14:paraId="47EA7889">
      <w:pPr>
        <w:widowControl/>
        <w:numPr>
          <w:ilvl w:val="1"/>
          <w:numId w:val="0"/>
        </w:numPr>
        <w:adjustRightInd w:val="0"/>
        <w:snapToGrid w:val="0"/>
        <w:spacing w:line="360" w:lineRule="auto"/>
        <w:ind w:firstLine="422" w:firstLineChars="200"/>
        <w:jc w:val="left"/>
        <w:outlineLvl w:val="6"/>
        <w:rPr>
          <w:rFonts w:ascii="宋体" w:hAnsi="宋体" w:cs="宋体"/>
          <w:b/>
          <w:smallCaps/>
          <w:kern w:val="0"/>
          <w:szCs w:val="21"/>
          <w:highlight w:val="none"/>
        </w:rPr>
      </w:pPr>
      <w:r>
        <w:rPr>
          <w:rFonts w:hint="eastAsia" w:ascii="宋体" w:hAnsi="宋体" w:cs="宋体"/>
          <w:b/>
          <w:smallCaps/>
          <w:kern w:val="0"/>
          <w:szCs w:val="21"/>
          <w:highlight w:val="none"/>
        </w:rPr>
        <w:t>5.3.3.3.2计算公式</w:t>
      </w:r>
    </w:p>
    <w:p w14:paraId="09256932">
      <w:pPr>
        <w:widowControl/>
        <w:adjustRightInd w:val="0"/>
        <w:snapToGrid w:val="0"/>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出院前24h评估=出院前24h接受VTE风险评估的出院患者总例数/同期出院患者总例数×100%</w:t>
      </w:r>
    </w:p>
    <w:p w14:paraId="7FF4D048">
      <w:pPr>
        <w:widowControl/>
        <w:numPr>
          <w:ilvl w:val="1"/>
          <w:numId w:val="0"/>
        </w:numPr>
        <w:adjustRightInd w:val="0"/>
        <w:snapToGrid w:val="0"/>
        <w:spacing w:line="360" w:lineRule="auto"/>
        <w:ind w:firstLine="422" w:firstLineChars="200"/>
        <w:jc w:val="left"/>
        <w:outlineLvl w:val="5"/>
        <w:rPr>
          <w:rFonts w:ascii="宋体" w:hAnsi="宋体" w:cs="宋体"/>
          <w:b/>
          <w:smallCaps/>
          <w:kern w:val="0"/>
          <w:szCs w:val="21"/>
          <w:highlight w:val="none"/>
        </w:rPr>
      </w:pPr>
      <w:r>
        <w:rPr>
          <w:rFonts w:hint="eastAsia" w:ascii="宋体" w:hAnsi="宋体" w:cs="宋体"/>
          <w:b/>
          <w:smallCaps/>
          <w:kern w:val="0"/>
          <w:szCs w:val="21"/>
          <w:highlight w:val="none"/>
        </w:rPr>
        <w:t>5.3.3.4完整评估率</w:t>
      </w:r>
    </w:p>
    <w:p w14:paraId="249F16E1">
      <w:pPr>
        <w:widowControl/>
        <w:numPr>
          <w:ilvl w:val="1"/>
          <w:numId w:val="0"/>
        </w:numPr>
        <w:adjustRightInd w:val="0"/>
        <w:snapToGrid w:val="0"/>
        <w:spacing w:line="360" w:lineRule="auto"/>
        <w:ind w:firstLine="422" w:firstLineChars="200"/>
        <w:jc w:val="left"/>
        <w:outlineLvl w:val="6"/>
        <w:rPr>
          <w:rFonts w:ascii="宋体" w:hAnsi="宋体" w:cs="宋体"/>
          <w:b/>
          <w:smallCaps/>
          <w:kern w:val="0"/>
          <w:szCs w:val="21"/>
          <w:highlight w:val="none"/>
        </w:rPr>
      </w:pPr>
      <w:r>
        <w:rPr>
          <w:rFonts w:hint="eastAsia" w:ascii="宋体" w:hAnsi="宋体" w:cs="宋体"/>
          <w:b/>
          <w:smallCaps/>
          <w:kern w:val="0"/>
          <w:szCs w:val="21"/>
          <w:highlight w:val="none"/>
        </w:rPr>
        <w:t>5.3.3.4.1定义</w:t>
      </w:r>
    </w:p>
    <w:p w14:paraId="5D3F9805">
      <w:pPr>
        <w:widowControl/>
        <w:adjustRightInd w:val="0"/>
        <w:snapToGrid w:val="0"/>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入院评估和动态评估都按时完成的患者比率。</w:t>
      </w:r>
    </w:p>
    <w:p w14:paraId="077CF3E6">
      <w:pPr>
        <w:widowControl/>
        <w:numPr>
          <w:ilvl w:val="1"/>
          <w:numId w:val="0"/>
        </w:numPr>
        <w:adjustRightInd w:val="0"/>
        <w:snapToGrid w:val="0"/>
        <w:spacing w:line="360" w:lineRule="auto"/>
        <w:ind w:firstLine="422" w:firstLineChars="200"/>
        <w:jc w:val="left"/>
        <w:outlineLvl w:val="6"/>
        <w:rPr>
          <w:rFonts w:ascii="宋体" w:hAnsi="宋体" w:cs="宋体"/>
          <w:b/>
          <w:smallCaps/>
          <w:kern w:val="0"/>
          <w:szCs w:val="21"/>
          <w:highlight w:val="none"/>
        </w:rPr>
      </w:pPr>
      <w:r>
        <w:rPr>
          <w:rFonts w:hint="eastAsia" w:ascii="宋体" w:hAnsi="宋体" w:cs="宋体"/>
          <w:b/>
          <w:smallCaps/>
          <w:kern w:val="0"/>
          <w:szCs w:val="21"/>
          <w:highlight w:val="none"/>
        </w:rPr>
        <w:t>5.3.3.4.2计算公式</w:t>
      </w:r>
    </w:p>
    <w:p w14:paraId="2721C06C">
      <w:pPr>
        <w:widowControl/>
        <w:adjustRightInd w:val="0"/>
        <w:snapToGrid w:val="0"/>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完整评估率=各节点完成VTE评估总例数/满足VTE评估条件的同期出院患者总例数×100%</w:t>
      </w:r>
    </w:p>
    <w:p w14:paraId="51C11177">
      <w:pPr>
        <w:widowControl/>
        <w:adjustRightInd w:val="0"/>
        <w:snapToGrid w:val="0"/>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注：1）各节点完成VTE评估总例数=入院24h内完成VTE评估+术后24h内完成VTE评估+转科后24h内完成评估+出院前后24h内完成评估的患者。</w:t>
      </w:r>
    </w:p>
    <w:p w14:paraId="6FA4ABB1">
      <w:pPr>
        <w:widowControl/>
        <w:adjustRightInd w:val="0"/>
        <w:snapToGrid w:val="0"/>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2）术后和转科后仅针对有手术记录、有转科医嘱的患者，如果该患者住院期间无手术、无转科，则</w:t>
      </w:r>
      <w:r>
        <w:rPr>
          <w:rFonts w:hint="eastAsia" w:ascii="宋体" w:hAnsi="宋体" w:cs="宋体"/>
          <w:kern w:val="0"/>
          <w:szCs w:val="21"/>
          <w:highlight w:val="none"/>
          <w:lang w:eastAsia="zh-CN"/>
        </w:rPr>
        <w:t>该</w:t>
      </w:r>
      <w:r>
        <w:rPr>
          <w:rFonts w:hint="eastAsia" w:ascii="宋体" w:hAnsi="宋体" w:cs="宋体"/>
          <w:kern w:val="0"/>
          <w:szCs w:val="21"/>
          <w:highlight w:val="none"/>
        </w:rPr>
        <w:t>节点都算为已满足。</w:t>
      </w:r>
    </w:p>
    <w:p w14:paraId="2ECBEFE1">
      <w:pPr>
        <w:widowControl/>
        <w:numPr>
          <w:ilvl w:val="1"/>
          <w:numId w:val="0"/>
        </w:numPr>
        <w:adjustRightInd w:val="0"/>
        <w:snapToGrid w:val="0"/>
        <w:spacing w:line="360" w:lineRule="auto"/>
        <w:ind w:firstLine="422" w:firstLineChars="200"/>
        <w:jc w:val="left"/>
        <w:outlineLvl w:val="4"/>
        <w:rPr>
          <w:rFonts w:ascii="宋体" w:hAnsi="宋体" w:cs="宋体"/>
          <w:b/>
          <w:smallCaps/>
          <w:kern w:val="0"/>
          <w:szCs w:val="21"/>
          <w:highlight w:val="none"/>
        </w:rPr>
      </w:pPr>
      <w:r>
        <w:rPr>
          <w:rFonts w:hint="eastAsia" w:ascii="宋体" w:hAnsi="宋体" w:cs="宋体"/>
          <w:b/>
          <w:smallCaps/>
          <w:kern w:val="0"/>
          <w:szCs w:val="21"/>
          <w:highlight w:val="none"/>
        </w:rPr>
        <w:t>5.3.4出血风险评估率</w:t>
      </w:r>
    </w:p>
    <w:p w14:paraId="4FEF39D0">
      <w:pPr>
        <w:widowControl/>
        <w:numPr>
          <w:ilvl w:val="1"/>
          <w:numId w:val="0"/>
        </w:numPr>
        <w:adjustRightInd w:val="0"/>
        <w:snapToGrid w:val="0"/>
        <w:spacing w:line="360" w:lineRule="auto"/>
        <w:ind w:firstLine="422" w:firstLineChars="200"/>
        <w:jc w:val="left"/>
        <w:outlineLvl w:val="5"/>
        <w:rPr>
          <w:rFonts w:ascii="宋体" w:hAnsi="宋体" w:cs="宋体"/>
          <w:b/>
          <w:smallCaps/>
          <w:kern w:val="0"/>
          <w:szCs w:val="21"/>
          <w:highlight w:val="none"/>
        </w:rPr>
      </w:pPr>
      <w:r>
        <w:rPr>
          <w:rFonts w:hint="eastAsia" w:ascii="宋体" w:hAnsi="宋体" w:cs="宋体"/>
          <w:b/>
          <w:smallCaps/>
          <w:kern w:val="0"/>
          <w:szCs w:val="21"/>
          <w:highlight w:val="none"/>
        </w:rPr>
        <w:t>5.3.4.1定义</w:t>
      </w:r>
    </w:p>
    <w:p w14:paraId="5F0714CD">
      <w:pPr>
        <w:widowControl/>
        <w:adjustRightInd w:val="0"/>
        <w:snapToGrid w:val="0"/>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接受出血风险评估的出院患者例数与同期出院的VTE中高危患者例数的比值。</w:t>
      </w:r>
    </w:p>
    <w:p w14:paraId="17641DAD">
      <w:pPr>
        <w:widowControl/>
        <w:numPr>
          <w:ilvl w:val="1"/>
          <w:numId w:val="0"/>
        </w:numPr>
        <w:adjustRightInd w:val="0"/>
        <w:snapToGrid w:val="0"/>
        <w:spacing w:line="360" w:lineRule="auto"/>
        <w:ind w:firstLine="422" w:firstLineChars="200"/>
        <w:jc w:val="left"/>
        <w:outlineLvl w:val="5"/>
        <w:rPr>
          <w:rFonts w:ascii="宋体" w:hAnsi="宋体" w:cs="宋体"/>
          <w:b/>
          <w:smallCaps/>
          <w:kern w:val="0"/>
          <w:szCs w:val="21"/>
          <w:highlight w:val="none"/>
        </w:rPr>
      </w:pPr>
      <w:r>
        <w:rPr>
          <w:rFonts w:hint="eastAsia" w:ascii="宋体" w:hAnsi="宋体" w:cs="宋体"/>
          <w:b/>
          <w:smallCaps/>
          <w:kern w:val="0"/>
          <w:szCs w:val="21"/>
          <w:highlight w:val="none"/>
        </w:rPr>
        <w:t>5.3.4.2计算公式</w:t>
      </w:r>
    </w:p>
    <w:p w14:paraId="4DDAE2D0">
      <w:pPr>
        <w:widowControl/>
        <w:adjustRightInd w:val="0"/>
        <w:snapToGrid w:val="0"/>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中高危患者出血风险评估率=出血风险评估的出院患者总例数/同期出院的VTE中高危患者总例数×100%</w:t>
      </w:r>
    </w:p>
    <w:p w14:paraId="6CCCE2ED">
      <w:pPr>
        <w:widowControl/>
        <w:numPr>
          <w:ilvl w:val="1"/>
          <w:numId w:val="0"/>
        </w:numPr>
        <w:adjustRightInd w:val="0"/>
        <w:snapToGrid w:val="0"/>
        <w:spacing w:line="360" w:lineRule="auto"/>
        <w:ind w:firstLine="422" w:firstLineChars="200"/>
        <w:jc w:val="left"/>
        <w:outlineLvl w:val="4"/>
        <w:rPr>
          <w:rFonts w:ascii="宋体" w:hAnsi="宋体" w:cs="宋体"/>
          <w:b/>
          <w:smallCaps/>
          <w:kern w:val="0"/>
          <w:szCs w:val="21"/>
          <w:highlight w:val="none"/>
        </w:rPr>
      </w:pPr>
      <w:r>
        <w:rPr>
          <w:rFonts w:hint="eastAsia" w:ascii="宋体" w:hAnsi="宋体" w:cs="宋体"/>
          <w:b/>
          <w:smallCaps/>
          <w:kern w:val="0"/>
          <w:szCs w:val="21"/>
          <w:highlight w:val="none"/>
        </w:rPr>
        <w:t>5.3.5采取</w:t>
      </w:r>
      <w:r>
        <w:rPr>
          <w:rFonts w:ascii="宋体" w:hAnsi="宋体" w:cs="宋体"/>
          <w:b/>
          <w:smallCaps/>
          <w:kern w:val="0"/>
          <w:szCs w:val="21"/>
          <w:highlight w:val="none"/>
        </w:rPr>
        <w:t>VTE预防措施率</w:t>
      </w:r>
    </w:p>
    <w:p w14:paraId="64EACAEC">
      <w:pPr>
        <w:widowControl/>
        <w:numPr>
          <w:ilvl w:val="1"/>
          <w:numId w:val="0"/>
        </w:numPr>
        <w:adjustRightInd w:val="0"/>
        <w:snapToGrid w:val="0"/>
        <w:spacing w:line="360" w:lineRule="auto"/>
        <w:ind w:firstLine="422" w:firstLineChars="200"/>
        <w:jc w:val="left"/>
        <w:outlineLvl w:val="5"/>
        <w:rPr>
          <w:rFonts w:ascii="宋体" w:hAnsi="宋体" w:cs="宋体"/>
          <w:b/>
          <w:smallCaps/>
          <w:kern w:val="0"/>
          <w:szCs w:val="21"/>
          <w:highlight w:val="none"/>
        </w:rPr>
      </w:pPr>
      <w:r>
        <w:rPr>
          <w:rFonts w:hint="eastAsia" w:ascii="宋体" w:hAnsi="宋体" w:cs="宋体"/>
          <w:b/>
          <w:smallCaps/>
          <w:kern w:val="0"/>
          <w:szCs w:val="21"/>
          <w:highlight w:val="none"/>
        </w:rPr>
        <w:t>5.3.5.1定义</w:t>
      </w:r>
    </w:p>
    <w:p w14:paraId="535213DE">
      <w:pPr>
        <w:widowControl/>
        <w:adjustRightInd w:val="0"/>
        <w:snapToGrid w:val="0"/>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采取VTE预防措施的出院患者例数与同期出院的VTE风险评估为高</w:t>
      </w:r>
      <w:r>
        <w:rPr>
          <w:rFonts w:hint="eastAsia" w:ascii="宋体" w:hAnsi="宋体" w:cs="宋体"/>
          <w:kern w:val="0"/>
          <w:szCs w:val="21"/>
          <w:highlight w:val="none"/>
          <w:lang w:eastAsia="zh-CN"/>
        </w:rPr>
        <w:t>危</w:t>
      </w:r>
      <w:r>
        <w:rPr>
          <w:rFonts w:hint="eastAsia" w:ascii="宋体" w:hAnsi="宋体" w:cs="宋体"/>
          <w:kern w:val="0"/>
          <w:szCs w:val="21"/>
          <w:highlight w:val="none"/>
        </w:rPr>
        <w:t>或中危的患者例数的比值。</w:t>
      </w:r>
    </w:p>
    <w:p w14:paraId="79E7608F">
      <w:pPr>
        <w:widowControl/>
        <w:numPr>
          <w:ilvl w:val="1"/>
          <w:numId w:val="0"/>
        </w:numPr>
        <w:adjustRightInd w:val="0"/>
        <w:snapToGrid w:val="0"/>
        <w:spacing w:line="360" w:lineRule="auto"/>
        <w:ind w:firstLine="422" w:firstLineChars="200"/>
        <w:jc w:val="left"/>
        <w:outlineLvl w:val="5"/>
        <w:rPr>
          <w:rFonts w:ascii="宋体" w:hAnsi="宋体" w:cs="宋体"/>
          <w:b/>
          <w:smallCaps/>
          <w:kern w:val="0"/>
          <w:szCs w:val="21"/>
          <w:highlight w:val="none"/>
        </w:rPr>
      </w:pPr>
      <w:r>
        <w:rPr>
          <w:rFonts w:hint="eastAsia" w:ascii="宋体" w:hAnsi="宋体" w:cs="宋体"/>
          <w:b/>
          <w:smallCaps/>
          <w:kern w:val="0"/>
          <w:szCs w:val="21"/>
          <w:highlight w:val="none"/>
        </w:rPr>
        <w:t>5.3.5.2计算公式</w:t>
      </w:r>
    </w:p>
    <w:p w14:paraId="23504FE9">
      <w:pPr>
        <w:widowControl/>
        <w:adjustRightInd w:val="0"/>
        <w:snapToGrid w:val="0"/>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采取VTE预防措施率=采取VTE预防措施的出院患者总例数/VTE风险评估为高危和或中危的出院患者总例数×100%</w:t>
      </w:r>
    </w:p>
    <w:p w14:paraId="53FBDE02">
      <w:pPr>
        <w:widowControl/>
        <w:numPr>
          <w:ilvl w:val="1"/>
          <w:numId w:val="0"/>
        </w:numPr>
        <w:adjustRightInd w:val="0"/>
        <w:snapToGrid w:val="0"/>
        <w:spacing w:line="360" w:lineRule="auto"/>
        <w:ind w:firstLine="422" w:firstLineChars="200"/>
        <w:jc w:val="left"/>
        <w:outlineLvl w:val="4"/>
        <w:rPr>
          <w:rFonts w:ascii="宋体" w:hAnsi="宋体" w:cs="宋体"/>
          <w:b/>
          <w:smallCaps/>
          <w:kern w:val="0"/>
          <w:szCs w:val="21"/>
          <w:highlight w:val="none"/>
        </w:rPr>
      </w:pPr>
      <w:r>
        <w:rPr>
          <w:rFonts w:hint="eastAsia" w:ascii="宋体" w:hAnsi="宋体" w:cs="宋体"/>
          <w:b/>
          <w:smallCaps/>
          <w:kern w:val="0"/>
          <w:szCs w:val="21"/>
          <w:highlight w:val="none"/>
        </w:rPr>
        <w:t>5.3.6医院相关性</w:t>
      </w:r>
      <w:r>
        <w:rPr>
          <w:rFonts w:ascii="宋体" w:hAnsi="宋体" w:cs="宋体"/>
          <w:b/>
          <w:smallCaps/>
          <w:kern w:val="0"/>
          <w:szCs w:val="21"/>
          <w:highlight w:val="none"/>
        </w:rPr>
        <w:t>VTE发生率</w:t>
      </w:r>
    </w:p>
    <w:p w14:paraId="7698E9BE">
      <w:pPr>
        <w:widowControl/>
        <w:numPr>
          <w:ilvl w:val="1"/>
          <w:numId w:val="0"/>
        </w:numPr>
        <w:adjustRightInd w:val="0"/>
        <w:snapToGrid w:val="0"/>
        <w:spacing w:line="360" w:lineRule="auto"/>
        <w:ind w:firstLine="422" w:firstLineChars="200"/>
        <w:jc w:val="left"/>
        <w:outlineLvl w:val="5"/>
        <w:rPr>
          <w:rFonts w:ascii="宋体" w:hAnsi="宋体" w:cs="宋体"/>
          <w:b/>
          <w:smallCaps/>
          <w:kern w:val="0"/>
          <w:szCs w:val="21"/>
          <w:highlight w:val="none"/>
        </w:rPr>
      </w:pPr>
      <w:r>
        <w:rPr>
          <w:rFonts w:hint="eastAsia" w:ascii="宋体" w:hAnsi="宋体" w:cs="宋体"/>
          <w:b/>
          <w:smallCaps/>
          <w:kern w:val="0"/>
          <w:szCs w:val="21"/>
          <w:highlight w:val="none"/>
        </w:rPr>
        <w:t>5.3.6.1定义</w:t>
      </w:r>
    </w:p>
    <w:p w14:paraId="60150C83">
      <w:pPr>
        <w:widowControl/>
        <w:adjustRightInd w:val="0"/>
        <w:snapToGrid w:val="0"/>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本次住院被确诊为院内获得性VTE的患者例数与同期出院患者总例数的比值。</w:t>
      </w:r>
    </w:p>
    <w:p w14:paraId="0BC082A7">
      <w:pPr>
        <w:widowControl/>
        <w:numPr>
          <w:ilvl w:val="1"/>
          <w:numId w:val="0"/>
        </w:numPr>
        <w:adjustRightInd w:val="0"/>
        <w:snapToGrid w:val="0"/>
        <w:spacing w:line="360" w:lineRule="auto"/>
        <w:ind w:firstLine="422" w:firstLineChars="200"/>
        <w:jc w:val="left"/>
        <w:outlineLvl w:val="5"/>
        <w:rPr>
          <w:rFonts w:ascii="宋体" w:hAnsi="宋体" w:cs="宋体"/>
          <w:b/>
          <w:smallCaps/>
          <w:kern w:val="0"/>
          <w:szCs w:val="21"/>
          <w:highlight w:val="none"/>
        </w:rPr>
      </w:pPr>
      <w:r>
        <w:rPr>
          <w:rFonts w:hint="eastAsia" w:ascii="宋体" w:hAnsi="宋体" w:cs="宋体"/>
          <w:b/>
          <w:smallCaps/>
          <w:kern w:val="0"/>
          <w:szCs w:val="21"/>
          <w:highlight w:val="none"/>
        </w:rPr>
        <w:t>5.3.6.2计算公式</w:t>
      </w:r>
    </w:p>
    <w:p w14:paraId="2E9F41E8">
      <w:pPr>
        <w:widowControl/>
        <w:adjustRightInd w:val="0"/>
        <w:snapToGrid w:val="0"/>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医院相关性VTE发生率=本次住院被确诊为院内获得性VTE的患者总例数/同期出院患者总例数 ×100%</w:t>
      </w:r>
    </w:p>
    <w:p w14:paraId="3458C8E2">
      <w:pPr>
        <w:widowControl/>
        <w:numPr>
          <w:ilvl w:val="1"/>
          <w:numId w:val="0"/>
        </w:numPr>
        <w:adjustRightInd w:val="0"/>
        <w:snapToGrid w:val="0"/>
        <w:spacing w:line="360" w:lineRule="auto"/>
        <w:ind w:firstLine="422" w:firstLineChars="200"/>
        <w:jc w:val="left"/>
        <w:outlineLvl w:val="4"/>
        <w:rPr>
          <w:rFonts w:ascii="宋体" w:hAnsi="宋体" w:cs="宋体"/>
          <w:b/>
          <w:smallCaps/>
          <w:kern w:val="0"/>
          <w:szCs w:val="21"/>
          <w:highlight w:val="none"/>
        </w:rPr>
      </w:pPr>
      <w:r>
        <w:rPr>
          <w:rFonts w:hint="eastAsia" w:ascii="宋体" w:hAnsi="宋体" w:cs="宋体"/>
          <w:b/>
          <w:smallCaps/>
          <w:kern w:val="0"/>
          <w:szCs w:val="21"/>
          <w:highlight w:val="none"/>
        </w:rPr>
        <w:t>5.3.7医院相关性</w:t>
      </w:r>
      <w:r>
        <w:rPr>
          <w:rFonts w:ascii="宋体" w:hAnsi="宋体" w:cs="宋体"/>
          <w:b/>
          <w:smallCaps/>
          <w:kern w:val="0"/>
          <w:szCs w:val="21"/>
          <w:highlight w:val="none"/>
        </w:rPr>
        <w:t>DVT发生率</w:t>
      </w:r>
    </w:p>
    <w:p w14:paraId="66561182">
      <w:pPr>
        <w:widowControl/>
        <w:numPr>
          <w:ilvl w:val="1"/>
          <w:numId w:val="0"/>
        </w:numPr>
        <w:adjustRightInd w:val="0"/>
        <w:snapToGrid w:val="0"/>
        <w:spacing w:line="360" w:lineRule="auto"/>
        <w:ind w:firstLine="422" w:firstLineChars="200"/>
        <w:jc w:val="left"/>
        <w:outlineLvl w:val="5"/>
        <w:rPr>
          <w:rFonts w:ascii="宋体" w:hAnsi="宋体" w:cs="宋体"/>
          <w:b/>
          <w:smallCaps/>
          <w:kern w:val="0"/>
          <w:szCs w:val="21"/>
          <w:highlight w:val="none"/>
        </w:rPr>
      </w:pPr>
      <w:r>
        <w:rPr>
          <w:rFonts w:hint="eastAsia" w:ascii="宋体" w:hAnsi="宋体" w:cs="宋体"/>
          <w:b/>
          <w:smallCaps/>
          <w:kern w:val="0"/>
          <w:szCs w:val="21"/>
          <w:highlight w:val="none"/>
        </w:rPr>
        <w:t>5.3.7.1定义</w:t>
      </w:r>
    </w:p>
    <w:p w14:paraId="29FF03FE">
      <w:pPr>
        <w:widowControl/>
        <w:adjustRightInd w:val="0"/>
        <w:snapToGrid w:val="0"/>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本次住院被确诊为院内获得性DVT的患者例数与同期出院患者总例数的比值。</w:t>
      </w:r>
    </w:p>
    <w:p w14:paraId="76E7AC78">
      <w:pPr>
        <w:widowControl/>
        <w:numPr>
          <w:ilvl w:val="1"/>
          <w:numId w:val="0"/>
        </w:numPr>
        <w:adjustRightInd w:val="0"/>
        <w:snapToGrid w:val="0"/>
        <w:spacing w:line="360" w:lineRule="auto"/>
        <w:ind w:firstLine="422" w:firstLineChars="200"/>
        <w:jc w:val="left"/>
        <w:outlineLvl w:val="5"/>
        <w:rPr>
          <w:rFonts w:ascii="宋体" w:hAnsi="宋体" w:cs="宋体"/>
          <w:b/>
          <w:smallCaps/>
          <w:kern w:val="0"/>
          <w:szCs w:val="21"/>
          <w:highlight w:val="none"/>
        </w:rPr>
      </w:pPr>
      <w:r>
        <w:rPr>
          <w:rFonts w:hint="eastAsia" w:ascii="宋体" w:hAnsi="宋体" w:cs="宋体"/>
          <w:b/>
          <w:smallCaps/>
          <w:kern w:val="0"/>
          <w:szCs w:val="21"/>
          <w:highlight w:val="none"/>
        </w:rPr>
        <w:t>5.3.7.2计算公式</w:t>
      </w:r>
    </w:p>
    <w:p w14:paraId="6304722A">
      <w:pPr>
        <w:widowControl/>
        <w:adjustRightInd w:val="0"/>
        <w:snapToGrid w:val="0"/>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医院相关性DVT发生率=本次住院被确诊为院内获得性DVT的患者总例数/同期出院患者总例数×100%</w:t>
      </w:r>
    </w:p>
    <w:p w14:paraId="130CFD52">
      <w:pPr>
        <w:widowControl/>
        <w:numPr>
          <w:ilvl w:val="1"/>
          <w:numId w:val="0"/>
        </w:numPr>
        <w:adjustRightInd w:val="0"/>
        <w:snapToGrid w:val="0"/>
        <w:spacing w:line="360" w:lineRule="auto"/>
        <w:ind w:firstLine="422" w:firstLineChars="200"/>
        <w:jc w:val="left"/>
        <w:outlineLvl w:val="4"/>
        <w:rPr>
          <w:rFonts w:ascii="宋体" w:hAnsi="宋体" w:cs="宋体"/>
          <w:b/>
          <w:smallCaps/>
          <w:kern w:val="0"/>
          <w:szCs w:val="21"/>
          <w:highlight w:val="none"/>
        </w:rPr>
      </w:pPr>
      <w:r>
        <w:rPr>
          <w:rFonts w:hint="eastAsia" w:ascii="宋体" w:hAnsi="宋体" w:cs="宋体"/>
          <w:b/>
          <w:smallCaps/>
          <w:kern w:val="0"/>
          <w:szCs w:val="21"/>
          <w:highlight w:val="none"/>
        </w:rPr>
        <w:t>5.3.8医院相关性</w:t>
      </w:r>
      <w:r>
        <w:rPr>
          <w:rFonts w:ascii="宋体" w:hAnsi="宋体" w:cs="宋体"/>
          <w:b/>
          <w:smallCaps/>
          <w:kern w:val="0"/>
          <w:szCs w:val="21"/>
          <w:highlight w:val="none"/>
        </w:rPr>
        <w:t>PTE发生率</w:t>
      </w:r>
    </w:p>
    <w:p w14:paraId="28BB0407">
      <w:pPr>
        <w:widowControl/>
        <w:numPr>
          <w:ilvl w:val="1"/>
          <w:numId w:val="0"/>
        </w:numPr>
        <w:adjustRightInd w:val="0"/>
        <w:snapToGrid w:val="0"/>
        <w:spacing w:line="360" w:lineRule="auto"/>
        <w:ind w:firstLine="422" w:firstLineChars="200"/>
        <w:jc w:val="left"/>
        <w:outlineLvl w:val="5"/>
        <w:rPr>
          <w:rFonts w:ascii="宋体" w:hAnsi="宋体" w:cs="宋体"/>
          <w:b/>
          <w:smallCaps/>
          <w:kern w:val="0"/>
          <w:szCs w:val="21"/>
          <w:highlight w:val="none"/>
        </w:rPr>
      </w:pPr>
      <w:r>
        <w:rPr>
          <w:rFonts w:hint="eastAsia" w:ascii="宋体" w:hAnsi="宋体" w:cs="宋体"/>
          <w:b/>
          <w:smallCaps/>
          <w:kern w:val="0"/>
          <w:szCs w:val="21"/>
          <w:highlight w:val="none"/>
        </w:rPr>
        <w:t>5.3.8.1定义</w:t>
      </w:r>
    </w:p>
    <w:p w14:paraId="5059BCF9">
      <w:pPr>
        <w:widowControl/>
        <w:adjustRightInd w:val="0"/>
        <w:snapToGrid w:val="0"/>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本次住院被确诊为院内获得性PTE的患者例数与同期出院患者总例数的比值。</w:t>
      </w:r>
    </w:p>
    <w:p w14:paraId="27E58CEC">
      <w:pPr>
        <w:widowControl/>
        <w:numPr>
          <w:ilvl w:val="1"/>
          <w:numId w:val="0"/>
        </w:numPr>
        <w:adjustRightInd w:val="0"/>
        <w:snapToGrid w:val="0"/>
        <w:spacing w:line="360" w:lineRule="auto"/>
        <w:ind w:firstLine="422" w:firstLineChars="200"/>
        <w:jc w:val="left"/>
        <w:outlineLvl w:val="5"/>
        <w:rPr>
          <w:rFonts w:ascii="宋体" w:hAnsi="宋体" w:cs="宋体"/>
          <w:b/>
          <w:smallCaps/>
          <w:kern w:val="0"/>
          <w:szCs w:val="21"/>
          <w:highlight w:val="none"/>
        </w:rPr>
      </w:pPr>
      <w:r>
        <w:rPr>
          <w:rFonts w:hint="eastAsia" w:ascii="宋体" w:hAnsi="宋体" w:cs="宋体"/>
          <w:b/>
          <w:smallCaps/>
          <w:kern w:val="0"/>
          <w:szCs w:val="21"/>
          <w:highlight w:val="none"/>
        </w:rPr>
        <w:t>5.3.8.2计算公式</w:t>
      </w:r>
    </w:p>
    <w:p w14:paraId="5C1FDA09">
      <w:pPr>
        <w:widowControl/>
        <w:adjustRightInd w:val="0"/>
        <w:snapToGrid w:val="0"/>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医院相关性PTE发生率=(本次住院被确诊为院内获得性PTE 的患者总例数)/同期出院患者总例数×100%</w:t>
      </w:r>
    </w:p>
    <w:p w14:paraId="2E3446BD">
      <w:pPr>
        <w:widowControl/>
        <w:numPr>
          <w:ilvl w:val="1"/>
          <w:numId w:val="0"/>
        </w:numPr>
        <w:adjustRightInd w:val="0"/>
        <w:snapToGrid w:val="0"/>
        <w:spacing w:line="360" w:lineRule="auto"/>
        <w:ind w:firstLine="422" w:firstLineChars="200"/>
        <w:jc w:val="left"/>
        <w:outlineLvl w:val="4"/>
        <w:rPr>
          <w:rFonts w:ascii="宋体" w:hAnsi="宋体" w:cs="宋体"/>
          <w:b/>
          <w:smallCaps/>
          <w:kern w:val="0"/>
          <w:szCs w:val="21"/>
          <w:highlight w:val="none"/>
        </w:rPr>
      </w:pPr>
      <w:r>
        <w:rPr>
          <w:rFonts w:hint="eastAsia" w:ascii="宋体" w:hAnsi="宋体" w:cs="宋体"/>
          <w:b/>
          <w:smallCaps/>
          <w:kern w:val="0"/>
          <w:szCs w:val="21"/>
          <w:highlight w:val="none"/>
        </w:rPr>
        <w:t>5.3.9致死性</w:t>
      </w:r>
      <w:r>
        <w:rPr>
          <w:rFonts w:ascii="宋体" w:hAnsi="宋体" w:cs="宋体"/>
          <w:b/>
          <w:smallCaps/>
          <w:kern w:val="0"/>
          <w:szCs w:val="21"/>
          <w:highlight w:val="none"/>
        </w:rPr>
        <w:t>PTE发生率</w:t>
      </w:r>
    </w:p>
    <w:p w14:paraId="5592403A">
      <w:pPr>
        <w:widowControl/>
        <w:numPr>
          <w:ilvl w:val="1"/>
          <w:numId w:val="0"/>
        </w:numPr>
        <w:adjustRightInd w:val="0"/>
        <w:snapToGrid w:val="0"/>
        <w:spacing w:line="360" w:lineRule="auto"/>
        <w:ind w:firstLine="422" w:firstLineChars="200"/>
        <w:jc w:val="left"/>
        <w:outlineLvl w:val="5"/>
        <w:rPr>
          <w:rFonts w:ascii="宋体" w:hAnsi="宋体" w:cs="宋体"/>
          <w:b/>
          <w:smallCaps/>
          <w:kern w:val="0"/>
          <w:szCs w:val="21"/>
          <w:highlight w:val="none"/>
        </w:rPr>
      </w:pPr>
      <w:r>
        <w:rPr>
          <w:rFonts w:hint="eastAsia" w:ascii="宋体" w:hAnsi="宋体" w:cs="宋体"/>
          <w:b/>
          <w:smallCaps/>
          <w:kern w:val="0"/>
          <w:szCs w:val="21"/>
          <w:highlight w:val="none"/>
        </w:rPr>
        <w:t>5.3.9.1定义</w:t>
      </w:r>
    </w:p>
    <w:p w14:paraId="1DE351A3">
      <w:pPr>
        <w:widowControl/>
        <w:adjustRightInd w:val="0"/>
        <w:snapToGrid w:val="0"/>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本次住院被确诊为致死性PTE的患者例数与同期出院患者总例数的比值。</w:t>
      </w:r>
    </w:p>
    <w:p w14:paraId="5F09929A">
      <w:pPr>
        <w:widowControl/>
        <w:numPr>
          <w:ilvl w:val="1"/>
          <w:numId w:val="0"/>
        </w:numPr>
        <w:adjustRightInd w:val="0"/>
        <w:snapToGrid w:val="0"/>
        <w:spacing w:line="360" w:lineRule="auto"/>
        <w:ind w:firstLine="422" w:firstLineChars="200"/>
        <w:jc w:val="left"/>
        <w:outlineLvl w:val="5"/>
        <w:rPr>
          <w:rFonts w:ascii="宋体" w:hAnsi="宋体" w:cs="宋体"/>
          <w:b/>
          <w:smallCaps/>
          <w:kern w:val="0"/>
          <w:szCs w:val="21"/>
          <w:highlight w:val="none"/>
        </w:rPr>
      </w:pPr>
      <w:r>
        <w:rPr>
          <w:rFonts w:hint="eastAsia" w:ascii="宋体" w:hAnsi="宋体" w:cs="宋体"/>
          <w:b/>
          <w:smallCaps/>
          <w:kern w:val="0"/>
          <w:szCs w:val="21"/>
          <w:highlight w:val="none"/>
        </w:rPr>
        <w:t>5.3.9.2致死性</w:t>
      </w:r>
      <w:r>
        <w:rPr>
          <w:rFonts w:ascii="宋体" w:hAnsi="宋体" w:cs="宋体"/>
          <w:b/>
          <w:smallCaps/>
          <w:kern w:val="0"/>
          <w:szCs w:val="21"/>
          <w:highlight w:val="none"/>
        </w:rPr>
        <w:t>PTE的患者定义</w:t>
      </w:r>
    </w:p>
    <w:p w14:paraId="6F605389">
      <w:pPr>
        <w:widowControl/>
        <w:adjustRightInd w:val="0"/>
        <w:snapToGrid w:val="0"/>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入院诊断中未包含PTE相关诊断，出院诊断中包含PTE相关诊断。</w:t>
      </w:r>
    </w:p>
    <w:p w14:paraId="4CD9922C">
      <w:pPr>
        <w:widowControl/>
        <w:adjustRightInd w:val="0"/>
        <w:snapToGrid w:val="0"/>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出院诊断、补充诊断中含有心脏骤停、休克、低氧等内容。</w:t>
      </w:r>
    </w:p>
    <w:p w14:paraId="6936582B">
      <w:pPr>
        <w:widowControl/>
        <w:numPr>
          <w:ilvl w:val="1"/>
          <w:numId w:val="0"/>
        </w:numPr>
        <w:adjustRightInd w:val="0"/>
        <w:snapToGrid w:val="0"/>
        <w:spacing w:line="360" w:lineRule="auto"/>
        <w:ind w:firstLine="422" w:firstLineChars="200"/>
        <w:jc w:val="left"/>
        <w:outlineLvl w:val="5"/>
        <w:rPr>
          <w:rFonts w:ascii="宋体" w:hAnsi="宋体" w:cs="宋体"/>
          <w:b/>
          <w:smallCaps/>
          <w:kern w:val="0"/>
          <w:szCs w:val="21"/>
          <w:highlight w:val="none"/>
        </w:rPr>
      </w:pPr>
      <w:r>
        <w:rPr>
          <w:rFonts w:hint="eastAsia" w:ascii="宋体" w:hAnsi="宋体" w:cs="宋体"/>
          <w:b/>
          <w:smallCaps/>
          <w:kern w:val="0"/>
          <w:szCs w:val="21"/>
          <w:highlight w:val="none"/>
        </w:rPr>
        <w:t>5.3.9.3计算公式</w:t>
      </w:r>
    </w:p>
    <w:p w14:paraId="1DC84FB7">
      <w:pPr>
        <w:widowControl/>
        <w:adjustRightInd w:val="0"/>
        <w:snapToGrid w:val="0"/>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致死性PTE发生率=(致死性PTE 的患者总例数)/同期出院患者总例数×100%</w:t>
      </w:r>
    </w:p>
    <w:p w14:paraId="02B2B3B3">
      <w:pPr>
        <w:widowControl/>
        <w:numPr>
          <w:ilvl w:val="1"/>
          <w:numId w:val="0"/>
        </w:numPr>
        <w:adjustRightInd w:val="0"/>
        <w:snapToGrid w:val="0"/>
        <w:spacing w:line="360" w:lineRule="auto"/>
        <w:ind w:firstLine="422" w:firstLineChars="200"/>
        <w:jc w:val="left"/>
        <w:outlineLvl w:val="3"/>
        <w:rPr>
          <w:rFonts w:ascii="宋体" w:hAnsi="宋体" w:cs="宋体"/>
          <w:b/>
          <w:smallCaps/>
          <w:kern w:val="0"/>
          <w:szCs w:val="21"/>
          <w:highlight w:val="none"/>
        </w:rPr>
      </w:pPr>
      <w:r>
        <w:rPr>
          <w:rFonts w:hint="eastAsia" w:ascii="宋体" w:hAnsi="宋体" w:cs="宋体"/>
          <w:b/>
          <w:smallCaps/>
          <w:kern w:val="0"/>
          <w:szCs w:val="21"/>
          <w:highlight w:val="none"/>
        </w:rPr>
        <w:t>5.4诊断类指标</w:t>
      </w:r>
    </w:p>
    <w:p w14:paraId="3710895D">
      <w:pPr>
        <w:widowControl/>
        <w:adjustRightInd w:val="0"/>
        <w:snapToGrid w:val="0"/>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本系统需要包含以下质控数据指标：</w:t>
      </w:r>
    </w:p>
    <w:p w14:paraId="430C8B2D">
      <w:pPr>
        <w:widowControl/>
        <w:numPr>
          <w:ilvl w:val="1"/>
          <w:numId w:val="0"/>
        </w:numPr>
        <w:adjustRightInd w:val="0"/>
        <w:snapToGrid w:val="0"/>
        <w:spacing w:line="360" w:lineRule="auto"/>
        <w:ind w:firstLine="422" w:firstLineChars="200"/>
        <w:jc w:val="left"/>
        <w:outlineLvl w:val="4"/>
        <w:rPr>
          <w:rFonts w:ascii="宋体" w:hAnsi="宋体" w:cs="宋体"/>
          <w:b/>
          <w:smallCaps/>
          <w:kern w:val="0"/>
          <w:szCs w:val="21"/>
          <w:highlight w:val="none"/>
        </w:rPr>
      </w:pPr>
      <w:r>
        <w:rPr>
          <w:rFonts w:hint="eastAsia" w:ascii="宋体" w:hAnsi="宋体" w:cs="宋体"/>
          <w:b/>
          <w:smallCaps/>
          <w:kern w:val="0"/>
          <w:szCs w:val="21"/>
          <w:highlight w:val="none"/>
        </w:rPr>
        <w:t>5.4.1住院患者实施静脉超声检查率</w:t>
      </w:r>
    </w:p>
    <w:p w14:paraId="1C031836">
      <w:pPr>
        <w:widowControl/>
        <w:numPr>
          <w:ilvl w:val="1"/>
          <w:numId w:val="0"/>
        </w:numPr>
        <w:adjustRightInd w:val="0"/>
        <w:snapToGrid w:val="0"/>
        <w:spacing w:line="360" w:lineRule="auto"/>
        <w:ind w:firstLine="422" w:firstLineChars="200"/>
        <w:jc w:val="left"/>
        <w:outlineLvl w:val="5"/>
        <w:rPr>
          <w:rFonts w:ascii="宋体" w:hAnsi="宋体" w:cs="宋体"/>
          <w:b/>
          <w:smallCaps/>
          <w:kern w:val="0"/>
          <w:szCs w:val="21"/>
          <w:highlight w:val="none"/>
        </w:rPr>
      </w:pPr>
      <w:r>
        <w:rPr>
          <w:rFonts w:hint="eastAsia" w:ascii="宋体" w:hAnsi="宋体" w:cs="宋体"/>
          <w:b/>
          <w:smallCaps/>
          <w:kern w:val="0"/>
          <w:szCs w:val="21"/>
          <w:highlight w:val="none"/>
        </w:rPr>
        <w:t>5.4.1.1定义</w:t>
      </w:r>
    </w:p>
    <w:p w14:paraId="74A46810">
      <w:pPr>
        <w:widowControl/>
        <w:adjustRightInd w:val="0"/>
        <w:snapToGrid w:val="0"/>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实施静脉超声检查的出院患者例数之和与同期临床评估*属中度及高度VTE可能的出院患者例数之和的比值。</w:t>
      </w:r>
    </w:p>
    <w:p w14:paraId="6371D8C5">
      <w:pPr>
        <w:widowControl/>
        <w:numPr>
          <w:ilvl w:val="1"/>
          <w:numId w:val="0"/>
        </w:numPr>
        <w:adjustRightInd w:val="0"/>
        <w:snapToGrid w:val="0"/>
        <w:spacing w:line="360" w:lineRule="auto"/>
        <w:ind w:firstLine="422" w:firstLineChars="200"/>
        <w:jc w:val="left"/>
        <w:outlineLvl w:val="5"/>
        <w:rPr>
          <w:rFonts w:ascii="宋体" w:hAnsi="宋体" w:cs="宋体"/>
          <w:b/>
          <w:smallCaps/>
          <w:kern w:val="0"/>
          <w:szCs w:val="21"/>
          <w:highlight w:val="none"/>
        </w:rPr>
      </w:pPr>
      <w:r>
        <w:rPr>
          <w:rFonts w:hint="eastAsia" w:ascii="宋体" w:hAnsi="宋体" w:cs="宋体"/>
          <w:b/>
          <w:smallCaps/>
          <w:kern w:val="0"/>
          <w:szCs w:val="21"/>
          <w:highlight w:val="none"/>
        </w:rPr>
        <w:t>5.4.1.2计算公式</w:t>
      </w:r>
    </w:p>
    <w:p w14:paraId="6A3A380B">
      <w:pPr>
        <w:widowControl/>
        <w:adjustRightInd w:val="0"/>
        <w:snapToGrid w:val="0"/>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住院患者实施静脉超声检查率=下肢血管超声检查患者数/VTE中高危患者数×100%</w:t>
      </w:r>
    </w:p>
    <w:p w14:paraId="3A5EBB1F">
      <w:pPr>
        <w:widowControl/>
        <w:numPr>
          <w:ilvl w:val="1"/>
          <w:numId w:val="0"/>
        </w:numPr>
        <w:adjustRightInd w:val="0"/>
        <w:snapToGrid w:val="0"/>
        <w:spacing w:line="360" w:lineRule="auto"/>
        <w:ind w:firstLine="422" w:firstLineChars="200"/>
        <w:jc w:val="left"/>
        <w:outlineLvl w:val="4"/>
        <w:rPr>
          <w:rFonts w:ascii="宋体" w:hAnsi="宋体" w:cs="宋体"/>
          <w:b/>
          <w:smallCaps/>
          <w:kern w:val="0"/>
          <w:szCs w:val="21"/>
          <w:highlight w:val="none"/>
        </w:rPr>
      </w:pPr>
      <w:r>
        <w:rPr>
          <w:rFonts w:hint="eastAsia" w:ascii="宋体" w:hAnsi="宋体" w:cs="宋体"/>
          <w:b/>
          <w:smallCaps/>
          <w:kern w:val="0"/>
          <w:szCs w:val="21"/>
          <w:highlight w:val="none"/>
        </w:rPr>
        <w:t>5.4.2住院患者实施</w:t>
      </w:r>
      <w:r>
        <w:rPr>
          <w:rFonts w:ascii="宋体" w:hAnsi="宋体" w:cs="宋体"/>
          <w:b/>
          <w:smallCaps/>
          <w:kern w:val="0"/>
          <w:szCs w:val="21"/>
          <w:highlight w:val="none"/>
        </w:rPr>
        <w:t>D-二聚体检测率</w:t>
      </w:r>
    </w:p>
    <w:p w14:paraId="2669AECE">
      <w:pPr>
        <w:widowControl/>
        <w:numPr>
          <w:ilvl w:val="1"/>
          <w:numId w:val="0"/>
        </w:numPr>
        <w:adjustRightInd w:val="0"/>
        <w:snapToGrid w:val="0"/>
        <w:spacing w:line="360" w:lineRule="auto"/>
        <w:ind w:firstLine="422" w:firstLineChars="200"/>
        <w:jc w:val="left"/>
        <w:outlineLvl w:val="5"/>
        <w:rPr>
          <w:rFonts w:ascii="宋体" w:hAnsi="宋体" w:cs="宋体"/>
          <w:b/>
          <w:smallCaps/>
          <w:kern w:val="0"/>
          <w:szCs w:val="21"/>
          <w:highlight w:val="none"/>
        </w:rPr>
      </w:pPr>
      <w:r>
        <w:rPr>
          <w:rFonts w:hint="eastAsia" w:ascii="宋体" w:hAnsi="宋体" w:cs="宋体"/>
          <w:b/>
          <w:smallCaps/>
          <w:kern w:val="0"/>
          <w:szCs w:val="21"/>
          <w:highlight w:val="none"/>
        </w:rPr>
        <w:t>5.4.2.1定义</w:t>
      </w:r>
    </w:p>
    <w:p w14:paraId="0849B1B1">
      <w:pPr>
        <w:widowControl/>
        <w:adjustRightInd w:val="0"/>
        <w:snapToGrid w:val="0"/>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实施 D-二聚体检测的出院患者例数之和与同期临床评估属中度及高度 VTE 可能的出院患者例数之和的比值。</w:t>
      </w:r>
    </w:p>
    <w:p w14:paraId="223039E9">
      <w:pPr>
        <w:widowControl/>
        <w:numPr>
          <w:ilvl w:val="1"/>
          <w:numId w:val="0"/>
        </w:numPr>
        <w:adjustRightInd w:val="0"/>
        <w:snapToGrid w:val="0"/>
        <w:spacing w:line="360" w:lineRule="auto"/>
        <w:ind w:firstLine="422" w:firstLineChars="200"/>
        <w:jc w:val="left"/>
        <w:outlineLvl w:val="5"/>
        <w:rPr>
          <w:rFonts w:ascii="宋体" w:hAnsi="宋体" w:cs="宋体"/>
          <w:b/>
          <w:smallCaps/>
          <w:kern w:val="0"/>
          <w:szCs w:val="21"/>
          <w:highlight w:val="none"/>
        </w:rPr>
      </w:pPr>
      <w:r>
        <w:rPr>
          <w:rFonts w:hint="eastAsia" w:ascii="宋体" w:hAnsi="宋体" w:cs="宋体"/>
          <w:b/>
          <w:smallCaps/>
          <w:kern w:val="0"/>
          <w:szCs w:val="21"/>
          <w:highlight w:val="none"/>
        </w:rPr>
        <w:t>5.4.2.2计算公式</w:t>
      </w:r>
    </w:p>
    <w:p w14:paraId="2D0307A0">
      <w:pPr>
        <w:widowControl/>
        <w:adjustRightInd w:val="0"/>
        <w:snapToGrid w:val="0"/>
        <w:spacing w:line="360" w:lineRule="auto"/>
        <w:ind w:firstLine="420" w:firstLineChars="200"/>
        <w:jc w:val="left"/>
        <w:outlineLvl w:val="9"/>
        <w:rPr>
          <w:rFonts w:ascii="宋体" w:hAnsi="宋体" w:cs="宋体"/>
          <w:b w:val="0"/>
          <w:smallCaps w:val="0"/>
          <w:spacing w:val="0"/>
          <w:kern w:val="0"/>
          <w:szCs w:val="21"/>
          <w:highlight w:val="none"/>
        </w:rPr>
      </w:pPr>
      <w:r>
        <w:rPr>
          <w:rFonts w:hint="eastAsia" w:ascii="宋体" w:hAnsi="宋体" w:cs="宋体"/>
          <w:kern w:val="0"/>
          <w:szCs w:val="21"/>
          <w:highlight w:val="none"/>
        </w:rPr>
        <w:t>住院患者实施D-二聚体检测率=D二聚体检测例数/VTE中高危患者数×100%</w:t>
      </w:r>
    </w:p>
    <w:p w14:paraId="6244A409">
      <w:pPr>
        <w:keepNext w:val="0"/>
        <w:keepLines w:val="0"/>
        <w:pageBreakBefore w:val="0"/>
        <w:widowControl/>
        <w:wordWrap/>
        <w:topLinePunct w:val="0"/>
        <w:bidi w:val="0"/>
        <w:adjustRightInd w:val="0"/>
        <w:snapToGrid w:val="0"/>
        <w:spacing w:line="360" w:lineRule="auto"/>
        <w:ind w:firstLine="442" w:firstLineChars="200"/>
        <w:jc w:val="left"/>
        <w:textAlignment w:val="auto"/>
        <w:outlineLvl w:val="2"/>
        <w:rPr>
          <w:rFonts w:hint="eastAsia" w:ascii="宋体" w:hAnsi="宋体" w:eastAsia="宋体" w:cs="宋体"/>
          <w:b/>
          <w:smallCaps/>
          <w:spacing w:val="5"/>
          <w:kern w:val="0"/>
          <w:sz w:val="21"/>
          <w:szCs w:val="21"/>
          <w:highlight w:val="none"/>
        </w:rPr>
      </w:pPr>
      <w:r>
        <w:rPr>
          <w:rFonts w:hint="eastAsia" w:ascii="宋体" w:hAnsi="宋体" w:eastAsia="宋体" w:cs="宋体"/>
          <w:b/>
          <w:smallCaps/>
          <w:spacing w:val="5"/>
          <w:kern w:val="0"/>
          <w:sz w:val="21"/>
          <w:szCs w:val="21"/>
          <w:highlight w:val="none"/>
        </w:rPr>
        <w:t>6.项目要求</w:t>
      </w:r>
      <w:bookmarkEnd w:id="6"/>
    </w:p>
    <w:p w14:paraId="22F868FA">
      <w:pPr>
        <w:keepNext w:val="0"/>
        <w:keepLines w:val="0"/>
        <w:pageBreakBefore w:val="0"/>
        <w:widowControl/>
        <w:numPr>
          <w:ilvl w:val="1"/>
          <w:numId w:val="0"/>
        </w:numPr>
        <w:wordWrap/>
        <w:topLinePunct w:val="0"/>
        <w:bidi w:val="0"/>
        <w:adjustRightInd w:val="0"/>
        <w:snapToGrid w:val="0"/>
        <w:spacing w:line="360" w:lineRule="auto"/>
        <w:ind w:firstLine="422" w:firstLineChars="200"/>
        <w:jc w:val="left"/>
        <w:textAlignment w:val="auto"/>
        <w:outlineLvl w:val="3"/>
        <w:rPr>
          <w:rFonts w:hint="eastAsia" w:ascii="宋体" w:hAnsi="宋体" w:eastAsia="宋体" w:cs="宋体"/>
          <w:b/>
          <w:smallCaps/>
          <w:kern w:val="0"/>
          <w:sz w:val="21"/>
          <w:szCs w:val="21"/>
          <w:highlight w:val="none"/>
        </w:rPr>
      </w:pPr>
      <w:r>
        <w:rPr>
          <w:rFonts w:hint="eastAsia" w:ascii="宋体" w:hAnsi="宋体" w:eastAsia="宋体" w:cs="宋体"/>
          <w:b/>
          <w:smallCaps/>
          <w:kern w:val="0"/>
          <w:sz w:val="21"/>
          <w:szCs w:val="21"/>
          <w:highlight w:val="none"/>
        </w:rPr>
        <w:t>6.1项目技术条款</w:t>
      </w:r>
    </w:p>
    <w:p w14:paraId="0ACB4149">
      <w:pPr>
        <w:keepNext w:val="0"/>
        <w:keepLines w:val="0"/>
        <w:pageBreakBefore w:val="0"/>
        <w:widowControl/>
        <w:numPr>
          <w:ilvl w:val="0"/>
          <w:numId w:val="3"/>
        </w:numPr>
        <w:wordWrap/>
        <w:topLinePunct w:val="0"/>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客户端系统采用CS方式则应支持以下操作系统：win10企业版32位、win10企业版64位；采用.net框架的需支持.net framework 4.5及以上。客户端采用BS方式则应支持：WIN10以上操作系统调用操作系统默认edge浏览器。</w:t>
      </w:r>
    </w:p>
    <w:p w14:paraId="111CFA38">
      <w:pPr>
        <w:keepNext w:val="0"/>
        <w:keepLines w:val="0"/>
        <w:pageBreakBefore w:val="0"/>
        <w:widowControl/>
        <w:numPr>
          <w:ilvl w:val="0"/>
          <w:numId w:val="3"/>
        </w:numPr>
        <w:wordWrap/>
        <w:topLinePunct w:val="0"/>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整个系统从客户端、中间层、数据库层支持虚拟化技术，可在虚拟化环境下正常运行，支持vm等常见的虚拟机。</w:t>
      </w:r>
    </w:p>
    <w:p w14:paraId="13E57486">
      <w:pPr>
        <w:keepNext w:val="0"/>
        <w:keepLines w:val="0"/>
        <w:pageBreakBefore w:val="0"/>
        <w:widowControl/>
        <w:numPr>
          <w:ilvl w:val="0"/>
          <w:numId w:val="3"/>
        </w:numPr>
        <w:wordWrap/>
        <w:topLinePunct w:val="0"/>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▲不限用户点数，不限同时在线点数，不设使用期限</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投标时需提供承诺函作为证明材料，承诺函格式自拟</w:t>
      </w:r>
      <w:r>
        <w:rPr>
          <w:rFonts w:hint="eastAsia" w:ascii="宋体" w:hAnsi="宋体" w:eastAsia="宋体" w:cs="宋体"/>
          <w:sz w:val="21"/>
          <w:szCs w:val="21"/>
          <w:highlight w:val="none"/>
          <w:lang w:eastAsia="zh-CN"/>
        </w:rPr>
        <w:t>）</w:t>
      </w:r>
      <w:r>
        <w:rPr>
          <w:rFonts w:hint="eastAsia" w:ascii="宋体" w:hAnsi="宋体" w:eastAsia="宋体" w:cs="宋体"/>
          <w:kern w:val="0"/>
          <w:sz w:val="21"/>
          <w:szCs w:val="21"/>
          <w:highlight w:val="none"/>
        </w:rPr>
        <w:t>。</w:t>
      </w:r>
    </w:p>
    <w:p w14:paraId="59236ED0">
      <w:pPr>
        <w:keepNext w:val="0"/>
        <w:keepLines w:val="0"/>
        <w:pageBreakBefore w:val="0"/>
        <w:widowControl/>
        <w:numPr>
          <w:ilvl w:val="0"/>
          <w:numId w:val="3"/>
        </w:numPr>
        <w:wordWrap/>
        <w:topLinePunct w:val="0"/>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w:t>
      </w:r>
      <w:r>
        <w:rPr>
          <w:rFonts w:hint="eastAsia" w:ascii="宋体" w:hAnsi="宋体" w:cs="宋体"/>
          <w:kern w:val="0"/>
          <w:sz w:val="21"/>
          <w:szCs w:val="21"/>
          <w:highlight w:val="none"/>
          <w:lang w:val="en-US" w:eastAsia="zh-CN"/>
        </w:rPr>
        <w:t>采购人购买的</w:t>
      </w:r>
      <w:r>
        <w:rPr>
          <w:rFonts w:hint="eastAsia" w:ascii="宋体" w:hAnsi="宋体" w:eastAsia="宋体" w:cs="宋体"/>
          <w:kern w:val="0"/>
          <w:sz w:val="21"/>
          <w:szCs w:val="21"/>
          <w:highlight w:val="none"/>
        </w:rPr>
        <w:t>产品为终身授权，</w:t>
      </w:r>
      <w:r>
        <w:rPr>
          <w:rFonts w:hint="eastAsia" w:ascii="宋体" w:hAnsi="宋体" w:cs="宋体"/>
          <w:kern w:val="0"/>
          <w:sz w:val="21"/>
          <w:szCs w:val="21"/>
          <w:highlight w:val="none"/>
          <w:lang w:val="en-US" w:eastAsia="zh-CN"/>
        </w:rPr>
        <w:t>不允许</w:t>
      </w:r>
      <w:r>
        <w:rPr>
          <w:rFonts w:hint="eastAsia" w:ascii="宋体" w:hAnsi="宋体" w:eastAsia="宋体" w:cs="宋体"/>
          <w:kern w:val="0"/>
          <w:sz w:val="21"/>
          <w:szCs w:val="21"/>
          <w:highlight w:val="none"/>
        </w:rPr>
        <w:t>另行购买许可。如对软件产品的授权有加密功能，时间许可为永久，只允许软加密，不允许采用U盘加密狗等硬加密方式，软加密不允许读任何</w:t>
      </w:r>
      <w:r>
        <w:rPr>
          <w:rFonts w:hint="eastAsia" w:ascii="宋体" w:hAnsi="宋体" w:cs="宋体"/>
          <w:kern w:val="0"/>
          <w:sz w:val="21"/>
          <w:szCs w:val="21"/>
          <w:highlight w:val="none"/>
          <w:lang w:val="en-US" w:eastAsia="zh-CN"/>
        </w:rPr>
        <w:t>服务器</w:t>
      </w:r>
      <w:r>
        <w:rPr>
          <w:rFonts w:hint="eastAsia" w:ascii="宋体" w:hAnsi="宋体" w:eastAsia="宋体" w:cs="宋体"/>
          <w:kern w:val="0"/>
          <w:sz w:val="21"/>
          <w:szCs w:val="21"/>
          <w:highlight w:val="none"/>
        </w:rPr>
        <w:t>、任何终端的任何软硬件信息作为加密的一部分</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投标时需提供承诺函作为证明材料，承诺函格式自拟</w:t>
      </w:r>
      <w:r>
        <w:rPr>
          <w:rFonts w:hint="eastAsia" w:ascii="宋体" w:hAnsi="宋体" w:eastAsia="宋体" w:cs="宋体"/>
          <w:sz w:val="21"/>
          <w:szCs w:val="21"/>
          <w:highlight w:val="none"/>
          <w:lang w:eastAsia="zh-CN"/>
        </w:rPr>
        <w:t>）</w:t>
      </w:r>
      <w:r>
        <w:rPr>
          <w:rFonts w:hint="eastAsia" w:ascii="宋体" w:hAnsi="宋体" w:eastAsia="宋体" w:cs="宋体"/>
          <w:kern w:val="0"/>
          <w:sz w:val="21"/>
          <w:szCs w:val="21"/>
          <w:highlight w:val="none"/>
        </w:rPr>
        <w:t>。</w:t>
      </w:r>
    </w:p>
    <w:p w14:paraId="661A0894">
      <w:pPr>
        <w:keepNext w:val="0"/>
        <w:keepLines w:val="0"/>
        <w:pageBreakBefore w:val="0"/>
        <w:numPr>
          <w:ilvl w:val="0"/>
          <w:numId w:val="3"/>
        </w:numPr>
        <w:wordWrap/>
        <w:topLinePunct w:val="0"/>
        <w:bidi w:val="0"/>
        <w:spacing w:line="360" w:lineRule="auto"/>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网络安全等保要求：中标人应根据公安机关的时间要求无条件对本采购包中所涉及的设备及系统进行安全漏洞检测和修复，并配合采购人完成日常等级保护检测和漏洞修复工作，以满足通过等级保护验收的要求。根据采购人提供的方案进行整改。系统整体安全级别需完全符合国家《网络安全等级保护2.0》三级标准的相关要求。如网络扫描发现高危、中危漏洞需通知相关责任人立即修复，并需出一份系统安全整改报告盖中标人的公章</w:t>
      </w:r>
      <w:r>
        <w:rPr>
          <w:rFonts w:hint="eastAsia" w:ascii="宋体" w:hAnsi="宋体" w:eastAsia="宋体" w:cs="宋体"/>
          <w:sz w:val="21"/>
          <w:szCs w:val="21"/>
        </w:rPr>
        <w:t>。</w:t>
      </w:r>
    </w:p>
    <w:p w14:paraId="27A7C83C">
      <w:pPr>
        <w:keepNext w:val="0"/>
        <w:keepLines w:val="0"/>
        <w:pageBreakBefore w:val="0"/>
        <w:numPr>
          <w:ilvl w:val="0"/>
          <w:numId w:val="3"/>
        </w:numPr>
        <w:wordWrap/>
        <w:topLinePunct w:val="0"/>
        <w:bidi w:val="0"/>
        <w:spacing w:line="360" w:lineRule="auto"/>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商用密码要求：按照国家相关商用密码应用和管理要求，配合相关部门的要求完成商用密码评估及整改工作。</w:t>
      </w:r>
    </w:p>
    <w:p w14:paraId="5FAF6B5A">
      <w:pPr>
        <w:keepNext w:val="0"/>
        <w:keepLines w:val="0"/>
        <w:pageBreakBefore w:val="0"/>
        <w:widowControl/>
        <w:numPr>
          <w:ilvl w:val="0"/>
          <w:numId w:val="3"/>
        </w:numPr>
        <w:wordWrap/>
        <w:topLinePunct w:val="0"/>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数据库安全保护要求：要有数据库技术防错机制，禁止明文密码出现，禁止业务用户拥有DBA权限，禁止使用管理员用户作为与业务系统的连接。</w:t>
      </w:r>
    </w:p>
    <w:p w14:paraId="789B6D68">
      <w:pPr>
        <w:keepNext w:val="0"/>
        <w:keepLines w:val="0"/>
        <w:pageBreakBefore w:val="0"/>
        <w:widowControl/>
        <w:numPr>
          <w:ilvl w:val="0"/>
          <w:numId w:val="3"/>
        </w:numPr>
        <w:wordWrap/>
        <w:topLinePunct w:val="0"/>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应用</w:t>
      </w:r>
      <w:r>
        <w:rPr>
          <w:rFonts w:hint="eastAsia" w:ascii="宋体" w:hAnsi="宋体" w:cs="宋体"/>
          <w:kern w:val="0"/>
          <w:sz w:val="21"/>
          <w:szCs w:val="21"/>
          <w:highlight w:val="none"/>
          <w:lang w:val="en-US" w:eastAsia="zh-CN"/>
        </w:rPr>
        <w:t>服务器</w:t>
      </w:r>
      <w:r>
        <w:rPr>
          <w:rFonts w:hint="eastAsia" w:ascii="宋体" w:hAnsi="宋体" w:eastAsia="宋体" w:cs="宋体"/>
          <w:kern w:val="0"/>
          <w:sz w:val="21"/>
          <w:szCs w:val="21"/>
          <w:highlight w:val="none"/>
        </w:rPr>
        <w:t>与数据库</w:t>
      </w:r>
      <w:r>
        <w:rPr>
          <w:rFonts w:hint="eastAsia" w:ascii="宋体" w:hAnsi="宋体" w:cs="宋体"/>
          <w:kern w:val="0"/>
          <w:sz w:val="21"/>
          <w:szCs w:val="21"/>
          <w:highlight w:val="none"/>
          <w:lang w:val="en-US" w:eastAsia="zh-CN"/>
        </w:rPr>
        <w:t>服务器</w:t>
      </w:r>
      <w:r>
        <w:rPr>
          <w:rFonts w:hint="eastAsia" w:ascii="宋体" w:hAnsi="宋体" w:cs="宋体"/>
          <w:kern w:val="0"/>
          <w:sz w:val="21"/>
          <w:szCs w:val="21"/>
          <w:highlight w:val="none"/>
          <w:lang w:eastAsia="zh-CN"/>
        </w:rPr>
        <w:t>（</w:t>
      </w:r>
      <w:r>
        <w:rPr>
          <w:rFonts w:hint="eastAsia" w:ascii="宋体" w:hAnsi="宋体" w:eastAsia="宋体" w:cs="宋体"/>
          <w:kern w:val="0"/>
          <w:sz w:val="21"/>
          <w:szCs w:val="21"/>
          <w:highlight w:val="none"/>
        </w:rPr>
        <w:t>含数据文件</w:t>
      </w:r>
      <w:r>
        <w:rPr>
          <w:rFonts w:hint="eastAsia" w:ascii="宋体" w:hAnsi="宋体" w:cs="宋体"/>
          <w:kern w:val="0"/>
          <w:sz w:val="21"/>
          <w:szCs w:val="21"/>
          <w:highlight w:val="none"/>
          <w:lang w:eastAsia="zh-CN"/>
        </w:rPr>
        <w:t>）</w:t>
      </w:r>
      <w:r>
        <w:rPr>
          <w:rFonts w:hint="eastAsia" w:ascii="宋体" w:hAnsi="宋体" w:eastAsia="宋体" w:cs="宋体"/>
          <w:kern w:val="0"/>
          <w:sz w:val="21"/>
          <w:szCs w:val="21"/>
          <w:highlight w:val="none"/>
        </w:rPr>
        <w:t>分离，分别部署在不同的</w:t>
      </w:r>
      <w:r>
        <w:rPr>
          <w:rFonts w:hint="eastAsia" w:ascii="宋体" w:hAnsi="宋体" w:cs="宋体"/>
          <w:kern w:val="0"/>
          <w:sz w:val="21"/>
          <w:szCs w:val="21"/>
          <w:highlight w:val="none"/>
          <w:lang w:val="en-US" w:eastAsia="zh-CN"/>
        </w:rPr>
        <w:t>服务器</w:t>
      </w:r>
      <w:r>
        <w:rPr>
          <w:rFonts w:hint="eastAsia" w:ascii="宋体" w:hAnsi="宋体" w:eastAsia="宋体" w:cs="宋体"/>
          <w:kern w:val="0"/>
          <w:sz w:val="21"/>
          <w:szCs w:val="21"/>
          <w:highlight w:val="none"/>
        </w:rPr>
        <w:t>上。</w:t>
      </w:r>
    </w:p>
    <w:p w14:paraId="52F6E51C">
      <w:pPr>
        <w:keepNext w:val="0"/>
        <w:keepLines w:val="0"/>
        <w:pageBreakBefore w:val="0"/>
        <w:widowControl/>
        <w:numPr>
          <w:ilvl w:val="0"/>
          <w:numId w:val="3"/>
        </w:numPr>
        <w:wordWrap/>
        <w:topLinePunct w:val="0"/>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cs="宋体"/>
          <w:kern w:val="0"/>
          <w:sz w:val="21"/>
          <w:szCs w:val="21"/>
          <w:highlight w:val="none"/>
          <w:lang w:eastAsia="zh-CN"/>
        </w:rPr>
        <w:t>项目验收</w:t>
      </w:r>
      <w:r>
        <w:rPr>
          <w:rFonts w:hint="eastAsia" w:ascii="宋体" w:hAnsi="宋体" w:eastAsia="宋体" w:cs="宋体"/>
          <w:kern w:val="0"/>
          <w:sz w:val="21"/>
          <w:szCs w:val="21"/>
          <w:highlight w:val="none"/>
        </w:rPr>
        <w:t>前中标人完成所有与该系统有关的信息系统、政策性任务、医疗设备等接口开发调试工作，并保证接口的正常运行投入使用。</w:t>
      </w:r>
    </w:p>
    <w:p w14:paraId="4A96405A">
      <w:pPr>
        <w:keepNext w:val="0"/>
        <w:keepLines w:val="0"/>
        <w:pageBreakBefore w:val="0"/>
        <w:widowControl/>
        <w:numPr>
          <w:ilvl w:val="0"/>
          <w:numId w:val="3"/>
        </w:numPr>
        <w:wordWrap/>
        <w:topLinePunct w:val="0"/>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cs="宋体"/>
          <w:kern w:val="0"/>
          <w:sz w:val="21"/>
          <w:szCs w:val="21"/>
          <w:highlight w:val="none"/>
          <w:lang w:eastAsia="zh-CN"/>
        </w:rPr>
        <w:t>项目验收</w:t>
      </w:r>
      <w:r>
        <w:rPr>
          <w:rFonts w:hint="eastAsia" w:ascii="宋体" w:hAnsi="宋体" w:eastAsia="宋体" w:cs="宋体"/>
          <w:kern w:val="0"/>
          <w:sz w:val="21"/>
          <w:szCs w:val="21"/>
          <w:highlight w:val="none"/>
        </w:rPr>
        <w:t>前实施过程中如需要与第三方厂商的产品对接，第三方厂商的接口改造费用由中标人支付。</w:t>
      </w:r>
    </w:p>
    <w:p w14:paraId="60DE4397">
      <w:pPr>
        <w:keepNext w:val="0"/>
        <w:keepLines w:val="0"/>
        <w:pageBreakBefore w:val="0"/>
        <w:widowControl/>
        <w:numPr>
          <w:ilvl w:val="0"/>
          <w:numId w:val="3"/>
        </w:numPr>
        <w:wordWrap/>
        <w:topLinePunct w:val="0"/>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软件符合《全国医院信息化建设标准与规范》要求。</w:t>
      </w:r>
    </w:p>
    <w:p w14:paraId="2E18086C">
      <w:pPr>
        <w:keepNext w:val="0"/>
        <w:keepLines w:val="0"/>
        <w:pageBreakBefore w:val="0"/>
        <w:widowControl/>
        <w:numPr>
          <w:ilvl w:val="0"/>
          <w:numId w:val="3"/>
        </w:numPr>
        <w:wordWrap/>
        <w:topLinePunct w:val="0"/>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cs="宋体"/>
          <w:kern w:val="0"/>
          <w:sz w:val="21"/>
          <w:szCs w:val="21"/>
          <w:highlight w:val="none"/>
          <w:lang w:val="en-US" w:eastAsia="zh-CN"/>
        </w:rPr>
        <w:t>服务器</w:t>
      </w:r>
      <w:r>
        <w:rPr>
          <w:rFonts w:hint="eastAsia" w:ascii="宋体" w:hAnsi="宋体" w:eastAsia="宋体" w:cs="宋体"/>
          <w:kern w:val="0"/>
          <w:sz w:val="21"/>
          <w:szCs w:val="21"/>
          <w:highlight w:val="none"/>
        </w:rPr>
        <w:t>操作系统相关：优先采用Linux操作系统及配套成熟组件部署业务系统再考虑采用Windows Server 2016操作系统及配套成熟组件部署业务系统，并自带序列号激活码。</w:t>
      </w:r>
    </w:p>
    <w:p w14:paraId="12A6F3C1">
      <w:pPr>
        <w:keepNext w:val="0"/>
        <w:keepLines w:val="0"/>
        <w:pageBreakBefore w:val="0"/>
        <w:widowControl/>
        <w:numPr>
          <w:ilvl w:val="0"/>
          <w:numId w:val="3"/>
        </w:numPr>
        <w:wordWrap/>
        <w:topLinePunct w:val="0"/>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数据库采用SQL Server 2016或Oracle 11g及以上版本。</w:t>
      </w:r>
    </w:p>
    <w:p w14:paraId="20A896D8">
      <w:pPr>
        <w:keepNext w:val="0"/>
        <w:keepLines w:val="0"/>
        <w:pageBreakBefore w:val="0"/>
        <w:widowControl/>
        <w:numPr>
          <w:ilvl w:val="0"/>
          <w:numId w:val="3"/>
        </w:numPr>
        <w:wordWrap/>
        <w:topLinePunct w:val="0"/>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▲用户首次登录系统时要求系统能提示用户强制修改原始密码；不允许有不符合网络安全要求的数据库、应用</w:t>
      </w:r>
      <w:r>
        <w:rPr>
          <w:rFonts w:hint="eastAsia" w:ascii="宋体" w:hAnsi="宋体" w:cs="宋体"/>
          <w:kern w:val="0"/>
          <w:sz w:val="21"/>
          <w:szCs w:val="21"/>
          <w:highlight w:val="none"/>
          <w:lang w:val="en-US" w:eastAsia="zh-CN"/>
        </w:rPr>
        <w:t>服务器</w:t>
      </w:r>
      <w:r>
        <w:rPr>
          <w:rFonts w:hint="eastAsia" w:ascii="宋体" w:hAnsi="宋体" w:eastAsia="宋体" w:cs="宋体"/>
          <w:kern w:val="0"/>
          <w:sz w:val="21"/>
          <w:szCs w:val="21"/>
          <w:highlight w:val="none"/>
        </w:rPr>
        <w:t>、客户端弱口令；从技术层面强制控制强密码要求采用数字、大小写字母、特殊符号组成，密码长度不少于8位，并设立开关控制；有定期强制更换密码开关，并能设置某个周期内强制用户登录时更换密码。</w:t>
      </w:r>
    </w:p>
    <w:p w14:paraId="1497A179">
      <w:pPr>
        <w:keepNext w:val="0"/>
        <w:keepLines w:val="0"/>
        <w:pageBreakBefore w:val="0"/>
        <w:widowControl/>
        <w:numPr>
          <w:ilvl w:val="0"/>
          <w:numId w:val="3"/>
        </w:numPr>
        <w:wordWrap/>
        <w:topLinePunct w:val="0"/>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如系统牵涉财务收费对账问题，则需有相关的对账报表以辅助业务科室完成对账工作。</w:t>
      </w:r>
    </w:p>
    <w:p w14:paraId="768C5072">
      <w:pPr>
        <w:keepNext w:val="0"/>
        <w:keepLines w:val="0"/>
        <w:pageBreakBefore w:val="0"/>
        <w:widowControl/>
        <w:numPr>
          <w:ilvl w:val="0"/>
          <w:numId w:val="3"/>
        </w:numPr>
        <w:wordWrap/>
        <w:topLinePunct w:val="0"/>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cs="宋体"/>
          <w:kern w:val="0"/>
          <w:sz w:val="21"/>
          <w:szCs w:val="21"/>
          <w:highlight w:val="none"/>
          <w:lang w:eastAsia="zh-CN"/>
        </w:rPr>
        <w:t>项目验收</w:t>
      </w:r>
      <w:r>
        <w:rPr>
          <w:rFonts w:hint="eastAsia" w:ascii="宋体" w:hAnsi="宋体" w:cs="宋体"/>
          <w:kern w:val="0"/>
          <w:sz w:val="21"/>
          <w:szCs w:val="21"/>
          <w:highlight w:val="none"/>
          <w:lang w:val="en-US" w:eastAsia="zh-CN"/>
        </w:rPr>
        <w:t>合格</w:t>
      </w:r>
      <w:r>
        <w:rPr>
          <w:rFonts w:hint="eastAsia" w:ascii="宋体" w:hAnsi="宋体" w:eastAsia="宋体" w:cs="宋体"/>
          <w:kern w:val="0"/>
          <w:sz w:val="21"/>
          <w:szCs w:val="21"/>
          <w:highlight w:val="none"/>
        </w:rPr>
        <w:t>后</w:t>
      </w:r>
      <w:r>
        <w:rPr>
          <w:rFonts w:hint="eastAsia" w:ascii="宋体" w:hAnsi="宋体" w:cs="宋体"/>
          <w:kern w:val="0"/>
          <w:sz w:val="21"/>
          <w:szCs w:val="21"/>
          <w:highlight w:val="none"/>
          <w:lang w:eastAsia="zh-CN"/>
        </w:rPr>
        <w:t>采购人</w:t>
      </w:r>
      <w:r>
        <w:rPr>
          <w:rFonts w:hint="eastAsia" w:ascii="宋体" w:hAnsi="宋体" w:eastAsia="宋体" w:cs="宋体"/>
          <w:kern w:val="0"/>
          <w:sz w:val="21"/>
          <w:szCs w:val="21"/>
          <w:highlight w:val="none"/>
        </w:rPr>
        <w:t>每一个BUG提出至</w:t>
      </w:r>
      <w:r>
        <w:rPr>
          <w:rFonts w:hint="eastAsia" w:ascii="宋体" w:hAnsi="宋体" w:cs="宋体"/>
          <w:kern w:val="0"/>
          <w:sz w:val="21"/>
          <w:szCs w:val="21"/>
          <w:highlight w:val="none"/>
          <w:lang w:eastAsia="zh-CN"/>
        </w:rPr>
        <w:t>中标人</w:t>
      </w:r>
      <w:r>
        <w:rPr>
          <w:rFonts w:hint="eastAsia" w:ascii="宋体" w:hAnsi="宋体" w:eastAsia="宋体" w:cs="宋体"/>
          <w:kern w:val="0"/>
          <w:sz w:val="21"/>
          <w:szCs w:val="21"/>
          <w:highlight w:val="none"/>
        </w:rPr>
        <w:t>，</w:t>
      </w:r>
      <w:r>
        <w:rPr>
          <w:rFonts w:hint="eastAsia" w:ascii="宋体" w:hAnsi="宋体" w:cs="宋体"/>
          <w:kern w:val="0"/>
          <w:sz w:val="21"/>
          <w:szCs w:val="21"/>
          <w:highlight w:val="none"/>
          <w:lang w:eastAsia="zh-CN"/>
        </w:rPr>
        <w:t>中标人</w:t>
      </w:r>
      <w:r>
        <w:rPr>
          <w:rFonts w:hint="eastAsia" w:ascii="宋体" w:hAnsi="宋体" w:eastAsia="宋体" w:cs="宋体"/>
          <w:kern w:val="0"/>
          <w:sz w:val="21"/>
          <w:szCs w:val="21"/>
          <w:highlight w:val="none"/>
        </w:rPr>
        <w:t>需在5个工作日内评估出解决方案，并通过电子邮件告知</w:t>
      </w:r>
      <w:r>
        <w:rPr>
          <w:rFonts w:hint="eastAsia" w:ascii="宋体" w:hAnsi="宋体" w:cs="宋体"/>
          <w:kern w:val="0"/>
          <w:sz w:val="21"/>
          <w:szCs w:val="21"/>
          <w:highlight w:val="none"/>
          <w:lang w:eastAsia="zh-CN"/>
        </w:rPr>
        <w:t>采购人</w:t>
      </w:r>
      <w:r>
        <w:rPr>
          <w:rFonts w:hint="eastAsia" w:ascii="宋体" w:hAnsi="宋体" w:eastAsia="宋体" w:cs="宋体"/>
          <w:kern w:val="0"/>
          <w:sz w:val="21"/>
          <w:szCs w:val="21"/>
          <w:highlight w:val="none"/>
        </w:rPr>
        <w:t>。</w:t>
      </w:r>
    </w:p>
    <w:p w14:paraId="6F8413AC">
      <w:pPr>
        <w:keepNext w:val="0"/>
        <w:keepLines w:val="0"/>
        <w:pageBreakBefore w:val="0"/>
        <w:widowControl/>
        <w:numPr>
          <w:ilvl w:val="0"/>
          <w:numId w:val="3"/>
        </w:numPr>
        <w:wordWrap/>
        <w:topLinePunct w:val="0"/>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cs="宋体"/>
          <w:kern w:val="0"/>
          <w:sz w:val="21"/>
          <w:szCs w:val="21"/>
          <w:highlight w:val="none"/>
          <w:lang w:eastAsia="zh-CN"/>
        </w:rPr>
        <w:t>项目验收</w:t>
      </w:r>
      <w:r>
        <w:rPr>
          <w:rFonts w:hint="eastAsia" w:ascii="宋体" w:hAnsi="宋体" w:cs="宋体"/>
          <w:kern w:val="0"/>
          <w:sz w:val="21"/>
          <w:szCs w:val="21"/>
          <w:highlight w:val="none"/>
          <w:lang w:val="en-US" w:eastAsia="zh-CN"/>
        </w:rPr>
        <w:t>合格</w:t>
      </w:r>
      <w:r>
        <w:rPr>
          <w:rFonts w:hint="eastAsia" w:ascii="宋体" w:hAnsi="宋体" w:eastAsia="宋体" w:cs="宋体"/>
          <w:kern w:val="0"/>
          <w:sz w:val="21"/>
          <w:szCs w:val="21"/>
          <w:highlight w:val="none"/>
        </w:rPr>
        <w:t>后采购人每一个需求提出至中标人，中标人需在20个工作日内评估出解决方案，并通过电子邮件告知采购人，具体如下：</w:t>
      </w:r>
    </w:p>
    <w:p w14:paraId="7BCDF604">
      <w:pPr>
        <w:keepNext w:val="0"/>
        <w:keepLines w:val="0"/>
        <w:pageBreakBefore w:val="0"/>
        <w:widowControl/>
        <w:numPr>
          <w:ilvl w:val="1"/>
          <w:numId w:val="3"/>
        </w:numPr>
        <w:wordWrap/>
        <w:topLinePunct w:val="0"/>
        <w:bidi w:val="0"/>
        <w:adjustRightInd w:val="0"/>
        <w:snapToGrid w:val="0"/>
        <w:spacing w:line="360" w:lineRule="auto"/>
        <w:ind w:left="0"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无法实现。</w:t>
      </w:r>
    </w:p>
    <w:p w14:paraId="4AAFD6F7">
      <w:pPr>
        <w:keepNext w:val="0"/>
        <w:keepLines w:val="0"/>
        <w:pageBreakBefore w:val="0"/>
        <w:widowControl/>
        <w:numPr>
          <w:ilvl w:val="1"/>
          <w:numId w:val="3"/>
        </w:numPr>
        <w:wordWrap/>
        <w:topLinePunct w:val="0"/>
        <w:bidi w:val="0"/>
        <w:adjustRightInd w:val="0"/>
        <w:snapToGrid w:val="0"/>
        <w:spacing w:line="360" w:lineRule="auto"/>
        <w:ind w:left="0" w:firstLine="420" w:firstLineChars="200"/>
        <w:jc w:val="left"/>
        <w:textAlignment w:val="auto"/>
        <w:rPr>
          <w:rFonts w:hint="eastAsia" w:ascii="宋体" w:hAnsi="宋体" w:eastAsia="宋体" w:cs="宋体"/>
          <w:kern w:val="0"/>
          <w:sz w:val="21"/>
          <w:szCs w:val="21"/>
          <w:highlight w:val="none"/>
        </w:rPr>
      </w:pPr>
      <w:r>
        <w:rPr>
          <w:rFonts w:hint="eastAsia"/>
          <w:highlight w:val="none"/>
          <w:lang w:eastAsia="zh-CN"/>
        </w:rPr>
        <w:t>项目软件运维期</w:t>
      </w:r>
      <w:r>
        <w:rPr>
          <w:rFonts w:hint="eastAsia" w:ascii="宋体" w:hAnsi="宋体" w:eastAsia="宋体" w:cs="宋体"/>
          <w:kern w:val="0"/>
          <w:sz w:val="21"/>
          <w:szCs w:val="21"/>
          <w:highlight w:val="none"/>
        </w:rPr>
        <w:t>内实现，计划完工日期。</w:t>
      </w:r>
    </w:p>
    <w:p w14:paraId="1C2EA402">
      <w:pPr>
        <w:keepNext w:val="0"/>
        <w:keepLines w:val="0"/>
        <w:pageBreakBefore w:val="0"/>
        <w:widowControl/>
        <w:numPr>
          <w:ilvl w:val="1"/>
          <w:numId w:val="3"/>
        </w:numPr>
        <w:wordWrap/>
        <w:topLinePunct w:val="0"/>
        <w:bidi w:val="0"/>
        <w:adjustRightInd w:val="0"/>
        <w:snapToGrid w:val="0"/>
        <w:spacing w:line="360" w:lineRule="auto"/>
        <w:ind w:left="0" w:firstLine="420"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需开立新合同，请注明具体的完工日期、费用。</w:t>
      </w:r>
    </w:p>
    <w:p w14:paraId="75EC796B">
      <w:pPr>
        <w:keepNext w:val="0"/>
        <w:keepLines w:val="0"/>
        <w:pageBreakBefore w:val="0"/>
        <w:widowControl/>
        <w:numPr>
          <w:ilvl w:val="0"/>
          <w:numId w:val="3"/>
        </w:numPr>
        <w:wordWrap/>
        <w:topLinePunct w:val="0"/>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支持的移动应用种类：如微信等调用方式。</w:t>
      </w:r>
    </w:p>
    <w:p w14:paraId="3A3BD21F">
      <w:pPr>
        <w:keepNext w:val="0"/>
        <w:keepLines w:val="0"/>
        <w:pageBreakBefore w:val="0"/>
        <w:widowControl/>
        <w:numPr>
          <w:ilvl w:val="0"/>
          <w:numId w:val="3"/>
        </w:numPr>
        <w:wordWrap/>
        <w:topLinePunct w:val="0"/>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系统使用现行主流开发产品语言、数据库。</w:t>
      </w:r>
    </w:p>
    <w:p w14:paraId="6F007252">
      <w:pPr>
        <w:keepNext w:val="0"/>
        <w:keepLines w:val="0"/>
        <w:pageBreakBefore w:val="0"/>
        <w:widowControl/>
        <w:numPr>
          <w:ilvl w:val="0"/>
          <w:numId w:val="3"/>
        </w:numPr>
        <w:wordWrap/>
        <w:topLinePunct w:val="0"/>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cs="宋体"/>
          <w:kern w:val="0"/>
          <w:sz w:val="21"/>
          <w:szCs w:val="21"/>
          <w:highlight w:val="none"/>
          <w:lang w:eastAsia="zh-CN"/>
        </w:rPr>
        <w:t>本采购包</w:t>
      </w:r>
      <w:r>
        <w:rPr>
          <w:rFonts w:hint="eastAsia" w:ascii="宋体" w:hAnsi="宋体" w:eastAsia="宋体" w:cs="宋体"/>
          <w:kern w:val="0"/>
          <w:sz w:val="21"/>
          <w:szCs w:val="21"/>
          <w:highlight w:val="none"/>
        </w:rPr>
        <w:t>实现的成果，配合采购人进行成果转化，申请软件著作权等。</w:t>
      </w:r>
    </w:p>
    <w:p w14:paraId="491DF651">
      <w:pPr>
        <w:keepNext w:val="0"/>
        <w:keepLines w:val="0"/>
        <w:pageBreakBefore w:val="0"/>
        <w:widowControl/>
        <w:numPr>
          <w:ilvl w:val="0"/>
          <w:numId w:val="3"/>
        </w:numPr>
        <w:wordWrap/>
        <w:topLinePunct w:val="0"/>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cs="宋体"/>
          <w:sz w:val="21"/>
          <w:szCs w:val="21"/>
          <w:highlight w:val="none"/>
          <w:lang w:val="en-US" w:eastAsia="zh-CN"/>
        </w:rPr>
        <w:t>中标人</w:t>
      </w:r>
      <w:r>
        <w:rPr>
          <w:rFonts w:hint="default" w:ascii="宋体" w:hAnsi="宋体" w:cs="宋体"/>
          <w:sz w:val="21"/>
          <w:szCs w:val="21"/>
          <w:highlight w:val="none"/>
          <w:lang w:val="en-US" w:eastAsia="zh-CN"/>
        </w:rPr>
        <w:t>需</w:t>
      </w:r>
      <w:r>
        <w:rPr>
          <w:rFonts w:hint="eastAsia" w:ascii="宋体" w:hAnsi="宋体" w:eastAsia="宋体" w:cs="宋体"/>
          <w:sz w:val="21"/>
          <w:szCs w:val="21"/>
          <w:highlight w:val="none"/>
        </w:rPr>
        <w:t>承诺将验收时交付的本</w:t>
      </w:r>
      <w:r>
        <w:rPr>
          <w:rFonts w:hint="eastAsia" w:ascii="宋体" w:hAnsi="宋体" w:cs="宋体"/>
          <w:sz w:val="21"/>
          <w:szCs w:val="21"/>
          <w:highlight w:val="none"/>
          <w:lang w:val="en-US" w:eastAsia="zh-CN"/>
        </w:rPr>
        <w:t>采购包</w:t>
      </w:r>
      <w:r>
        <w:rPr>
          <w:rFonts w:hint="eastAsia" w:ascii="宋体" w:hAnsi="宋体" w:eastAsia="宋体" w:cs="宋体"/>
          <w:sz w:val="21"/>
          <w:szCs w:val="21"/>
          <w:highlight w:val="none"/>
        </w:rPr>
        <w:t>二次开发部分可执行源代码以移动硬盘方式交付</w:t>
      </w:r>
      <w:r>
        <w:rPr>
          <w:rFonts w:hint="eastAsia" w:ascii="宋体" w:hAnsi="宋体" w:cs="宋体"/>
          <w:sz w:val="21"/>
          <w:szCs w:val="21"/>
          <w:highlight w:val="none"/>
          <w:lang w:val="en-US" w:eastAsia="zh-CN"/>
        </w:rPr>
        <w:t>采购人</w:t>
      </w:r>
      <w:r>
        <w:rPr>
          <w:rFonts w:hint="eastAsia" w:ascii="宋体" w:hAnsi="宋体" w:eastAsia="宋体" w:cs="宋体"/>
          <w:sz w:val="21"/>
          <w:szCs w:val="21"/>
          <w:highlight w:val="none"/>
        </w:rPr>
        <w:t>保管。如</w:t>
      </w:r>
      <w:r>
        <w:rPr>
          <w:rFonts w:hint="eastAsia" w:ascii="宋体" w:hAnsi="宋体" w:cs="宋体"/>
          <w:sz w:val="21"/>
          <w:szCs w:val="21"/>
          <w:highlight w:val="none"/>
          <w:lang w:val="en-US" w:eastAsia="zh-CN"/>
        </w:rPr>
        <w:t>中标人</w:t>
      </w:r>
      <w:r>
        <w:rPr>
          <w:rFonts w:hint="eastAsia" w:ascii="宋体" w:hAnsi="宋体" w:eastAsia="宋体" w:cs="宋体"/>
          <w:sz w:val="21"/>
          <w:szCs w:val="21"/>
          <w:highlight w:val="none"/>
        </w:rPr>
        <w:t>因不能正常</w:t>
      </w:r>
      <w:r>
        <w:rPr>
          <w:rFonts w:hint="eastAsia" w:ascii="宋体" w:hAnsi="宋体" w:cs="宋体"/>
          <w:sz w:val="21"/>
          <w:szCs w:val="21"/>
          <w:highlight w:val="none"/>
          <w:lang w:eastAsia="zh-CN"/>
        </w:rPr>
        <w:t>运营</w:t>
      </w:r>
      <w:r>
        <w:rPr>
          <w:rFonts w:hint="eastAsia" w:ascii="宋体" w:hAnsi="宋体" w:eastAsia="宋体" w:cs="宋体"/>
          <w:sz w:val="21"/>
          <w:szCs w:val="21"/>
          <w:highlight w:val="none"/>
        </w:rPr>
        <w:t>或公司结业、产品下架等原因无法继续为</w:t>
      </w:r>
      <w:r>
        <w:rPr>
          <w:rFonts w:hint="eastAsia" w:ascii="宋体" w:hAnsi="宋体" w:cs="宋体"/>
          <w:sz w:val="21"/>
          <w:szCs w:val="21"/>
          <w:highlight w:val="none"/>
          <w:lang w:val="en-US" w:eastAsia="zh-CN"/>
        </w:rPr>
        <w:t>采购人</w:t>
      </w:r>
      <w:r>
        <w:rPr>
          <w:rFonts w:hint="eastAsia" w:ascii="宋体" w:hAnsi="宋体" w:eastAsia="宋体" w:cs="宋体"/>
          <w:sz w:val="21"/>
          <w:szCs w:val="21"/>
          <w:highlight w:val="none"/>
        </w:rPr>
        <w:t>提供维护服务，</w:t>
      </w:r>
      <w:r>
        <w:rPr>
          <w:rFonts w:hint="eastAsia" w:ascii="宋体" w:hAnsi="宋体" w:cs="宋体"/>
          <w:sz w:val="21"/>
          <w:szCs w:val="21"/>
          <w:highlight w:val="none"/>
          <w:lang w:val="en-US" w:eastAsia="zh-CN"/>
        </w:rPr>
        <w:t>中标人</w:t>
      </w:r>
      <w:r>
        <w:rPr>
          <w:rFonts w:hint="eastAsia" w:ascii="宋体" w:hAnsi="宋体" w:eastAsia="宋体" w:cs="宋体"/>
          <w:sz w:val="21"/>
          <w:szCs w:val="21"/>
          <w:highlight w:val="none"/>
        </w:rPr>
        <w:t>将无偿</w:t>
      </w:r>
      <w:r>
        <w:rPr>
          <w:rFonts w:hint="eastAsia" w:ascii="宋体" w:hAnsi="宋体" w:cs="宋体"/>
          <w:sz w:val="21"/>
          <w:szCs w:val="21"/>
          <w:highlight w:val="none"/>
          <w:lang w:val="en-US" w:eastAsia="zh-CN"/>
        </w:rPr>
        <w:t>提供</w:t>
      </w:r>
      <w:r>
        <w:rPr>
          <w:rFonts w:hint="eastAsia" w:ascii="宋体" w:hAnsi="宋体" w:cs="宋体"/>
          <w:sz w:val="21"/>
          <w:szCs w:val="21"/>
          <w:highlight w:val="none"/>
          <w:lang w:eastAsia="zh-CN"/>
        </w:rPr>
        <w:t>本采购包</w:t>
      </w:r>
      <w:r>
        <w:rPr>
          <w:rFonts w:hint="eastAsia" w:ascii="宋体" w:hAnsi="宋体" w:eastAsia="宋体" w:cs="宋体"/>
          <w:sz w:val="21"/>
          <w:szCs w:val="21"/>
          <w:highlight w:val="none"/>
        </w:rPr>
        <w:t>源代码给</w:t>
      </w:r>
      <w:r>
        <w:rPr>
          <w:rFonts w:hint="eastAsia" w:ascii="宋体" w:hAnsi="宋体" w:cs="宋体"/>
          <w:sz w:val="21"/>
          <w:szCs w:val="21"/>
          <w:highlight w:val="none"/>
          <w:lang w:val="en-US" w:eastAsia="zh-CN"/>
        </w:rPr>
        <w:t>采购人以及采购人</w:t>
      </w:r>
      <w:r>
        <w:rPr>
          <w:rFonts w:hint="eastAsia" w:ascii="宋体" w:hAnsi="宋体" w:eastAsia="宋体" w:cs="宋体"/>
          <w:sz w:val="21"/>
          <w:szCs w:val="21"/>
          <w:highlight w:val="none"/>
        </w:rPr>
        <w:t>授权运维第三方使用</w:t>
      </w:r>
      <w:r>
        <w:rPr>
          <w:rFonts w:hint="eastAsia" w:ascii="宋体" w:hAnsi="宋体" w:cs="宋体"/>
          <w:kern w:val="0"/>
          <w:sz w:val="21"/>
          <w:szCs w:val="21"/>
          <w:highlight w:val="none"/>
          <w:lang w:eastAsia="zh-CN"/>
        </w:rPr>
        <w:t>。</w:t>
      </w:r>
    </w:p>
    <w:p w14:paraId="2E30C6D7">
      <w:pPr>
        <w:keepNext w:val="0"/>
        <w:keepLines w:val="0"/>
        <w:pageBreakBefore w:val="0"/>
        <w:widowControl/>
        <w:numPr>
          <w:ilvl w:val="0"/>
          <w:numId w:val="3"/>
        </w:numPr>
        <w:wordWrap/>
        <w:topLinePunct w:val="0"/>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为保障系统自主可控和信息安全，</w:t>
      </w:r>
      <w:r>
        <w:rPr>
          <w:rFonts w:hint="eastAsia" w:ascii="宋体" w:hAnsi="宋体" w:cs="宋体"/>
          <w:kern w:val="0"/>
          <w:sz w:val="21"/>
          <w:szCs w:val="21"/>
          <w:highlight w:val="none"/>
          <w:lang w:val="en-US" w:eastAsia="zh-CN"/>
        </w:rPr>
        <w:t>中标人</w:t>
      </w:r>
      <w:r>
        <w:rPr>
          <w:rFonts w:hint="eastAsia" w:ascii="宋体" w:hAnsi="宋体" w:eastAsia="宋体" w:cs="宋体"/>
          <w:kern w:val="0"/>
          <w:sz w:val="21"/>
          <w:szCs w:val="21"/>
          <w:highlight w:val="none"/>
        </w:rPr>
        <w:t>需按照最新信创要求配合医院适配国产操作系统、国产数据库、国产中间件等国产自主安全平台</w:t>
      </w:r>
      <w:r>
        <w:rPr>
          <w:rFonts w:hint="eastAsia" w:ascii="宋体" w:hAnsi="宋体" w:cs="宋体"/>
          <w:kern w:val="0"/>
          <w:sz w:val="21"/>
          <w:szCs w:val="21"/>
          <w:highlight w:val="none"/>
          <w:lang w:eastAsia="zh-CN"/>
        </w:rPr>
        <w:t>。</w:t>
      </w:r>
    </w:p>
    <w:p w14:paraId="3B4BDF16">
      <w:pPr>
        <w:keepNext w:val="0"/>
        <w:keepLines w:val="0"/>
        <w:pageBreakBefore w:val="0"/>
        <w:widowControl/>
        <w:numPr>
          <w:ilvl w:val="0"/>
          <w:numId w:val="3"/>
        </w:numPr>
        <w:wordWrap/>
        <w:topLinePunct w:val="0"/>
        <w:bidi w:val="0"/>
        <w:adjustRightInd w:val="0"/>
        <w:snapToGrid w:val="0"/>
        <w:spacing w:line="360" w:lineRule="auto"/>
        <w:ind w:firstLineChars="200"/>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项目实施及软件运维期内，</w:t>
      </w:r>
      <w:r>
        <w:rPr>
          <w:rFonts w:hint="eastAsia" w:ascii="宋体" w:hAnsi="宋体" w:cs="宋体"/>
          <w:kern w:val="0"/>
          <w:sz w:val="21"/>
          <w:szCs w:val="21"/>
          <w:highlight w:val="none"/>
          <w:lang w:eastAsia="zh-CN"/>
        </w:rPr>
        <w:t>本采购包</w:t>
      </w:r>
      <w:r>
        <w:rPr>
          <w:rFonts w:hint="eastAsia" w:ascii="宋体" w:hAnsi="宋体" w:eastAsia="宋体" w:cs="宋体"/>
          <w:kern w:val="0"/>
          <w:sz w:val="21"/>
          <w:szCs w:val="21"/>
          <w:highlight w:val="none"/>
        </w:rPr>
        <w:t>所涉及的评估表单按国家最新标准更新。</w:t>
      </w:r>
    </w:p>
    <w:p w14:paraId="25D4E5FD">
      <w:pPr>
        <w:keepNext w:val="0"/>
        <w:keepLines w:val="0"/>
        <w:pageBreakBefore w:val="0"/>
        <w:widowControl/>
        <w:numPr>
          <w:ilvl w:val="1"/>
          <w:numId w:val="0"/>
        </w:numPr>
        <w:wordWrap/>
        <w:topLinePunct w:val="0"/>
        <w:bidi w:val="0"/>
        <w:adjustRightInd w:val="0"/>
        <w:snapToGrid w:val="0"/>
        <w:spacing w:line="360" w:lineRule="auto"/>
        <w:ind w:firstLine="422" w:firstLineChars="200"/>
        <w:jc w:val="left"/>
        <w:textAlignment w:val="auto"/>
        <w:outlineLvl w:val="3"/>
        <w:rPr>
          <w:rFonts w:hint="eastAsia" w:ascii="宋体" w:hAnsi="宋体" w:eastAsia="宋体" w:cs="宋体"/>
          <w:b/>
          <w:smallCaps/>
          <w:kern w:val="0"/>
          <w:sz w:val="21"/>
          <w:szCs w:val="21"/>
          <w:highlight w:val="none"/>
        </w:rPr>
      </w:pPr>
      <w:r>
        <w:rPr>
          <w:rFonts w:hint="eastAsia" w:ascii="宋体" w:hAnsi="宋体" w:eastAsia="宋体" w:cs="宋体"/>
          <w:b/>
          <w:smallCaps/>
          <w:kern w:val="0"/>
          <w:sz w:val="21"/>
          <w:szCs w:val="21"/>
          <w:highlight w:val="none"/>
        </w:rPr>
        <w:t>6.2项目实施要求</w:t>
      </w:r>
    </w:p>
    <w:p w14:paraId="47EAE056">
      <w:pPr>
        <w:keepNext w:val="0"/>
        <w:keepLines w:val="0"/>
        <w:pageBreakBefore w:val="0"/>
        <w:widowControl/>
        <w:numPr>
          <w:ilvl w:val="0"/>
          <w:numId w:val="4"/>
        </w:numPr>
        <w:wordWrap/>
        <w:topLinePunct w:val="0"/>
        <w:bidi w:val="0"/>
        <w:adjustRightInd w:val="0"/>
        <w:snapToGrid w:val="0"/>
        <w:spacing w:line="360" w:lineRule="auto"/>
        <w:jc w:val="left"/>
        <w:textAlignment w:val="auto"/>
        <w:rPr>
          <w:rFonts w:hint="eastAsia" w:ascii="宋体" w:hAnsi="宋体" w:eastAsia="宋体" w:cs="宋体"/>
          <w:kern w:val="0"/>
          <w:sz w:val="21"/>
          <w:szCs w:val="21"/>
          <w:highlight w:val="none"/>
        </w:rPr>
      </w:pPr>
      <w:r>
        <w:rPr>
          <w:rFonts w:hint="eastAsia" w:ascii="宋体" w:hAnsi="宋体" w:cs="宋体"/>
          <w:kern w:val="0"/>
          <w:sz w:val="21"/>
          <w:szCs w:val="21"/>
          <w:highlight w:val="none"/>
          <w:lang w:val="en-US" w:eastAsia="zh-CN"/>
        </w:rPr>
        <w:t>本采购包在</w:t>
      </w:r>
      <w:r>
        <w:rPr>
          <w:rFonts w:hint="eastAsia" w:ascii="宋体" w:hAnsi="宋体" w:cs="宋体"/>
          <w:bCs/>
          <w:sz w:val="21"/>
          <w:szCs w:val="21"/>
          <w:highlight w:val="none"/>
          <w:shd w:val="clear" w:color="auto" w:fill="FFFFFF"/>
          <w:lang w:val="en-US" w:eastAsia="zh-CN"/>
        </w:rPr>
        <w:t>合同履行期限内</w:t>
      </w:r>
      <w:r>
        <w:rPr>
          <w:rFonts w:hint="eastAsia" w:ascii="宋体" w:hAnsi="宋体" w:cs="宋体"/>
          <w:kern w:val="0"/>
          <w:sz w:val="21"/>
          <w:szCs w:val="21"/>
          <w:highlight w:val="none"/>
          <w:lang w:eastAsia="zh-CN"/>
        </w:rPr>
        <w:t>中标人需投入团队人员至少</w:t>
      </w:r>
      <w:r>
        <w:rPr>
          <w:rFonts w:hint="eastAsia" w:ascii="宋体" w:hAnsi="宋体" w:cs="宋体"/>
          <w:kern w:val="0"/>
          <w:sz w:val="21"/>
          <w:szCs w:val="21"/>
          <w:highlight w:val="none"/>
          <w:lang w:val="en-US" w:eastAsia="zh-CN"/>
        </w:rPr>
        <w:t>2</w:t>
      </w:r>
      <w:r>
        <w:rPr>
          <w:rFonts w:hint="eastAsia" w:ascii="宋体" w:hAnsi="宋体" w:cs="宋体"/>
          <w:kern w:val="0"/>
          <w:sz w:val="21"/>
          <w:szCs w:val="21"/>
          <w:highlight w:val="none"/>
          <w:lang w:eastAsia="zh-CN"/>
        </w:rPr>
        <w:t>名（其中包括驻场人员至少</w:t>
      </w:r>
      <w:r>
        <w:rPr>
          <w:rFonts w:hint="eastAsia" w:ascii="宋体" w:hAnsi="宋体" w:cs="宋体"/>
          <w:kern w:val="0"/>
          <w:sz w:val="21"/>
          <w:szCs w:val="21"/>
          <w:highlight w:val="none"/>
          <w:lang w:val="en-US" w:eastAsia="zh-CN"/>
        </w:rPr>
        <w:t>2</w:t>
      </w:r>
      <w:r>
        <w:rPr>
          <w:rFonts w:hint="eastAsia" w:ascii="宋体" w:hAnsi="宋体" w:cs="宋体"/>
          <w:kern w:val="0"/>
          <w:sz w:val="21"/>
          <w:szCs w:val="21"/>
          <w:highlight w:val="none"/>
          <w:lang w:eastAsia="zh-CN"/>
        </w:rPr>
        <w:t>名）</w:t>
      </w:r>
      <w:r>
        <w:rPr>
          <w:rFonts w:hint="eastAsia" w:ascii="宋体" w:hAnsi="宋体" w:eastAsia="宋体" w:cs="宋体"/>
          <w:kern w:val="0"/>
          <w:sz w:val="21"/>
          <w:szCs w:val="21"/>
          <w:highlight w:val="none"/>
        </w:rPr>
        <w:t>。</w:t>
      </w:r>
    </w:p>
    <w:p w14:paraId="08227533">
      <w:pPr>
        <w:keepNext w:val="0"/>
        <w:keepLines w:val="0"/>
        <w:pageBreakBefore w:val="0"/>
        <w:widowControl/>
        <w:numPr>
          <w:ilvl w:val="0"/>
          <w:numId w:val="4"/>
        </w:numPr>
        <w:wordWrap/>
        <w:topLinePunct w:val="0"/>
        <w:bidi w:val="0"/>
        <w:adjustRightInd w:val="0"/>
        <w:snapToGrid w:val="0"/>
        <w:spacing w:line="360" w:lineRule="auto"/>
        <w:jc w:val="left"/>
        <w:textAlignment w:val="auto"/>
        <w:rPr>
          <w:rFonts w:hint="eastAsia" w:ascii="宋体" w:hAnsi="宋体" w:eastAsia="宋体" w:cs="宋体"/>
          <w:kern w:val="0"/>
          <w:sz w:val="21"/>
          <w:szCs w:val="21"/>
          <w:highlight w:val="none"/>
        </w:rPr>
      </w:pPr>
      <w:r>
        <w:rPr>
          <w:rFonts w:hint="eastAsia" w:ascii="宋体" w:hAnsi="宋体" w:cs="宋体"/>
          <w:kern w:val="0"/>
          <w:sz w:val="21"/>
          <w:szCs w:val="21"/>
          <w:highlight w:val="none"/>
          <w:lang w:eastAsia="zh-CN"/>
        </w:rPr>
        <w:t>合同</w:t>
      </w:r>
      <w:r>
        <w:rPr>
          <w:rFonts w:hint="eastAsia" w:ascii="宋体" w:hAnsi="宋体" w:cs="宋体"/>
          <w:kern w:val="0"/>
          <w:sz w:val="21"/>
          <w:szCs w:val="21"/>
          <w:highlight w:val="none"/>
          <w:lang w:val="en-US" w:eastAsia="zh-CN"/>
        </w:rPr>
        <w:t>履行期</w:t>
      </w:r>
      <w:r>
        <w:rPr>
          <w:rFonts w:hint="eastAsia" w:ascii="宋体" w:hAnsi="宋体" w:cs="宋体"/>
          <w:sz w:val="21"/>
          <w:szCs w:val="21"/>
          <w:highlight w:val="none"/>
          <w:lang w:val="en-US" w:eastAsia="zh-CN"/>
        </w:rPr>
        <w:t>限</w:t>
      </w:r>
      <w:r>
        <w:rPr>
          <w:rFonts w:hint="eastAsia" w:ascii="宋体" w:hAnsi="宋体" w:cs="宋体"/>
          <w:kern w:val="0"/>
          <w:sz w:val="21"/>
          <w:szCs w:val="21"/>
          <w:highlight w:val="none"/>
          <w:lang w:eastAsia="zh-CN"/>
        </w:rPr>
        <w:t>内</w:t>
      </w:r>
      <w:r>
        <w:rPr>
          <w:rFonts w:hint="eastAsia" w:ascii="宋体" w:hAnsi="宋体" w:cs="宋体"/>
          <w:kern w:val="0"/>
          <w:sz w:val="21"/>
          <w:szCs w:val="21"/>
          <w:highlight w:val="none"/>
          <w:lang w:val="en-US" w:eastAsia="zh-CN"/>
        </w:rPr>
        <w:t>驻场</w:t>
      </w:r>
      <w:r>
        <w:rPr>
          <w:rFonts w:hint="eastAsia" w:ascii="宋体" w:hAnsi="宋体" w:eastAsia="宋体" w:cs="宋体"/>
          <w:kern w:val="0"/>
          <w:sz w:val="21"/>
          <w:szCs w:val="21"/>
          <w:highlight w:val="none"/>
        </w:rPr>
        <w:t>人员</w:t>
      </w:r>
      <w:r>
        <w:rPr>
          <w:rFonts w:hint="eastAsia" w:ascii="宋体" w:hAnsi="宋体" w:cs="宋体"/>
          <w:kern w:val="0"/>
          <w:sz w:val="21"/>
          <w:szCs w:val="21"/>
          <w:highlight w:val="none"/>
          <w:lang w:val="en-US" w:eastAsia="zh-CN"/>
        </w:rPr>
        <w:t>专业素质</w:t>
      </w:r>
      <w:r>
        <w:rPr>
          <w:rFonts w:hint="eastAsia" w:ascii="宋体" w:hAnsi="宋体" w:eastAsia="宋体" w:cs="宋体"/>
          <w:kern w:val="0"/>
          <w:sz w:val="21"/>
          <w:szCs w:val="21"/>
          <w:highlight w:val="none"/>
        </w:rPr>
        <w:t>：信息系统项目管理师至少1名，具备相关项目管理工作年限不少于3年</w:t>
      </w:r>
      <w:r>
        <w:rPr>
          <w:rFonts w:hint="eastAsia" w:ascii="宋体" w:hAnsi="宋体" w:cs="宋体"/>
          <w:kern w:val="0"/>
          <w:sz w:val="21"/>
          <w:szCs w:val="21"/>
          <w:highlight w:val="none"/>
          <w:lang w:eastAsia="zh-CN"/>
        </w:rPr>
        <w:t>。</w:t>
      </w:r>
    </w:p>
    <w:p w14:paraId="0A1593B5">
      <w:pPr>
        <w:keepNext w:val="0"/>
        <w:keepLines w:val="0"/>
        <w:pageBreakBefore w:val="0"/>
        <w:widowControl/>
        <w:numPr>
          <w:ilvl w:val="0"/>
          <w:numId w:val="4"/>
        </w:numPr>
        <w:wordWrap/>
        <w:topLinePunct w:val="0"/>
        <w:bidi w:val="0"/>
        <w:adjustRightInd w:val="0"/>
        <w:snapToGrid w:val="0"/>
        <w:spacing w:line="360" w:lineRule="auto"/>
        <w:jc w:val="left"/>
        <w:textAlignment w:val="auto"/>
        <w:rPr>
          <w:rFonts w:hint="eastAsia" w:ascii="宋体" w:hAnsi="宋体" w:eastAsia="宋体" w:cs="宋体"/>
          <w:kern w:val="0"/>
          <w:sz w:val="21"/>
          <w:szCs w:val="21"/>
          <w:highlight w:val="none"/>
        </w:rPr>
      </w:pPr>
      <w:r>
        <w:rPr>
          <w:rFonts w:hint="eastAsia" w:ascii="宋体" w:hAnsi="宋体" w:cs="宋体"/>
          <w:kern w:val="0"/>
          <w:sz w:val="21"/>
          <w:szCs w:val="21"/>
          <w:highlight w:val="none"/>
          <w:lang w:val="en-US" w:eastAsia="zh-CN"/>
        </w:rPr>
        <w:t>驻场人员驻场期间</w:t>
      </w:r>
      <w:r>
        <w:rPr>
          <w:rFonts w:hint="eastAsia" w:ascii="宋体" w:hAnsi="宋体" w:eastAsia="宋体" w:cs="宋体"/>
          <w:kern w:val="0"/>
          <w:sz w:val="21"/>
          <w:szCs w:val="21"/>
          <w:highlight w:val="none"/>
        </w:rPr>
        <w:t>在采购人办公室办公，并每天向主管工程师手写签到，正常上班期间按采购人作息时间执行。</w:t>
      </w:r>
    </w:p>
    <w:p w14:paraId="39A95882">
      <w:pPr>
        <w:keepNext w:val="0"/>
        <w:keepLines w:val="0"/>
        <w:pageBreakBefore w:val="0"/>
        <w:widowControl/>
        <w:numPr>
          <w:ilvl w:val="0"/>
          <w:numId w:val="4"/>
        </w:numPr>
        <w:wordWrap/>
        <w:topLinePunct w:val="0"/>
        <w:bidi w:val="0"/>
        <w:adjustRightInd w:val="0"/>
        <w:snapToGrid w:val="0"/>
        <w:spacing w:line="360" w:lineRule="auto"/>
        <w:jc w:val="left"/>
        <w:textAlignment w:val="auto"/>
        <w:rPr>
          <w:rFonts w:hint="eastAsia" w:ascii="宋体" w:hAnsi="宋体" w:eastAsia="宋体" w:cs="宋体"/>
          <w:kern w:val="0"/>
          <w:sz w:val="21"/>
          <w:szCs w:val="21"/>
          <w:highlight w:val="none"/>
        </w:rPr>
      </w:pPr>
      <w:r>
        <w:rPr>
          <w:rFonts w:hint="eastAsia" w:ascii="宋体" w:hAnsi="宋体" w:cs="宋体"/>
          <w:kern w:val="0"/>
          <w:sz w:val="21"/>
          <w:szCs w:val="21"/>
          <w:highlight w:val="none"/>
          <w:lang w:eastAsia="zh-CN"/>
        </w:rPr>
        <w:t>中标人应在签订合同后15天内到采购人指定地点</w:t>
      </w:r>
      <w:r>
        <w:rPr>
          <w:rFonts w:hint="eastAsia" w:ascii="宋体" w:hAnsi="宋体" w:eastAsia="宋体" w:cs="宋体"/>
          <w:kern w:val="0"/>
          <w:sz w:val="21"/>
          <w:szCs w:val="21"/>
          <w:highlight w:val="none"/>
        </w:rPr>
        <w:t>完成如下事项：成立项目组织，有项目实施方案、项目进度甘特图，WBS工作详细分解包、确定与</w:t>
      </w:r>
      <w:r>
        <w:rPr>
          <w:rFonts w:hint="eastAsia" w:ascii="宋体" w:hAnsi="宋体" w:cs="宋体"/>
          <w:kern w:val="0"/>
          <w:sz w:val="21"/>
          <w:szCs w:val="21"/>
          <w:highlight w:val="none"/>
          <w:lang w:eastAsia="zh-CN"/>
        </w:rPr>
        <w:t>其他系统</w:t>
      </w:r>
      <w:r>
        <w:rPr>
          <w:rFonts w:hint="eastAsia" w:ascii="宋体" w:hAnsi="宋体" w:eastAsia="宋体" w:cs="宋体"/>
          <w:kern w:val="0"/>
          <w:sz w:val="21"/>
          <w:szCs w:val="21"/>
          <w:highlight w:val="none"/>
        </w:rPr>
        <w:t>的接口。在项目实施过程中与</w:t>
      </w:r>
      <w:r>
        <w:rPr>
          <w:rFonts w:hint="eastAsia" w:ascii="宋体" w:hAnsi="宋体" w:cs="宋体"/>
          <w:kern w:val="0"/>
          <w:sz w:val="21"/>
          <w:szCs w:val="21"/>
          <w:highlight w:val="none"/>
          <w:lang w:eastAsia="zh-CN"/>
        </w:rPr>
        <w:t>其他系统</w:t>
      </w:r>
      <w:r>
        <w:rPr>
          <w:rFonts w:hint="eastAsia" w:ascii="宋体" w:hAnsi="宋体" w:eastAsia="宋体" w:cs="宋体"/>
          <w:kern w:val="0"/>
          <w:sz w:val="21"/>
          <w:szCs w:val="21"/>
          <w:highlight w:val="none"/>
        </w:rPr>
        <w:t>的接口先行，并能按计划推进项目，按时按质完成工作。</w:t>
      </w:r>
    </w:p>
    <w:p w14:paraId="7044968C">
      <w:pPr>
        <w:keepNext w:val="0"/>
        <w:keepLines w:val="0"/>
        <w:pageBreakBefore w:val="0"/>
        <w:widowControl/>
        <w:numPr>
          <w:ilvl w:val="0"/>
          <w:numId w:val="4"/>
        </w:numPr>
        <w:wordWrap/>
        <w:topLinePunct w:val="0"/>
        <w:bidi w:val="0"/>
        <w:adjustRightInd w:val="0"/>
        <w:snapToGrid w:val="0"/>
        <w:spacing w:line="360" w:lineRule="auto"/>
        <w:jc w:val="left"/>
        <w:textAlignment w:val="auto"/>
        <w:rPr>
          <w:rFonts w:hint="eastAsia" w:ascii="宋体" w:hAnsi="宋体" w:eastAsia="宋体" w:cs="宋体"/>
          <w:kern w:val="0"/>
          <w:sz w:val="21"/>
          <w:szCs w:val="21"/>
          <w:highlight w:val="none"/>
        </w:rPr>
      </w:pPr>
      <w:r>
        <w:rPr>
          <w:rFonts w:hint="eastAsia" w:ascii="宋体" w:hAnsi="宋体" w:cs="宋体"/>
          <w:kern w:val="0"/>
          <w:sz w:val="21"/>
          <w:szCs w:val="21"/>
          <w:highlight w:val="none"/>
          <w:lang w:eastAsia="zh-CN"/>
        </w:rPr>
        <w:t>中标人</w:t>
      </w:r>
      <w:r>
        <w:rPr>
          <w:rFonts w:hint="eastAsia" w:ascii="宋体" w:hAnsi="宋体" w:eastAsia="宋体" w:cs="宋体"/>
          <w:kern w:val="0"/>
          <w:sz w:val="21"/>
          <w:szCs w:val="21"/>
          <w:highlight w:val="none"/>
        </w:rPr>
        <w:t>每周提交一次项目周报，每个月至少开一次项目沟通例会。</w:t>
      </w:r>
    </w:p>
    <w:p w14:paraId="78DC0C3F">
      <w:pPr>
        <w:keepNext w:val="0"/>
        <w:keepLines w:val="0"/>
        <w:pageBreakBefore w:val="0"/>
        <w:widowControl/>
        <w:numPr>
          <w:ilvl w:val="0"/>
          <w:numId w:val="4"/>
        </w:numPr>
        <w:wordWrap/>
        <w:topLinePunct w:val="0"/>
        <w:bidi w:val="0"/>
        <w:adjustRightInd w:val="0"/>
        <w:snapToGrid w:val="0"/>
        <w:spacing w:line="360" w:lineRule="auto"/>
        <w:jc w:val="left"/>
        <w:textAlignment w:val="auto"/>
        <w:rPr>
          <w:rFonts w:hint="eastAsia" w:ascii="宋体" w:hAnsi="宋体" w:eastAsia="宋体" w:cs="宋体"/>
          <w:kern w:val="0"/>
          <w:sz w:val="21"/>
          <w:szCs w:val="21"/>
          <w:highlight w:val="none"/>
        </w:rPr>
      </w:pPr>
      <w:r>
        <w:rPr>
          <w:rFonts w:hint="eastAsia" w:ascii="宋体" w:hAnsi="宋体" w:cs="宋体"/>
          <w:kern w:val="0"/>
          <w:sz w:val="21"/>
          <w:szCs w:val="21"/>
          <w:highlight w:val="none"/>
          <w:lang w:eastAsia="zh-CN"/>
        </w:rPr>
        <w:t>中标人</w:t>
      </w:r>
      <w:r>
        <w:rPr>
          <w:rFonts w:hint="eastAsia" w:ascii="宋体" w:hAnsi="宋体" w:eastAsia="宋体" w:cs="宋体"/>
          <w:kern w:val="0"/>
          <w:sz w:val="21"/>
          <w:szCs w:val="21"/>
          <w:highlight w:val="none"/>
        </w:rPr>
        <w:t>负责系统的安装部署、调试并能正常运行。</w:t>
      </w:r>
    </w:p>
    <w:p w14:paraId="27833266">
      <w:pPr>
        <w:keepNext w:val="0"/>
        <w:keepLines w:val="0"/>
        <w:pageBreakBefore w:val="0"/>
        <w:widowControl/>
        <w:numPr>
          <w:ilvl w:val="0"/>
          <w:numId w:val="4"/>
        </w:numPr>
        <w:wordWrap/>
        <w:topLinePunct w:val="0"/>
        <w:bidi w:val="0"/>
        <w:adjustRightInd w:val="0"/>
        <w:snapToGrid w:val="0"/>
        <w:spacing w:line="360" w:lineRule="auto"/>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系统运行所需的各种环境安装包由</w:t>
      </w:r>
      <w:r>
        <w:rPr>
          <w:rFonts w:hint="eastAsia" w:ascii="宋体" w:hAnsi="宋体" w:cs="宋体"/>
          <w:kern w:val="0"/>
          <w:sz w:val="21"/>
          <w:szCs w:val="21"/>
          <w:highlight w:val="none"/>
          <w:lang w:val="en-US" w:eastAsia="zh-CN"/>
        </w:rPr>
        <w:t>中标人</w:t>
      </w:r>
      <w:r>
        <w:rPr>
          <w:rFonts w:hint="eastAsia" w:ascii="宋体" w:hAnsi="宋体" w:eastAsia="宋体" w:cs="宋体"/>
          <w:kern w:val="0"/>
          <w:sz w:val="21"/>
          <w:szCs w:val="21"/>
          <w:highlight w:val="none"/>
        </w:rPr>
        <w:t>提供并负责安装。</w:t>
      </w:r>
    </w:p>
    <w:p w14:paraId="7B7C43ED">
      <w:pPr>
        <w:keepNext w:val="0"/>
        <w:keepLines w:val="0"/>
        <w:pageBreakBefore w:val="0"/>
        <w:widowControl/>
        <w:numPr>
          <w:ilvl w:val="0"/>
          <w:numId w:val="4"/>
        </w:numPr>
        <w:wordWrap/>
        <w:topLinePunct w:val="0"/>
        <w:bidi w:val="0"/>
        <w:adjustRightInd w:val="0"/>
        <w:snapToGrid w:val="0"/>
        <w:spacing w:line="360" w:lineRule="auto"/>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系统实施、上线、维保整个生命周期内的需求、BUG需要在采购人的“信息化项目需求管理系统”上进行响应和管理。</w:t>
      </w:r>
    </w:p>
    <w:p w14:paraId="5FA3D1BB">
      <w:pPr>
        <w:keepNext w:val="0"/>
        <w:keepLines w:val="0"/>
        <w:pageBreakBefore w:val="0"/>
        <w:widowControl/>
        <w:numPr>
          <w:ilvl w:val="0"/>
          <w:numId w:val="4"/>
        </w:numPr>
        <w:wordWrap/>
        <w:topLinePunct w:val="0"/>
        <w:bidi w:val="0"/>
        <w:adjustRightInd w:val="0"/>
        <w:snapToGrid w:val="0"/>
        <w:spacing w:line="360" w:lineRule="auto"/>
        <w:jc w:val="left"/>
        <w:textAlignment w:val="auto"/>
        <w:rPr>
          <w:rFonts w:hint="eastAsia" w:ascii="宋体" w:hAnsi="宋体" w:eastAsia="宋体" w:cs="宋体"/>
          <w:kern w:val="0"/>
          <w:sz w:val="21"/>
          <w:szCs w:val="21"/>
          <w:highlight w:val="none"/>
        </w:rPr>
      </w:pPr>
      <w:r>
        <w:rPr>
          <w:rFonts w:hint="eastAsia" w:ascii="宋体" w:hAnsi="宋体" w:eastAsia="宋体" w:cs="宋体"/>
          <w:sz w:val="21"/>
          <w:szCs w:val="21"/>
          <w:highlight w:val="none"/>
          <w:lang w:val="zh-CN"/>
        </w:rPr>
        <w:t>中标人</w:t>
      </w:r>
      <w:r>
        <w:rPr>
          <w:rFonts w:hint="eastAsia" w:ascii="宋体" w:hAnsi="宋体" w:cs="宋体"/>
          <w:kern w:val="0"/>
          <w:sz w:val="21"/>
          <w:szCs w:val="21"/>
          <w:highlight w:val="none"/>
          <w:lang w:val="en-US" w:eastAsia="zh-CN"/>
        </w:rPr>
        <w:t>应</w:t>
      </w:r>
      <w:r>
        <w:rPr>
          <w:rFonts w:hint="eastAsia" w:ascii="宋体" w:hAnsi="宋体" w:eastAsia="宋体" w:cs="宋体"/>
          <w:kern w:val="0"/>
          <w:sz w:val="21"/>
          <w:szCs w:val="21"/>
          <w:highlight w:val="none"/>
        </w:rPr>
        <w:t>在</w:t>
      </w:r>
      <w:r>
        <w:rPr>
          <w:rFonts w:hint="eastAsia" w:ascii="宋体" w:hAnsi="宋体" w:cs="宋体"/>
          <w:kern w:val="0"/>
          <w:sz w:val="21"/>
          <w:szCs w:val="21"/>
          <w:highlight w:val="none"/>
          <w:lang w:eastAsia="zh-CN"/>
        </w:rPr>
        <w:t>本采购包</w:t>
      </w:r>
      <w:r>
        <w:rPr>
          <w:rFonts w:hint="eastAsia" w:ascii="宋体" w:hAnsi="宋体" w:eastAsia="宋体" w:cs="宋体"/>
          <w:kern w:val="0"/>
          <w:sz w:val="21"/>
          <w:szCs w:val="21"/>
          <w:highlight w:val="none"/>
        </w:rPr>
        <w:t>中负责提供“软件”，并提供安装调试、培训和售后技术支持服务，所提供软件保证满足采购人功能要求，数据准确、速度快捷、运行稳定，保证系统的正常应用。</w:t>
      </w:r>
    </w:p>
    <w:p w14:paraId="50C6CEBE">
      <w:pPr>
        <w:keepNext w:val="0"/>
        <w:keepLines w:val="0"/>
        <w:pageBreakBefore w:val="0"/>
        <w:widowControl/>
        <w:numPr>
          <w:ilvl w:val="0"/>
          <w:numId w:val="4"/>
        </w:numPr>
        <w:wordWrap/>
        <w:topLinePunct w:val="0"/>
        <w:bidi w:val="0"/>
        <w:adjustRightInd w:val="0"/>
        <w:snapToGrid w:val="0"/>
        <w:spacing w:line="360" w:lineRule="auto"/>
        <w:jc w:val="left"/>
        <w:textAlignment w:val="auto"/>
        <w:rPr>
          <w:rFonts w:hint="eastAsia" w:ascii="宋体" w:hAnsi="宋体" w:eastAsia="宋体" w:cs="宋体"/>
          <w:kern w:val="0"/>
          <w:sz w:val="21"/>
          <w:szCs w:val="21"/>
          <w:highlight w:val="none"/>
        </w:rPr>
      </w:pPr>
      <w:r>
        <w:rPr>
          <w:rFonts w:hint="eastAsia" w:ascii="宋体" w:hAnsi="宋体" w:eastAsia="宋体" w:cs="宋体"/>
          <w:sz w:val="21"/>
          <w:szCs w:val="21"/>
          <w:highlight w:val="none"/>
          <w:lang w:val="zh-CN"/>
        </w:rPr>
        <w:t>中标人</w:t>
      </w:r>
      <w:r>
        <w:rPr>
          <w:rFonts w:hint="eastAsia" w:ascii="宋体" w:hAnsi="宋体" w:cs="宋体"/>
          <w:kern w:val="0"/>
          <w:sz w:val="21"/>
          <w:szCs w:val="21"/>
          <w:highlight w:val="none"/>
          <w:lang w:val="en-US" w:eastAsia="zh-CN"/>
        </w:rPr>
        <w:t>应</w:t>
      </w:r>
      <w:r>
        <w:rPr>
          <w:rFonts w:hint="eastAsia" w:ascii="宋体" w:hAnsi="宋体" w:eastAsia="宋体" w:cs="宋体"/>
          <w:kern w:val="0"/>
          <w:sz w:val="21"/>
          <w:szCs w:val="21"/>
          <w:highlight w:val="none"/>
        </w:rPr>
        <w:t>能熟练操作及应用全部系统，确保</w:t>
      </w:r>
      <w:r>
        <w:rPr>
          <w:rFonts w:hint="eastAsia" w:ascii="宋体" w:hAnsi="宋体" w:cs="宋体"/>
          <w:kern w:val="0"/>
          <w:sz w:val="21"/>
          <w:szCs w:val="21"/>
          <w:highlight w:val="none"/>
          <w:lang w:val="en-US" w:eastAsia="zh-CN"/>
        </w:rPr>
        <w:t>采购人</w:t>
      </w:r>
      <w:r>
        <w:rPr>
          <w:rFonts w:hint="eastAsia" w:ascii="宋体" w:hAnsi="宋体" w:eastAsia="宋体" w:cs="宋体"/>
          <w:kern w:val="0"/>
          <w:sz w:val="21"/>
          <w:szCs w:val="21"/>
          <w:highlight w:val="none"/>
        </w:rPr>
        <w:t>相关业务人员对其使用的应用系统能熟练操作使用</w:t>
      </w:r>
      <w:r>
        <w:rPr>
          <w:rFonts w:hint="eastAsia" w:ascii="宋体" w:hAnsi="宋体" w:cs="宋体"/>
          <w:kern w:val="0"/>
          <w:sz w:val="21"/>
          <w:szCs w:val="21"/>
          <w:highlight w:val="none"/>
          <w:lang w:eastAsia="zh-CN"/>
        </w:rPr>
        <w:t>。</w:t>
      </w:r>
    </w:p>
    <w:p w14:paraId="3F8274A6">
      <w:pPr>
        <w:keepNext w:val="0"/>
        <w:keepLines w:val="0"/>
        <w:pageBreakBefore w:val="0"/>
        <w:widowControl/>
        <w:numPr>
          <w:ilvl w:val="0"/>
          <w:numId w:val="4"/>
        </w:numPr>
        <w:wordWrap/>
        <w:topLinePunct w:val="0"/>
        <w:bidi w:val="0"/>
        <w:adjustRightInd w:val="0"/>
        <w:snapToGrid w:val="0"/>
        <w:spacing w:line="360" w:lineRule="auto"/>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中标</w:t>
      </w:r>
      <w:r>
        <w:rPr>
          <w:rFonts w:hint="eastAsia" w:ascii="宋体" w:hAnsi="宋体" w:cs="宋体"/>
          <w:kern w:val="0"/>
          <w:sz w:val="21"/>
          <w:szCs w:val="21"/>
          <w:highlight w:val="none"/>
          <w:lang w:eastAsia="zh-CN"/>
        </w:rPr>
        <w:t>人</w:t>
      </w:r>
      <w:r>
        <w:rPr>
          <w:rFonts w:hint="eastAsia" w:ascii="宋体" w:hAnsi="宋体" w:eastAsia="宋体" w:cs="宋体"/>
          <w:kern w:val="0"/>
          <w:sz w:val="21"/>
          <w:szCs w:val="21"/>
          <w:highlight w:val="none"/>
        </w:rPr>
        <w:t>接受监理单位对项目监督管理的相关</w:t>
      </w:r>
      <w:r>
        <w:rPr>
          <w:rFonts w:hint="eastAsia" w:ascii="宋体" w:hAnsi="宋体" w:cs="宋体"/>
          <w:kern w:val="0"/>
          <w:sz w:val="21"/>
          <w:szCs w:val="21"/>
          <w:highlight w:val="none"/>
          <w:lang w:val="en-US" w:eastAsia="zh-CN"/>
        </w:rPr>
        <w:t>条款。</w:t>
      </w:r>
    </w:p>
    <w:p w14:paraId="37432E28">
      <w:pPr>
        <w:keepNext w:val="0"/>
        <w:keepLines w:val="0"/>
        <w:pageBreakBefore w:val="0"/>
        <w:widowControl/>
        <w:numPr>
          <w:ilvl w:val="0"/>
          <w:numId w:val="4"/>
        </w:numPr>
        <w:wordWrap/>
        <w:topLinePunct w:val="0"/>
        <w:bidi w:val="0"/>
        <w:adjustRightInd w:val="0"/>
        <w:snapToGrid w:val="0"/>
        <w:spacing w:line="360" w:lineRule="auto"/>
        <w:jc w:val="lef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本采购包建设全生命周期工作</w:t>
      </w:r>
      <w:r>
        <w:rPr>
          <w:rFonts w:hint="eastAsia" w:ascii="宋体" w:hAnsi="宋体" w:cs="宋体"/>
          <w:kern w:val="0"/>
          <w:sz w:val="21"/>
          <w:szCs w:val="21"/>
          <w:highlight w:val="none"/>
          <w:lang w:val="en-US" w:eastAsia="zh-CN"/>
        </w:rPr>
        <w:t>中</w:t>
      </w:r>
      <w:r>
        <w:rPr>
          <w:rFonts w:hint="eastAsia" w:ascii="宋体" w:hAnsi="宋体" w:eastAsia="宋体" w:cs="宋体"/>
          <w:kern w:val="0"/>
          <w:sz w:val="21"/>
          <w:szCs w:val="21"/>
          <w:highlight w:val="none"/>
        </w:rPr>
        <w:t>标人</w:t>
      </w:r>
      <w:r>
        <w:rPr>
          <w:rFonts w:hint="eastAsia" w:ascii="宋体" w:hAnsi="宋体" w:cs="宋体"/>
          <w:kern w:val="0"/>
          <w:sz w:val="21"/>
          <w:szCs w:val="21"/>
          <w:highlight w:val="none"/>
          <w:lang w:val="en-US" w:eastAsia="zh-CN"/>
        </w:rPr>
        <w:t>需</w:t>
      </w:r>
      <w:r>
        <w:rPr>
          <w:rFonts w:hint="eastAsia" w:ascii="宋体" w:hAnsi="宋体" w:eastAsia="宋体" w:cs="宋体"/>
          <w:kern w:val="0"/>
          <w:sz w:val="21"/>
          <w:szCs w:val="21"/>
          <w:highlight w:val="none"/>
        </w:rPr>
        <w:t>派遣</w:t>
      </w:r>
      <w:r>
        <w:rPr>
          <w:rFonts w:hint="eastAsia" w:ascii="宋体" w:hAnsi="宋体" w:cs="宋体"/>
          <w:kern w:val="0"/>
          <w:sz w:val="21"/>
          <w:szCs w:val="21"/>
          <w:highlight w:val="none"/>
          <w:lang w:val="en-US" w:eastAsia="zh-CN"/>
        </w:rPr>
        <w:t>中</w:t>
      </w:r>
      <w:r>
        <w:rPr>
          <w:rFonts w:hint="eastAsia" w:ascii="宋体" w:hAnsi="宋体" w:eastAsia="宋体" w:cs="宋体"/>
          <w:kern w:val="0"/>
          <w:sz w:val="21"/>
          <w:szCs w:val="21"/>
          <w:highlight w:val="none"/>
        </w:rPr>
        <w:t>标人公司自有员工负责该部分系统调研、开发、测试、安装调试、培训、上线保障、售后服务等。</w:t>
      </w:r>
    </w:p>
    <w:bookmarkEnd w:id="1"/>
    <w:p w14:paraId="5E13A626">
      <w:pPr>
        <w:pStyle w:val="251"/>
        <w:keepNext w:val="0"/>
        <w:keepLines w:val="0"/>
        <w:pageBreakBefore w:val="0"/>
        <w:tabs>
          <w:tab w:val="left" w:pos="1355"/>
        </w:tabs>
        <w:wordWrap/>
        <w:topLinePunct w:val="0"/>
        <w:bidi w:val="0"/>
        <w:adjustRightInd w:val="0"/>
        <w:snapToGrid w:val="0"/>
        <w:spacing w:line="360" w:lineRule="auto"/>
        <w:ind w:firstLine="420" w:firstLineChars="200"/>
        <w:textAlignment w:val="auto"/>
        <w:rPr>
          <w:rFonts w:hint="eastAsia" w:ascii="宋体" w:hAnsi="宋体" w:eastAsia="宋体" w:cs="宋体"/>
          <w:bCs/>
          <w:color w:val="000000"/>
          <w:kern w:val="0"/>
          <w:sz w:val="21"/>
          <w:szCs w:val="21"/>
          <w:highlight w:val="none"/>
        </w:rPr>
      </w:pPr>
    </w:p>
    <w:sectPr>
      <w:headerReference r:id="rId3" w:type="default"/>
      <w:footerReference r:id="rId4" w:type="default"/>
      <w:pgSz w:w="11907" w:h="16839"/>
      <w:pgMar w:top="1440" w:right="1080" w:bottom="1440" w:left="1080" w:header="720" w:footer="720" w:gutter="0"/>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Microsoft YaHei UI">
    <w:panose1 w:val="020B0503020204020204"/>
    <w:charset w:val="86"/>
    <w:family w:val="swiss"/>
    <w:pitch w:val="default"/>
    <w:sig w:usb0="80000287" w:usb1="2ACF3C50" w:usb2="00000016" w:usb3="00000000" w:csb0="0004001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思源黑体">
    <w:altName w:val="黑体"/>
    <w:panose1 w:val="00000000000000000000"/>
    <w:charset w:val="86"/>
    <w:family w:val="swiss"/>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Arial Unicode MS">
    <w:altName w:val="宋体"/>
    <w:panose1 w:val="020B0604020202020204"/>
    <w:charset w:val="86"/>
    <w:family w:val="roman"/>
    <w:pitch w:val="default"/>
    <w:sig w:usb0="00000000" w:usb1="00000000" w:usb2="0000003F" w:usb3="00000000" w:csb0="603F01FF" w:csb1="FFFF0000"/>
  </w:font>
  <w:font w:name="华文中宋">
    <w:panose1 w:val="02010600040101010101"/>
    <w:charset w:val="86"/>
    <w:family w:val="auto"/>
    <w:pitch w:val="default"/>
    <w:sig w:usb0="00000287" w:usb1="080F0000" w:usb2="00000000" w:usb3="00000000" w:csb0="0004009F" w:csb1="DFD70000"/>
  </w:font>
  <w:font w:name="ˎ̥">
    <w:altName w:val="Times New Roman"/>
    <w:panose1 w:val="00000000000000000000"/>
    <w:charset w:val="00"/>
    <w:family w:val="roman"/>
    <w:pitch w:val="default"/>
    <w:sig w:usb0="00000000" w:usb1="00000000" w:usb2="00000000" w:usb3="00000000" w:csb0="00040001" w:csb1="0000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91F437">
    <w:pPr>
      <w:pStyle w:val="27"/>
      <w:jc w:val="center"/>
      <w:rPr>
        <w:rFonts w:hint="eastAsia" w:ascii="宋体" w:hAnsi="宋体" w:eastAsia="宋体" w:cs="宋体"/>
        <w:b w:val="0"/>
        <w:bCs w:val="0"/>
      </w:rPr>
    </w:pPr>
    <w:r>
      <w:rPr>
        <w:rFonts w:hint="eastAsia" w:ascii="宋体" w:hAnsi="宋体" w:eastAsia="宋体" w:cs="宋体"/>
        <w:b w:val="0"/>
        <w:bCs w:val="0"/>
        <w:lang w:val="zh-CN"/>
      </w:rPr>
      <w:t>第</w:t>
    </w:r>
    <w:r>
      <w:rPr>
        <w:rFonts w:hint="eastAsia" w:ascii="宋体" w:hAnsi="宋体" w:eastAsia="宋体" w:cs="宋体"/>
        <w:b w:val="0"/>
        <w:bCs w:val="0"/>
        <w:sz w:val="24"/>
        <w:szCs w:val="24"/>
      </w:rPr>
      <w:fldChar w:fldCharType="begin"/>
    </w:r>
    <w:r>
      <w:rPr>
        <w:rFonts w:hint="eastAsia" w:ascii="宋体" w:hAnsi="宋体" w:eastAsia="宋体" w:cs="宋体"/>
        <w:b w:val="0"/>
        <w:bCs w:val="0"/>
      </w:rPr>
      <w:instrText xml:space="preserve">PAGE</w:instrText>
    </w:r>
    <w:r>
      <w:rPr>
        <w:rFonts w:hint="eastAsia" w:ascii="宋体" w:hAnsi="宋体" w:eastAsia="宋体" w:cs="宋体"/>
        <w:b w:val="0"/>
        <w:bCs w:val="0"/>
        <w:sz w:val="24"/>
        <w:szCs w:val="24"/>
      </w:rPr>
      <w:fldChar w:fldCharType="separate"/>
    </w:r>
    <w:r>
      <w:rPr>
        <w:rFonts w:hint="eastAsia" w:ascii="宋体" w:hAnsi="宋体" w:eastAsia="宋体" w:cs="宋体"/>
        <w:b w:val="0"/>
        <w:bCs w:val="0"/>
      </w:rPr>
      <w:t>67</w:t>
    </w:r>
    <w:r>
      <w:rPr>
        <w:rFonts w:hint="eastAsia" w:ascii="宋体" w:hAnsi="宋体" w:eastAsia="宋体" w:cs="宋体"/>
        <w:b w:val="0"/>
        <w:bCs w:val="0"/>
        <w:sz w:val="24"/>
        <w:szCs w:val="24"/>
      </w:rPr>
      <w:fldChar w:fldCharType="end"/>
    </w:r>
    <w:r>
      <w:rPr>
        <w:rFonts w:hint="eastAsia" w:ascii="宋体" w:hAnsi="宋体" w:eastAsia="宋体" w:cs="宋体"/>
        <w:b w:val="0"/>
        <w:bCs w:val="0"/>
      </w:rPr>
      <w:t>页共</w:t>
    </w:r>
    <w:r>
      <w:rPr>
        <w:rFonts w:hint="eastAsia" w:ascii="宋体" w:hAnsi="宋体" w:eastAsia="宋体" w:cs="宋体"/>
        <w:b w:val="0"/>
        <w:bCs w:val="0"/>
      </w:rPr>
      <w:fldChar w:fldCharType="begin"/>
    </w:r>
    <w:r>
      <w:rPr>
        <w:rFonts w:hint="eastAsia" w:ascii="宋体" w:hAnsi="宋体" w:eastAsia="宋体" w:cs="宋体"/>
        <w:b w:val="0"/>
        <w:bCs w:val="0"/>
      </w:rPr>
      <w:instrText xml:space="preserve">NUMPAGES</w:instrText>
    </w:r>
    <w:r>
      <w:rPr>
        <w:rFonts w:hint="eastAsia" w:ascii="宋体" w:hAnsi="宋体" w:eastAsia="宋体" w:cs="宋体"/>
        <w:b w:val="0"/>
        <w:bCs w:val="0"/>
      </w:rPr>
      <w:fldChar w:fldCharType="separate"/>
    </w:r>
    <w:r>
      <w:rPr>
        <w:rFonts w:hint="eastAsia" w:ascii="宋体" w:hAnsi="宋体" w:eastAsia="宋体" w:cs="宋体"/>
        <w:b w:val="0"/>
        <w:bCs w:val="0"/>
      </w:rPr>
      <w:t>67</w:t>
    </w:r>
    <w:r>
      <w:rPr>
        <w:rFonts w:hint="eastAsia" w:ascii="宋体" w:hAnsi="宋体" w:eastAsia="宋体" w:cs="宋体"/>
        <w:b w:val="0"/>
        <w:bCs w:val="0"/>
      </w:rPr>
      <w:fldChar w:fldCharType="end"/>
    </w:r>
    <w:r>
      <w:rPr>
        <w:rFonts w:hint="eastAsia" w:ascii="宋体" w:hAnsi="宋体" w:eastAsia="宋体" w:cs="宋体"/>
        <w:b w:val="0"/>
        <w:bCs w:val="0"/>
      </w:rPr>
      <w:t>页</w:t>
    </w:r>
  </w:p>
  <w:p w14:paraId="53B00383">
    <w:pPr>
      <w:pStyle w:val="27"/>
      <w:jc w:val="righ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30E8A2">
    <w:pPr>
      <w:pStyle w:val="2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F22ABD"/>
    <w:multiLevelType w:val="multilevel"/>
    <w:tmpl w:val="E4F22ABD"/>
    <w:lvl w:ilvl="0" w:tentative="0">
      <w:start w:val="1"/>
      <w:numFmt w:val="decimal"/>
      <w:suff w:val="space"/>
      <w:lvlText w:val="%1）"/>
      <w:lvlJc w:val="left"/>
      <w:pPr>
        <w:ind w:left="0" w:firstLine="48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27C45084"/>
    <w:multiLevelType w:val="multilevel"/>
    <w:tmpl w:val="27C45084"/>
    <w:lvl w:ilvl="0" w:tentative="0">
      <w:start w:val="1"/>
      <w:numFmt w:val="decimal"/>
      <w:suff w:val="space"/>
      <w:lvlText w:val="%1）"/>
      <w:lvlJc w:val="left"/>
      <w:pPr>
        <w:ind w:left="-60" w:firstLine="48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311A6453"/>
    <w:multiLevelType w:val="multilevel"/>
    <w:tmpl w:val="311A6453"/>
    <w:lvl w:ilvl="0" w:tentative="0">
      <w:start w:val="1"/>
      <w:numFmt w:val="decimal"/>
      <w:suff w:val="space"/>
      <w:lvlText w:val="%1）"/>
      <w:lvlJc w:val="left"/>
      <w:pPr>
        <w:ind w:left="0" w:firstLine="48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4D2372C5"/>
    <w:multiLevelType w:val="multilevel"/>
    <w:tmpl w:val="4D2372C5"/>
    <w:lvl w:ilvl="0" w:tentative="0">
      <w:start w:val="1"/>
      <w:numFmt w:val="decimal"/>
      <w:suff w:val="nothing"/>
      <w:lvlText w:val="%1）"/>
      <w:lvlJc w:val="left"/>
      <w:pPr>
        <w:ind w:left="0" w:firstLine="480"/>
      </w:pPr>
      <w:rPr>
        <w:rFonts w:hint="default"/>
      </w:rPr>
    </w:lvl>
    <w:lvl w:ilvl="1" w:tentative="0">
      <w:start w:val="1"/>
      <w:numFmt w:val="lowerLetter"/>
      <w:suff w:val="nothing"/>
      <w:lvlText w:val="%2）"/>
      <w:lvlJc w:val="left"/>
      <w:pPr>
        <w:ind w:left="482" w:firstLine="418"/>
      </w:pPr>
      <w:rPr>
        <w:rFonts w:hint="eastAsia"/>
      </w:rPr>
    </w:lvl>
    <w:lvl w:ilvl="2" w:tentative="0">
      <w:start w:val="1"/>
      <w:numFmt w:val="lowerRoman"/>
      <w:lvlText w:val="%3."/>
      <w:lvlJc w:val="right"/>
      <w:pPr>
        <w:ind w:left="1740" w:hanging="420"/>
      </w:pPr>
      <w:rPr>
        <w:rFonts w:hint="eastAsia"/>
      </w:rPr>
    </w:lvl>
    <w:lvl w:ilvl="3" w:tentative="0">
      <w:start w:val="1"/>
      <w:numFmt w:val="decimal"/>
      <w:lvlText w:val="%4."/>
      <w:lvlJc w:val="left"/>
      <w:pPr>
        <w:ind w:left="2160" w:hanging="420"/>
      </w:pPr>
      <w:rPr>
        <w:rFonts w:hint="eastAsia"/>
      </w:rPr>
    </w:lvl>
    <w:lvl w:ilvl="4" w:tentative="0">
      <w:start w:val="1"/>
      <w:numFmt w:val="lowerLetter"/>
      <w:lvlText w:val="%5)"/>
      <w:lvlJc w:val="left"/>
      <w:pPr>
        <w:ind w:left="2580" w:hanging="420"/>
      </w:pPr>
      <w:rPr>
        <w:rFonts w:hint="eastAsia"/>
      </w:rPr>
    </w:lvl>
    <w:lvl w:ilvl="5" w:tentative="0">
      <w:start w:val="1"/>
      <w:numFmt w:val="lowerRoman"/>
      <w:lvlText w:val="%6."/>
      <w:lvlJc w:val="right"/>
      <w:pPr>
        <w:ind w:left="3000" w:hanging="420"/>
      </w:pPr>
      <w:rPr>
        <w:rFonts w:hint="eastAsia"/>
      </w:rPr>
    </w:lvl>
    <w:lvl w:ilvl="6" w:tentative="0">
      <w:start w:val="1"/>
      <w:numFmt w:val="decimal"/>
      <w:lvlText w:val="%7."/>
      <w:lvlJc w:val="left"/>
      <w:pPr>
        <w:ind w:left="3420" w:hanging="420"/>
      </w:pPr>
      <w:rPr>
        <w:rFonts w:hint="eastAsia"/>
      </w:rPr>
    </w:lvl>
    <w:lvl w:ilvl="7" w:tentative="0">
      <w:start w:val="1"/>
      <w:numFmt w:val="lowerLetter"/>
      <w:lvlText w:val="%8)"/>
      <w:lvlJc w:val="left"/>
      <w:pPr>
        <w:ind w:left="3840" w:hanging="420"/>
      </w:pPr>
      <w:rPr>
        <w:rFonts w:hint="eastAsia"/>
      </w:rPr>
    </w:lvl>
    <w:lvl w:ilvl="8" w:tentative="0">
      <w:start w:val="1"/>
      <w:numFmt w:val="lowerRoman"/>
      <w:lvlText w:val="%9."/>
      <w:lvlJc w:val="right"/>
      <w:pPr>
        <w:ind w:left="4260" w:hanging="420"/>
      </w:pPr>
      <w:rPr>
        <w:rFonts w:hint="eastAsia"/>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dit="trackedChanges" w:enforcement="0"/>
  <w:defaultTabStop w:val="420"/>
  <w:drawingGridHorizontalSpacing w:val="0"/>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E4YmE5NDQ5ZWZlNjE0OWRiNmQ0ZmNkZTAzYzExMzAifQ=="/>
  </w:docVars>
  <w:rsids>
    <w:rsidRoot w:val="00172A27"/>
    <w:rsid w:val="000015AA"/>
    <w:rsid w:val="000039CD"/>
    <w:rsid w:val="00006222"/>
    <w:rsid w:val="0000665E"/>
    <w:rsid w:val="00007530"/>
    <w:rsid w:val="00007737"/>
    <w:rsid w:val="000140B0"/>
    <w:rsid w:val="00014C82"/>
    <w:rsid w:val="00016964"/>
    <w:rsid w:val="00016F24"/>
    <w:rsid w:val="00017551"/>
    <w:rsid w:val="00020A4A"/>
    <w:rsid w:val="00023123"/>
    <w:rsid w:val="00023489"/>
    <w:rsid w:val="00024D5D"/>
    <w:rsid w:val="00025B9E"/>
    <w:rsid w:val="00025C93"/>
    <w:rsid w:val="00026BC8"/>
    <w:rsid w:val="00030383"/>
    <w:rsid w:val="000305C0"/>
    <w:rsid w:val="00030D35"/>
    <w:rsid w:val="00033388"/>
    <w:rsid w:val="00034419"/>
    <w:rsid w:val="0003480B"/>
    <w:rsid w:val="00034E1E"/>
    <w:rsid w:val="000351F8"/>
    <w:rsid w:val="00035E9A"/>
    <w:rsid w:val="00041F7E"/>
    <w:rsid w:val="00042AC4"/>
    <w:rsid w:val="000431D5"/>
    <w:rsid w:val="000435BA"/>
    <w:rsid w:val="000453C2"/>
    <w:rsid w:val="000455C2"/>
    <w:rsid w:val="00046F92"/>
    <w:rsid w:val="0005153E"/>
    <w:rsid w:val="000515F7"/>
    <w:rsid w:val="00051E00"/>
    <w:rsid w:val="000532B6"/>
    <w:rsid w:val="00053609"/>
    <w:rsid w:val="00053D69"/>
    <w:rsid w:val="0005638E"/>
    <w:rsid w:val="00056692"/>
    <w:rsid w:val="0006051D"/>
    <w:rsid w:val="00060F9A"/>
    <w:rsid w:val="0006712D"/>
    <w:rsid w:val="000672D8"/>
    <w:rsid w:val="00070925"/>
    <w:rsid w:val="00071B72"/>
    <w:rsid w:val="00074628"/>
    <w:rsid w:val="00075BF4"/>
    <w:rsid w:val="000767B5"/>
    <w:rsid w:val="00077B5D"/>
    <w:rsid w:val="0008175D"/>
    <w:rsid w:val="00082592"/>
    <w:rsid w:val="00083FD2"/>
    <w:rsid w:val="00085B03"/>
    <w:rsid w:val="00087486"/>
    <w:rsid w:val="0008758D"/>
    <w:rsid w:val="00091E42"/>
    <w:rsid w:val="0009228E"/>
    <w:rsid w:val="000971E3"/>
    <w:rsid w:val="000A01F9"/>
    <w:rsid w:val="000A0D9F"/>
    <w:rsid w:val="000A2425"/>
    <w:rsid w:val="000A42A6"/>
    <w:rsid w:val="000A5335"/>
    <w:rsid w:val="000A71C7"/>
    <w:rsid w:val="000A774B"/>
    <w:rsid w:val="000B046E"/>
    <w:rsid w:val="000B11DC"/>
    <w:rsid w:val="000B1801"/>
    <w:rsid w:val="000B19EC"/>
    <w:rsid w:val="000B2BFE"/>
    <w:rsid w:val="000B2EFB"/>
    <w:rsid w:val="000B448F"/>
    <w:rsid w:val="000B543D"/>
    <w:rsid w:val="000C0A7B"/>
    <w:rsid w:val="000C0E81"/>
    <w:rsid w:val="000C3C8B"/>
    <w:rsid w:val="000D463D"/>
    <w:rsid w:val="000D47DB"/>
    <w:rsid w:val="000D60FD"/>
    <w:rsid w:val="000D6BAD"/>
    <w:rsid w:val="000E1DA9"/>
    <w:rsid w:val="000E46BA"/>
    <w:rsid w:val="000E48AE"/>
    <w:rsid w:val="000E508D"/>
    <w:rsid w:val="000E7131"/>
    <w:rsid w:val="000E727A"/>
    <w:rsid w:val="000E7E9E"/>
    <w:rsid w:val="000F31AF"/>
    <w:rsid w:val="000F3D48"/>
    <w:rsid w:val="000F3EA3"/>
    <w:rsid w:val="000F5432"/>
    <w:rsid w:val="000F6069"/>
    <w:rsid w:val="000F67AA"/>
    <w:rsid w:val="00100A91"/>
    <w:rsid w:val="00101D6C"/>
    <w:rsid w:val="0010232A"/>
    <w:rsid w:val="00104630"/>
    <w:rsid w:val="00105ABE"/>
    <w:rsid w:val="00106E93"/>
    <w:rsid w:val="00107651"/>
    <w:rsid w:val="00112FFD"/>
    <w:rsid w:val="00114411"/>
    <w:rsid w:val="001148E0"/>
    <w:rsid w:val="001174C6"/>
    <w:rsid w:val="001211E9"/>
    <w:rsid w:val="001221B0"/>
    <w:rsid w:val="001239D7"/>
    <w:rsid w:val="0012522E"/>
    <w:rsid w:val="00126974"/>
    <w:rsid w:val="00126CD4"/>
    <w:rsid w:val="0012742B"/>
    <w:rsid w:val="001301EE"/>
    <w:rsid w:val="00131D30"/>
    <w:rsid w:val="00132B23"/>
    <w:rsid w:val="00133F69"/>
    <w:rsid w:val="001358F7"/>
    <w:rsid w:val="00135F9A"/>
    <w:rsid w:val="001361FA"/>
    <w:rsid w:val="001365BC"/>
    <w:rsid w:val="00136615"/>
    <w:rsid w:val="0013793D"/>
    <w:rsid w:val="001408E7"/>
    <w:rsid w:val="001412B8"/>
    <w:rsid w:val="00142AA5"/>
    <w:rsid w:val="00142B04"/>
    <w:rsid w:val="00144469"/>
    <w:rsid w:val="00147EF6"/>
    <w:rsid w:val="0015157D"/>
    <w:rsid w:val="0015178E"/>
    <w:rsid w:val="001532E0"/>
    <w:rsid w:val="00153E3E"/>
    <w:rsid w:val="001541C1"/>
    <w:rsid w:val="00156081"/>
    <w:rsid w:val="00160FA4"/>
    <w:rsid w:val="00161585"/>
    <w:rsid w:val="001663CE"/>
    <w:rsid w:val="00167F07"/>
    <w:rsid w:val="001710DB"/>
    <w:rsid w:val="00172A27"/>
    <w:rsid w:val="0017454D"/>
    <w:rsid w:val="00175936"/>
    <w:rsid w:val="00175FC0"/>
    <w:rsid w:val="00176C88"/>
    <w:rsid w:val="0017767C"/>
    <w:rsid w:val="00177AA0"/>
    <w:rsid w:val="001809DD"/>
    <w:rsid w:val="001811CB"/>
    <w:rsid w:val="00184E00"/>
    <w:rsid w:val="00185D85"/>
    <w:rsid w:val="00187F79"/>
    <w:rsid w:val="00191F33"/>
    <w:rsid w:val="00193A76"/>
    <w:rsid w:val="001A165E"/>
    <w:rsid w:val="001A249E"/>
    <w:rsid w:val="001A2C4C"/>
    <w:rsid w:val="001A31A9"/>
    <w:rsid w:val="001A33CA"/>
    <w:rsid w:val="001A3945"/>
    <w:rsid w:val="001A51D7"/>
    <w:rsid w:val="001A53AA"/>
    <w:rsid w:val="001A6A9D"/>
    <w:rsid w:val="001A7AF7"/>
    <w:rsid w:val="001A7C00"/>
    <w:rsid w:val="001B05BD"/>
    <w:rsid w:val="001B1526"/>
    <w:rsid w:val="001B213B"/>
    <w:rsid w:val="001B3BBC"/>
    <w:rsid w:val="001B452F"/>
    <w:rsid w:val="001B4DF4"/>
    <w:rsid w:val="001B657B"/>
    <w:rsid w:val="001B6F65"/>
    <w:rsid w:val="001C1134"/>
    <w:rsid w:val="001C26B0"/>
    <w:rsid w:val="001C2ABB"/>
    <w:rsid w:val="001C7392"/>
    <w:rsid w:val="001C7BD0"/>
    <w:rsid w:val="001D206B"/>
    <w:rsid w:val="001D3D33"/>
    <w:rsid w:val="001D64C2"/>
    <w:rsid w:val="001D7010"/>
    <w:rsid w:val="001E30E9"/>
    <w:rsid w:val="001E487A"/>
    <w:rsid w:val="001E4F70"/>
    <w:rsid w:val="001E6F5E"/>
    <w:rsid w:val="001F599E"/>
    <w:rsid w:val="001F5D64"/>
    <w:rsid w:val="001F7383"/>
    <w:rsid w:val="002002E4"/>
    <w:rsid w:val="00202831"/>
    <w:rsid w:val="002028DE"/>
    <w:rsid w:val="00203AD6"/>
    <w:rsid w:val="00203ECC"/>
    <w:rsid w:val="002043B4"/>
    <w:rsid w:val="00205620"/>
    <w:rsid w:val="0020646F"/>
    <w:rsid w:val="00206A4A"/>
    <w:rsid w:val="00207C68"/>
    <w:rsid w:val="00212DC1"/>
    <w:rsid w:val="002130C4"/>
    <w:rsid w:val="00213454"/>
    <w:rsid w:val="002158F7"/>
    <w:rsid w:val="00215938"/>
    <w:rsid w:val="002164E3"/>
    <w:rsid w:val="00216F8D"/>
    <w:rsid w:val="00221731"/>
    <w:rsid w:val="00222155"/>
    <w:rsid w:val="0022240E"/>
    <w:rsid w:val="00222AA1"/>
    <w:rsid w:val="00223D2B"/>
    <w:rsid w:val="002257B1"/>
    <w:rsid w:val="002267F9"/>
    <w:rsid w:val="00227970"/>
    <w:rsid w:val="00227B50"/>
    <w:rsid w:val="00227FFB"/>
    <w:rsid w:val="002313B9"/>
    <w:rsid w:val="00233F20"/>
    <w:rsid w:val="00240A71"/>
    <w:rsid w:val="00241826"/>
    <w:rsid w:val="002430B4"/>
    <w:rsid w:val="00243C0E"/>
    <w:rsid w:val="00245140"/>
    <w:rsid w:val="0024590F"/>
    <w:rsid w:val="0025050E"/>
    <w:rsid w:val="00256946"/>
    <w:rsid w:val="002617EC"/>
    <w:rsid w:val="00262BC3"/>
    <w:rsid w:val="00263873"/>
    <w:rsid w:val="0026421C"/>
    <w:rsid w:val="00266ABC"/>
    <w:rsid w:val="0026766A"/>
    <w:rsid w:val="0027255C"/>
    <w:rsid w:val="00272652"/>
    <w:rsid w:val="00272F2C"/>
    <w:rsid w:val="00275F53"/>
    <w:rsid w:val="00276AB6"/>
    <w:rsid w:val="0028034A"/>
    <w:rsid w:val="002836A9"/>
    <w:rsid w:val="00283D2E"/>
    <w:rsid w:val="002857AC"/>
    <w:rsid w:val="002864D1"/>
    <w:rsid w:val="002865FD"/>
    <w:rsid w:val="0029104F"/>
    <w:rsid w:val="00292C39"/>
    <w:rsid w:val="00292F57"/>
    <w:rsid w:val="00295D51"/>
    <w:rsid w:val="0029600B"/>
    <w:rsid w:val="0029604D"/>
    <w:rsid w:val="00297E83"/>
    <w:rsid w:val="002A030D"/>
    <w:rsid w:val="002A0885"/>
    <w:rsid w:val="002A3787"/>
    <w:rsid w:val="002A3AE0"/>
    <w:rsid w:val="002A4713"/>
    <w:rsid w:val="002A74D0"/>
    <w:rsid w:val="002B025A"/>
    <w:rsid w:val="002B1DA9"/>
    <w:rsid w:val="002B47EB"/>
    <w:rsid w:val="002B4F04"/>
    <w:rsid w:val="002B5056"/>
    <w:rsid w:val="002B5359"/>
    <w:rsid w:val="002C1566"/>
    <w:rsid w:val="002C17A5"/>
    <w:rsid w:val="002C22D6"/>
    <w:rsid w:val="002C2656"/>
    <w:rsid w:val="002C266D"/>
    <w:rsid w:val="002C2A50"/>
    <w:rsid w:val="002C34F9"/>
    <w:rsid w:val="002C3C99"/>
    <w:rsid w:val="002C3D4A"/>
    <w:rsid w:val="002C421C"/>
    <w:rsid w:val="002C49E3"/>
    <w:rsid w:val="002C54B5"/>
    <w:rsid w:val="002C5B92"/>
    <w:rsid w:val="002C7B71"/>
    <w:rsid w:val="002D0675"/>
    <w:rsid w:val="002D0B61"/>
    <w:rsid w:val="002D141A"/>
    <w:rsid w:val="002D22FC"/>
    <w:rsid w:val="002D44DC"/>
    <w:rsid w:val="002D4F22"/>
    <w:rsid w:val="002D538E"/>
    <w:rsid w:val="002D5F33"/>
    <w:rsid w:val="002E173E"/>
    <w:rsid w:val="002E2D67"/>
    <w:rsid w:val="002E3616"/>
    <w:rsid w:val="002E4832"/>
    <w:rsid w:val="002E4CCB"/>
    <w:rsid w:val="002E5351"/>
    <w:rsid w:val="002E5A76"/>
    <w:rsid w:val="002E794D"/>
    <w:rsid w:val="002F14FB"/>
    <w:rsid w:val="002F2924"/>
    <w:rsid w:val="002F296F"/>
    <w:rsid w:val="002F466F"/>
    <w:rsid w:val="002F5C6C"/>
    <w:rsid w:val="002F7823"/>
    <w:rsid w:val="00301D27"/>
    <w:rsid w:val="0030359C"/>
    <w:rsid w:val="00305144"/>
    <w:rsid w:val="003058C2"/>
    <w:rsid w:val="003073F6"/>
    <w:rsid w:val="00307405"/>
    <w:rsid w:val="00307A39"/>
    <w:rsid w:val="00312B9A"/>
    <w:rsid w:val="00312C09"/>
    <w:rsid w:val="00312E1E"/>
    <w:rsid w:val="00313D35"/>
    <w:rsid w:val="00314633"/>
    <w:rsid w:val="00316AC0"/>
    <w:rsid w:val="00317631"/>
    <w:rsid w:val="003222CF"/>
    <w:rsid w:val="0032246C"/>
    <w:rsid w:val="00322925"/>
    <w:rsid w:val="00322E66"/>
    <w:rsid w:val="00324655"/>
    <w:rsid w:val="003248AD"/>
    <w:rsid w:val="00327C18"/>
    <w:rsid w:val="00330269"/>
    <w:rsid w:val="00330350"/>
    <w:rsid w:val="00330DF4"/>
    <w:rsid w:val="00336451"/>
    <w:rsid w:val="00337197"/>
    <w:rsid w:val="00342D3E"/>
    <w:rsid w:val="00344884"/>
    <w:rsid w:val="0034592B"/>
    <w:rsid w:val="00346A00"/>
    <w:rsid w:val="003507DC"/>
    <w:rsid w:val="00350DC9"/>
    <w:rsid w:val="00351138"/>
    <w:rsid w:val="00354B5C"/>
    <w:rsid w:val="003556BC"/>
    <w:rsid w:val="003561FC"/>
    <w:rsid w:val="0035779A"/>
    <w:rsid w:val="00360F66"/>
    <w:rsid w:val="00363217"/>
    <w:rsid w:val="003641D1"/>
    <w:rsid w:val="00364204"/>
    <w:rsid w:val="00364B60"/>
    <w:rsid w:val="00364F67"/>
    <w:rsid w:val="003657EF"/>
    <w:rsid w:val="00365CFE"/>
    <w:rsid w:val="00366040"/>
    <w:rsid w:val="003661D6"/>
    <w:rsid w:val="003668ED"/>
    <w:rsid w:val="00370845"/>
    <w:rsid w:val="00370D10"/>
    <w:rsid w:val="00371A4D"/>
    <w:rsid w:val="00372B97"/>
    <w:rsid w:val="00373F31"/>
    <w:rsid w:val="003748BF"/>
    <w:rsid w:val="0037739A"/>
    <w:rsid w:val="00380085"/>
    <w:rsid w:val="0038329E"/>
    <w:rsid w:val="003838D7"/>
    <w:rsid w:val="0038438E"/>
    <w:rsid w:val="00387358"/>
    <w:rsid w:val="00387A65"/>
    <w:rsid w:val="00397A85"/>
    <w:rsid w:val="003A0511"/>
    <w:rsid w:val="003A0D6E"/>
    <w:rsid w:val="003A2596"/>
    <w:rsid w:val="003A2FE4"/>
    <w:rsid w:val="003A39BA"/>
    <w:rsid w:val="003A4FEB"/>
    <w:rsid w:val="003A5B30"/>
    <w:rsid w:val="003A6205"/>
    <w:rsid w:val="003A64A9"/>
    <w:rsid w:val="003B09B7"/>
    <w:rsid w:val="003B134C"/>
    <w:rsid w:val="003B1406"/>
    <w:rsid w:val="003B1AB5"/>
    <w:rsid w:val="003B1E26"/>
    <w:rsid w:val="003B2B00"/>
    <w:rsid w:val="003B32F3"/>
    <w:rsid w:val="003B44EA"/>
    <w:rsid w:val="003B5AEE"/>
    <w:rsid w:val="003C08B4"/>
    <w:rsid w:val="003C4195"/>
    <w:rsid w:val="003C6F58"/>
    <w:rsid w:val="003D4744"/>
    <w:rsid w:val="003D6407"/>
    <w:rsid w:val="003E08D4"/>
    <w:rsid w:val="003E5D0B"/>
    <w:rsid w:val="003E67CE"/>
    <w:rsid w:val="003E7201"/>
    <w:rsid w:val="003E75FA"/>
    <w:rsid w:val="003E769D"/>
    <w:rsid w:val="003F08CF"/>
    <w:rsid w:val="003F2EA9"/>
    <w:rsid w:val="003F304F"/>
    <w:rsid w:val="003F366C"/>
    <w:rsid w:val="003F3EF1"/>
    <w:rsid w:val="003F400C"/>
    <w:rsid w:val="003F5652"/>
    <w:rsid w:val="003F620D"/>
    <w:rsid w:val="003F698E"/>
    <w:rsid w:val="003F700B"/>
    <w:rsid w:val="00401220"/>
    <w:rsid w:val="00401E8B"/>
    <w:rsid w:val="00402ADB"/>
    <w:rsid w:val="00403277"/>
    <w:rsid w:val="004036A9"/>
    <w:rsid w:val="00405B78"/>
    <w:rsid w:val="0040612A"/>
    <w:rsid w:val="004065F1"/>
    <w:rsid w:val="00407949"/>
    <w:rsid w:val="00411ED9"/>
    <w:rsid w:val="00412A96"/>
    <w:rsid w:val="0041458B"/>
    <w:rsid w:val="004159D6"/>
    <w:rsid w:val="00417511"/>
    <w:rsid w:val="0042178B"/>
    <w:rsid w:val="004226A3"/>
    <w:rsid w:val="004228E6"/>
    <w:rsid w:val="004243BC"/>
    <w:rsid w:val="00424DCA"/>
    <w:rsid w:val="00425B6B"/>
    <w:rsid w:val="00425BA6"/>
    <w:rsid w:val="00426014"/>
    <w:rsid w:val="0042619F"/>
    <w:rsid w:val="00426DFC"/>
    <w:rsid w:val="004277E0"/>
    <w:rsid w:val="00431225"/>
    <w:rsid w:val="00431982"/>
    <w:rsid w:val="00435935"/>
    <w:rsid w:val="00435C5F"/>
    <w:rsid w:val="00436176"/>
    <w:rsid w:val="00436281"/>
    <w:rsid w:val="004377A6"/>
    <w:rsid w:val="00440169"/>
    <w:rsid w:val="004443A4"/>
    <w:rsid w:val="004443E1"/>
    <w:rsid w:val="00445CCB"/>
    <w:rsid w:val="00445F3E"/>
    <w:rsid w:val="004476AB"/>
    <w:rsid w:val="0045033E"/>
    <w:rsid w:val="00450C8E"/>
    <w:rsid w:val="004516E2"/>
    <w:rsid w:val="004516EA"/>
    <w:rsid w:val="00452D9D"/>
    <w:rsid w:val="00453075"/>
    <w:rsid w:val="00453B47"/>
    <w:rsid w:val="00455796"/>
    <w:rsid w:val="00456D3A"/>
    <w:rsid w:val="004608C4"/>
    <w:rsid w:val="00463790"/>
    <w:rsid w:val="00464C54"/>
    <w:rsid w:val="00466B82"/>
    <w:rsid w:val="00466C81"/>
    <w:rsid w:val="00471AEE"/>
    <w:rsid w:val="0047312A"/>
    <w:rsid w:val="00475B1B"/>
    <w:rsid w:val="00475D56"/>
    <w:rsid w:val="0047789A"/>
    <w:rsid w:val="00480C86"/>
    <w:rsid w:val="004812B4"/>
    <w:rsid w:val="00481C21"/>
    <w:rsid w:val="00484902"/>
    <w:rsid w:val="00485C19"/>
    <w:rsid w:val="00486620"/>
    <w:rsid w:val="004871F4"/>
    <w:rsid w:val="00487535"/>
    <w:rsid w:val="00493CE3"/>
    <w:rsid w:val="004948D9"/>
    <w:rsid w:val="004973C4"/>
    <w:rsid w:val="004A0752"/>
    <w:rsid w:val="004A09FE"/>
    <w:rsid w:val="004A0DFE"/>
    <w:rsid w:val="004A26FF"/>
    <w:rsid w:val="004A3347"/>
    <w:rsid w:val="004A337F"/>
    <w:rsid w:val="004A378E"/>
    <w:rsid w:val="004A40ED"/>
    <w:rsid w:val="004A5BFE"/>
    <w:rsid w:val="004A6F33"/>
    <w:rsid w:val="004A6FFC"/>
    <w:rsid w:val="004B5DAF"/>
    <w:rsid w:val="004B7007"/>
    <w:rsid w:val="004C1046"/>
    <w:rsid w:val="004C30C5"/>
    <w:rsid w:val="004C681D"/>
    <w:rsid w:val="004C68E1"/>
    <w:rsid w:val="004D1698"/>
    <w:rsid w:val="004D3145"/>
    <w:rsid w:val="004D3FB3"/>
    <w:rsid w:val="004D51A9"/>
    <w:rsid w:val="004D52DE"/>
    <w:rsid w:val="004D6A79"/>
    <w:rsid w:val="004D7433"/>
    <w:rsid w:val="004E2155"/>
    <w:rsid w:val="004E2B5D"/>
    <w:rsid w:val="004E2DA3"/>
    <w:rsid w:val="004E2E23"/>
    <w:rsid w:val="004E56E2"/>
    <w:rsid w:val="004E583C"/>
    <w:rsid w:val="004E5B22"/>
    <w:rsid w:val="004F427C"/>
    <w:rsid w:val="004F68CB"/>
    <w:rsid w:val="00500813"/>
    <w:rsid w:val="00501539"/>
    <w:rsid w:val="00501ECA"/>
    <w:rsid w:val="00503B4A"/>
    <w:rsid w:val="0050486C"/>
    <w:rsid w:val="00507B67"/>
    <w:rsid w:val="00510AE3"/>
    <w:rsid w:val="00511B98"/>
    <w:rsid w:val="005128DB"/>
    <w:rsid w:val="005165FF"/>
    <w:rsid w:val="0051722D"/>
    <w:rsid w:val="005176BD"/>
    <w:rsid w:val="005212AB"/>
    <w:rsid w:val="00522246"/>
    <w:rsid w:val="00522710"/>
    <w:rsid w:val="0052276F"/>
    <w:rsid w:val="00524CF2"/>
    <w:rsid w:val="00525163"/>
    <w:rsid w:val="00525E05"/>
    <w:rsid w:val="00532BC3"/>
    <w:rsid w:val="0053413F"/>
    <w:rsid w:val="00536BD0"/>
    <w:rsid w:val="00536F35"/>
    <w:rsid w:val="00543532"/>
    <w:rsid w:val="0054371C"/>
    <w:rsid w:val="00550999"/>
    <w:rsid w:val="00554DF2"/>
    <w:rsid w:val="005655FD"/>
    <w:rsid w:val="00570D20"/>
    <w:rsid w:val="00570EE9"/>
    <w:rsid w:val="005730BA"/>
    <w:rsid w:val="00575FEF"/>
    <w:rsid w:val="005803F2"/>
    <w:rsid w:val="00582D52"/>
    <w:rsid w:val="00585946"/>
    <w:rsid w:val="00587E73"/>
    <w:rsid w:val="00591541"/>
    <w:rsid w:val="005925C6"/>
    <w:rsid w:val="00593409"/>
    <w:rsid w:val="00593550"/>
    <w:rsid w:val="00594580"/>
    <w:rsid w:val="005947A2"/>
    <w:rsid w:val="00595B2F"/>
    <w:rsid w:val="005A182C"/>
    <w:rsid w:val="005A1A27"/>
    <w:rsid w:val="005A339A"/>
    <w:rsid w:val="005A3B21"/>
    <w:rsid w:val="005A57B4"/>
    <w:rsid w:val="005A6C0F"/>
    <w:rsid w:val="005B0935"/>
    <w:rsid w:val="005B2361"/>
    <w:rsid w:val="005B4BD9"/>
    <w:rsid w:val="005B681E"/>
    <w:rsid w:val="005B6B3E"/>
    <w:rsid w:val="005B7136"/>
    <w:rsid w:val="005B7A66"/>
    <w:rsid w:val="005C08E5"/>
    <w:rsid w:val="005C111C"/>
    <w:rsid w:val="005C1E00"/>
    <w:rsid w:val="005C23D4"/>
    <w:rsid w:val="005C2827"/>
    <w:rsid w:val="005C67EE"/>
    <w:rsid w:val="005C7578"/>
    <w:rsid w:val="005D39B3"/>
    <w:rsid w:val="005D40FB"/>
    <w:rsid w:val="005D471F"/>
    <w:rsid w:val="005D6B7B"/>
    <w:rsid w:val="005D7B02"/>
    <w:rsid w:val="005E113E"/>
    <w:rsid w:val="005E2E54"/>
    <w:rsid w:val="005E4155"/>
    <w:rsid w:val="005E5827"/>
    <w:rsid w:val="005E7543"/>
    <w:rsid w:val="005E7F95"/>
    <w:rsid w:val="005F0EF8"/>
    <w:rsid w:val="005F4318"/>
    <w:rsid w:val="005F5091"/>
    <w:rsid w:val="006078A7"/>
    <w:rsid w:val="00614EAB"/>
    <w:rsid w:val="00615E33"/>
    <w:rsid w:val="00616A70"/>
    <w:rsid w:val="00616D64"/>
    <w:rsid w:val="00621536"/>
    <w:rsid w:val="00621E5A"/>
    <w:rsid w:val="00625EAE"/>
    <w:rsid w:val="00626A86"/>
    <w:rsid w:val="00631064"/>
    <w:rsid w:val="006328C5"/>
    <w:rsid w:val="006332E7"/>
    <w:rsid w:val="00634743"/>
    <w:rsid w:val="00641294"/>
    <w:rsid w:val="00642289"/>
    <w:rsid w:val="00645265"/>
    <w:rsid w:val="00645B98"/>
    <w:rsid w:val="00645C66"/>
    <w:rsid w:val="006473A4"/>
    <w:rsid w:val="006478CE"/>
    <w:rsid w:val="00647C26"/>
    <w:rsid w:val="00647C40"/>
    <w:rsid w:val="0065135C"/>
    <w:rsid w:val="00656DC0"/>
    <w:rsid w:val="0065741B"/>
    <w:rsid w:val="0066002D"/>
    <w:rsid w:val="00661D80"/>
    <w:rsid w:val="00661D88"/>
    <w:rsid w:val="00662035"/>
    <w:rsid w:val="00663187"/>
    <w:rsid w:val="00663444"/>
    <w:rsid w:val="006673BA"/>
    <w:rsid w:val="00667AE7"/>
    <w:rsid w:val="00670CE9"/>
    <w:rsid w:val="0067103C"/>
    <w:rsid w:val="006725FB"/>
    <w:rsid w:val="006746E1"/>
    <w:rsid w:val="00676FB9"/>
    <w:rsid w:val="00680168"/>
    <w:rsid w:val="00681799"/>
    <w:rsid w:val="00681BBB"/>
    <w:rsid w:val="006828CC"/>
    <w:rsid w:val="00683AAC"/>
    <w:rsid w:val="00684D5B"/>
    <w:rsid w:val="00684E7C"/>
    <w:rsid w:val="00686046"/>
    <w:rsid w:val="006864F1"/>
    <w:rsid w:val="00687181"/>
    <w:rsid w:val="00692EB0"/>
    <w:rsid w:val="00694C5B"/>
    <w:rsid w:val="006963F3"/>
    <w:rsid w:val="006974C3"/>
    <w:rsid w:val="006A0DAE"/>
    <w:rsid w:val="006A0FBF"/>
    <w:rsid w:val="006A1472"/>
    <w:rsid w:val="006A21C7"/>
    <w:rsid w:val="006A22C0"/>
    <w:rsid w:val="006A2EF5"/>
    <w:rsid w:val="006A3589"/>
    <w:rsid w:val="006A37EC"/>
    <w:rsid w:val="006A4382"/>
    <w:rsid w:val="006A4561"/>
    <w:rsid w:val="006A456B"/>
    <w:rsid w:val="006A7531"/>
    <w:rsid w:val="006A7EC8"/>
    <w:rsid w:val="006B27C0"/>
    <w:rsid w:val="006B2AC3"/>
    <w:rsid w:val="006B3B30"/>
    <w:rsid w:val="006B5E44"/>
    <w:rsid w:val="006B6870"/>
    <w:rsid w:val="006B7AC2"/>
    <w:rsid w:val="006C0079"/>
    <w:rsid w:val="006C1DA5"/>
    <w:rsid w:val="006C26E3"/>
    <w:rsid w:val="006C370B"/>
    <w:rsid w:val="006C3846"/>
    <w:rsid w:val="006C4930"/>
    <w:rsid w:val="006C7705"/>
    <w:rsid w:val="006D031F"/>
    <w:rsid w:val="006D0822"/>
    <w:rsid w:val="006D1614"/>
    <w:rsid w:val="006D2DDC"/>
    <w:rsid w:val="006D79A0"/>
    <w:rsid w:val="006E0587"/>
    <w:rsid w:val="006E0E68"/>
    <w:rsid w:val="006E1456"/>
    <w:rsid w:val="006E18C8"/>
    <w:rsid w:val="006E4AF8"/>
    <w:rsid w:val="006E5770"/>
    <w:rsid w:val="006E5A24"/>
    <w:rsid w:val="006F03ED"/>
    <w:rsid w:val="006F2452"/>
    <w:rsid w:val="006F288E"/>
    <w:rsid w:val="006F3DCB"/>
    <w:rsid w:val="006F3EB5"/>
    <w:rsid w:val="007017D3"/>
    <w:rsid w:val="00701C34"/>
    <w:rsid w:val="00701CA8"/>
    <w:rsid w:val="00703A08"/>
    <w:rsid w:val="0071038E"/>
    <w:rsid w:val="0071232E"/>
    <w:rsid w:val="0071331B"/>
    <w:rsid w:val="007134F9"/>
    <w:rsid w:val="007153EC"/>
    <w:rsid w:val="00715FA2"/>
    <w:rsid w:val="0072120F"/>
    <w:rsid w:val="00722900"/>
    <w:rsid w:val="0072562D"/>
    <w:rsid w:val="00726B67"/>
    <w:rsid w:val="00727D14"/>
    <w:rsid w:val="007301E6"/>
    <w:rsid w:val="00730FAF"/>
    <w:rsid w:val="00731138"/>
    <w:rsid w:val="00731A40"/>
    <w:rsid w:val="007333E2"/>
    <w:rsid w:val="00733E21"/>
    <w:rsid w:val="00735A15"/>
    <w:rsid w:val="00742CE1"/>
    <w:rsid w:val="007447A9"/>
    <w:rsid w:val="00744ED6"/>
    <w:rsid w:val="007452D6"/>
    <w:rsid w:val="00745422"/>
    <w:rsid w:val="00746FFB"/>
    <w:rsid w:val="00747B95"/>
    <w:rsid w:val="007517E7"/>
    <w:rsid w:val="00751940"/>
    <w:rsid w:val="00752E9D"/>
    <w:rsid w:val="00755218"/>
    <w:rsid w:val="0075531E"/>
    <w:rsid w:val="00756B30"/>
    <w:rsid w:val="00760577"/>
    <w:rsid w:val="00760E70"/>
    <w:rsid w:val="00761F30"/>
    <w:rsid w:val="00761FE9"/>
    <w:rsid w:val="007649F8"/>
    <w:rsid w:val="00764E13"/>
    <w:rsid w:val="00766E20"/>
    <w:rsid w:val="00767799"/>
    <w:rsid w:val="00767900"/>
    <w:rsid w:val="00767D77"/>
    <w:rsid w:val="00767EE2"/>
    <w:rsid w:val="00770AA7"/>
    <w:rsid w:val="0077168F"/>
    <w:rsid w:val="00773BAB"/>
    <w:rsid w:val="00776220"/>
    <w:rsid w:val="0078075B"/>
    <w:rsid w:val="007809F9"/>
    <w:rsid w:val="00781632"/>
    <w:rsid w:val="00781915"/>
    <w:rsid w:val="007819CA"/>
    <w:rsid w:val="007823C7"/>
    <w:rsid w:val="00782C54"/>
    <w:rsid w:val="0078311B"/>
    <w:rsid w:val="00783B91"/>
    <w:rsid w:val="00785F52"/>
    <w:rsid w:val="0078616B"/>
    <w:rsid w:val="007930C0"/>
    <w:rsid w:val="007938E9"/>
    <w:rsid w:val="007965DB"/>
    <w:rsid w:val="007A025A"/>
    <w:rsid w:val="007A2A46"/>
    <w:rsid w:val="007A2B19"/>
    <w:rsid w:val="007A5DD0"/>
    <w:rsid w:val="007A62CC"/>
    <w:rsid w:val="007A648A"/>
    <w:rsid w:val="007A7EBC"/>
    <w:rsid w:val="007B006D"/>
    <w:rsid w:val="007B3135"/>
    <w:rsid w:val="007B7191"/>
    <w:rsid w:val="007B745D"/>
    <w:rsid w:val="007B7748"/>
    <w:rsid w:val="007B79F5"/>
    <w:rsid w:val="007C008A"/>
    <w:rsid w:val="007C1029"/>
    <w:rsid w:val="007C2FA3"/>
    <w:rsid w:val="007C397F"/>
    <w:rsid w:val="007C42B3"/>
    <w:rsid w:val="007C4A9D"/>
    <w:rsid w:val="007C4D59"/>
    <w:rsid w:val="007C59CF"/>
    <w:rsid w:val="007C5A0D"/>
    <w:rsid w:val="007C61D2"/>
    <w:rsid w:val="007D377D"/>
    <w:rsid w:val="007D4B54"/>
    <w:rsid w:val="007D5B9F"/>
    <w:rsid w:val="007D6576"/>
    <w:rsid w:val="007D65C4"/>
    <w:rsid w:val="007D749E"/>
    <w:rsid w:val="007E003C"/>
    <w:rsid w:val="007E214B"/>
    <w:rsid w:val="007E33F9"/>
    <w:rsid w:val="007F2F0B"/>
    <w:rsid w:val="007F6B2A"/>
    <w:rsid w:val="007F7CF6"/>
    <w:rsid w:val="0080299D"/>
    <w:rsid w:val="008045D4"/>
    <w:rsid w:val="00807C4C"/>
    <w:rsid w:val="00807F5E"/>
    <w:rsid w:val="00813ECE"/>
    <w:rsid w:val="0081600F"/>
    <w:rsid w:val="008167D7"/>
    <w:rsid w:val="00816A86"/>
    <w:rsid w:val="00821591"/>
    <w:rsid w:val="0082288E"/>
    <w:rsid w:val="00823B6B"/>
    <w:rsid w:val="00823F1F"/>
    <w:rsid w:val="00825BC5"/>
    <w:rsid w:val="00834A3F"/>
    <w:rsid w:val="008404F4"/>
    <w:rsid w:val="00842BD8"/>
    <w:rsid w:val="0084313A"/>
    <w:rsid w:val="008437B9"/>
    <w:rsid w:val="00843951"/>
    <w:rsid w:val="00843D94"/>
    <w:rsid w:val="00847028"/>
    <w:rsid w:val="00847407"/>
    <w:rsid w:val="00850858"/>
    <w:rsid w:val="008520CB"/>
    <w:rsid w:val="00853E21"/>
    <w:rsid w:val="00854473"/>
    <w:rsid w:val="008551D5"/>
    <w:rsid w:val="008558EB"/>
    <w:rsid w:val="008559CF"/>
    <w:rsid w:val="008572D1"/>
    <w:rsid w:val="00862FD1"/>
    <w:rsid w:val="008647B8"/>
    <w:rsid w:val="00864D53"/>
    <w:rsid w:val="00870349"/>
    <w:rsid w:val="00873215"/>
    <w:rsid w:val="0087493E"/>
    <w:rsid w:val="008809A4"/>
    <w:rsid w:val="00880BED"/>
    <w:rsid w:val="008828A7"/>
    <w:rsid w:val="00882B04"/>
    <w:rsid w:val="008837D3"/>
    <w:rsid w:val="00886685"/>
    <w:rsid w:val="008871D5"/>
    <w:rsid w:val="00893F7E"/>
    <w:rsid w:val="00894EF3"/>
    <w:rsid w:val="00896F41"/>
    <w:rsid w:val="00897E49"/>
    <w:rsid w:val="008A0590"/>
    <w:rsid w:val="008A3D07"/>
    <w:rsid w:val="008A59F7"/>
    <w:rsid w:val="008A65ED"/>
    <w:rsid w:val="008A6999"/>
    <w:rsid w:val="008B1802"/>
    <w:rsid w:val="008B2511"/>
    <w:rsid w:val="008B25C2"/>
    <w:rsid w:val="008B4AAC"/>
    <w:rsid w:val="008C0BA7"/>
    <w:rsid w:val="008C15A9"/>
    <w:rsid w:val="008C1B78"/>
    <w:rsid w:val="008C2372"/>
    <w:rsid w:val="008C2FC8"/>
    <w:rsid w:val="008C3A0E"/>
    <w:rsid w:val="008C5359"/>
    <w:rsid w:val="008C7B26"/>
    <w:rsid w:val="008D01D7"/>
    <w:rsid w:val="008D5357"/>
    <w:rsid w:val="008E1285"/>
    <w:rsid w:val="008E1AE0"/>
    <w:rsid w:val="008E5126"/>
    <w:rsid w:val="008E567A"/>
    <w:rsid w:val="008E5EF0"/>
    <w:rsid w:val="008E618C"/>
    <w:rsid w:val="008E62A3"/>
    <w:rsid w:val="008E6703"/>
    <w:rsid w:val="008E72E4"/>
    <w:rsid w:val="008E745F"/>
    <w:rsid w:val="008E7811"/>
    <w:rsid w:val="008F03E6"/>
    <w:rsid w:val="008F0D85"/>
    <w:rsid w:val="008F1F79"/>
    <w:rsid w:val="008F3236"/>
    <w:rsid w:val="008F631F"/>
    <w:rsid w:val="008F63DD"/>
    <w:rsid w:val="008F7B16"/>
    <w:rsid w:val="008F7E94"/>
    <w:rsid w:val="00901D4F"/>
    <w:rsid w:val="00903331"/>
    <w:rsid w:val="00905758"/>
    <w:rsid w:val="00905B00"/>
    <w:rsid w:val="00906AEB"/>
    <w:rsid w:val="00906F9F"/>
    <w:rsid w:val="0090755C"/>
    <w:rsid w:val="00907605"/>
    <w:rsid w:val="009103A2"/>
    <w:rsid w:val="00910B50"/>
    <w:rsid w:val="00910E7D"/>
    <w:rsid w:val="00910FDC"/>
    <w:rsid w:val="0091150A"/>
    <w:rsid w:val="009115A4"/>
    <w:rsid w:val="0091245E"/>
    <w:rsid w:val="00913496"/>
    <w:rsid w:val="009166A9"/>
    <w:rsid w:val="009166D2"/>
    <w:rsid w:val="00917B85"/>
    <w:rsid w:val="00920A1C"/>
    <w:rsid w:val="00920C06"/>
    <w:rsid w:val="00921A36"/>
    <w:rsid w:val="00922BD4"/>
    <w:rsid w:val="00923374"/>
    <w:rsid w:val="00923413"/>
    <w:rsid w:val="00924D80"/>
    <w:rsid w:val="00924F11"/>
    <w:rsid w:val="009260EF"/>
    <w:rsid w:val="009266F8"/>
    <w:rsid w:val="00926FE0"/>
    <w:rsid w:val="00930BF0"/>
    <w:rsid w:val="009310D9"/>
    <w:rsid w:val="00933A71"/>
    <w:rsid w:val="009349F7"/>
    <w:rsid w:val="00940065"/>
    <w:rsid w:val="00944650"/>
    <w:rsid w:val="00944D08"/>
    <w:rsid w:val="009452E4"/>
    <w:rsid w:val="009508C7"/>
    <w:rsid w:val="00950CEA"/>
    <w:rsid w:val="00950F1A"/>
    <w:rsid w:val="00951763"/>
    <w:rsid w:val="0095340E"/>
    <w:rsid w:val="009535B6"/>
    <w:rsid w:val="00953C46"/>
    <w:rsid w:val="00954191"/>
    <w:rsid w:val="00955976"/>
    <w:rsid w:val="00955B95"/>
    <w:rsid w:val="009625ED"/>
    <w:rsid w:val="00962EF2"/>
    <w:rsid w:val="0096330B"/>
    <w:rsid w:val="00963AF9"/>
    <w:rsid w:val="0096470D"/>
    <w:rsid w:val="00964C41"/>
    <w:rsid w:val="009676F1"/>
    <w:rsid w:val="00971079"/>
    <w:rsid w:val="009712B9"/>
    <w:rsid w:val="009721B9"/>
    <w:rsid w:val="00972698"/>
    <w:rsid w:val="00972C0C"/>
    <w:rsid w:val="00972D9D"/>
    <w:rsid w:val="00976D65"/>
    <w:rsid w:val="00976DF4"/>
    <w:rsid w:val="0097741D"/>
    <w:rsid w:val="009778A4"/>
    <w:rsid w:val="00977EE9"/>
    <w:rsid w:val="00980904"/>
    <w:rsid w:val="00981AD2"/>
    <w:rsid w:val="00983249"/>
    <w:rsid w:val="00986518"/>
    <w:rsid w:val="00986DA4"/>
    <w:rsid w:val="0098749C"/>
    <w:rsid w:val="009900B6"/>
    <w:rsid w:val="00990C72"/>
    <w:rsid w:val="0099333F"/>
    <w:rsid w:val="00993DBD"/>
    <w:rsid w:val="00993DE8"/>
    <w:rsid w:val="00995D9C"/>
    <w:rsid w:val="00995F1C"/>
    <w:rsid w:val="00996E2E"/>
    <w:rsid w:val="009A378E"/>
    <w:rsid w:val="009A3AF4"/>
    <w:rsid w:val="009A3CE5"/>
    <w:rsid w:val="009A628F"/>
    <w:rsid w:val="009A72A4"/>
    <w:rsid w:val="009B04ED"/>
    <w:rsid w:val="009B0637"/>
    <w:rsid w:val="009B19E5"/>
    <w:rsid w:val="009B1BE2"/>
    <w:rsid w:val="009B2C92"/>
    <w:rsid w:val="009B2F52"/>
    <w:rsid w:val="009B3C80"/>
    <w:rsid w:val="009B3F09"/>
    <w:rsid w:val="009B4960"/>
    <w:rsid w:val="009B49B7"/>
    <w:rsid w:val="009B7524"/>
    <w:rsid w:val="009C1D22"/>
    <w:rsid w:val="009C4799"/>
    <w:rsid w:val="009C5B35"/>
    <w:rsid w:val="009C5B38"/>
    <w:rsid w:val="009C6031"/>
    <w:rsid w:val="009D1DEE"/>
    <w:rsid w:val="009D21B8"/>
    <w:rsid w:val="009D425B"/>
    <w:rsid w:val="009D4771"/>
    <w:rsid w:val="009D7F35"/>
    <w:rsid w:val="009E18A9"/>
    <w:rsid w:val="009E31C8"/>
    <w:rsid w:val="009E3393"/>
    <w:rsid w:val="009E5257"/>
    <w:rsid w:val="009E5C26"/>
    <w:rsid w:val="009E6210"/>
    <w:rsid w:val="009E6A85"/>
    <w:rsid w:val="009E7286"/>
    <w:rsid w:val="009F056D"/>
    <w:rsid w:val="009F3B31"/>
    <w:rsid w:val="009F3E38"/>
    <w:rsid w:val="009F4FB4"/>
    <w:rsid w:val="009F6CC6"/>
    <w:rsid w:val="009F70FE"/>
    <w:rsid w:val="009F7908"/>
    <w:rsid w:val="009F7C6B"/>
    <w:rsid w:val="00A01416"/>
    <w:rsid w:val="00A0245E"/>
    <w:rsid w:val="00A02A78"/>
    <w:rsid w:val="00A02D17"/>
    <w:rsid w:val="00A04517"/>
    <w:rsid w:val="00A05192"/>
    <w:rsid w:val="00A05A91"/>
    <w:rsid w:val="00A06ABA"/>
    <w:rsid w:val="00A071D9"/>
    <w:rsid w:val="00A13EC8"/>
    <w:rsid w:val="00A15D3E"/>
    <w:rsid w:val="00A1680F"/>
    <w:rsid w:val="00A168CB"/>
    <w:rsid w:val="00A16E36"/>
    <w:rsid w:val="00A20130"/>
    <w:rsid w:val="00A209AE"/>
    <w:rsid w:val="00A20D03"/>
    <w:rsid w:val="00A22A73"/>
    <w:rsid w:val="00A22B92"/>
    <w:rsid w:val="00A2391E"/>
    <w:rsid w:val="00A23D5F"/>
    <w:rsid w:val="00A240A5"/>
    <w:rsid w:val="00A244AD"/>
    <w:rsid w:val="00A24D1E"/>
    <w:rsid w:val="00A252A8"/>
    <w:rsid w:val="00A274FC"/>
    <w:rsid w:val="00A27B7D"/>
    <w:rsid w:val="00A300E4"/>
    <w:rsid w:val="00A30D26"/>
    <w:rsid w:val="00A3142C"/>
    <w:rsid w:val="00A32C80"/>
    <w:rsid w:val="00A33B02"/>
    <w:rsid w:val="00A36647"/>
    <w:rsid w:val="00A43202"/>
    <w:rsid w:val="00A4340D"/>
    <w:rsid w:val="00A43B0E"/>
    <w:rsid w:val="00A45351"/>
    <w:rsid w:val="00A45A68"/>
    <w:rsid w:val="00A45DF1"/>
    <w:rsid w:val="00A465A7"/>
    <w:rsid w:val="00A4729C"/>
    <w:rsid w:val="00A4796F"/>
    <w:rsid w:val="00A504C6"/>
    <w:rsid w:val="00A50F26"/>
    <w:rsid w:val="00A51BB3"/>
    <w:rsid w:val="00A5208B"/>
    <w:rsid w:val="00A52619"/>
    <w:rsid w:val="00A546E6"/>
    <w:rsid w:val="00A55A22"/>
    <w:rsid w:val="00A57D29"/>
    <w:rsid w:val="00A60E04"/>
    <w:rsid w:val="00A610A2"/>
    <w:rsid w:val="00A61F90"/>
    <w:rsid w:val="00A624F7"/>
    <w:rsid w:val="00A64C26"/>
    <w:rsid w:val="00A651A8"/>
    <w:rsid w:val="00A6677D"/>
    <w:rsid w:val="00A66B90"/>
    <w:rsid w:val="00A67C50"/>
    <w:rsid w:val="00A70714"/>
    <w:rsid w:val="00A71123"/>
    <w:rsid w:val="00A7130C"/>
    <w:rsid w:val="00A71608"/>
    <w:rsid w:val="00A7340B"/>
    <w:rsid w:val="00A7427D"/>
    <w:rsid w:val="00A77B38"/>
    <w:rsid w:val="00A80E4A"/>
    <w:rsid w:val="00A81120"/>
    <w:rsid w:val="00A81270"/>
    <w:rsid w:val="00A830A2"/>
    <w:rsid w:val="00A83358"/>
    <w:rsid w:val="00A83B31"/>
    <w:rsid w:val="00A83B8F"/>
    <w:rsid w:val="00A840F0"/>
    <w:rsid w:val="00A87533"/>
    <w:rsid w:val="00A91965"/>
    <w:rsid w:val="00A92509"/>
    <w:rsid w:val="00A9533B"/>
    <w:rsid w:val="00A95CB4"/>
    <w:rsid w:val="00A970A3"/>
    <w:rsid w:val="00A975C8"/>
    <w:rsid w:val="00A97D44"/>
    <w:rsid w:val="00AA0443"/>
    <w:rsid w:val="00AA1504"/>
    <w:rsid w:val="00AA1ACC"/>
    <w:rsid w:val="00AA1D2A"/>
    <w:rsid w:val="00AA33C2"/>
    <w:rsid w:val="00AA3DCA"/>
    <w:rsid w:val="00AA4AB8"/>
    <w:rsid w:val="00AA4CA0"/>
    <w:rsid w:val="00AA5555"/>
    <w:rsid w:val="00AB080F"/>
    <w:rsid w:val="00AB35BD"/>
    <w:rsid w:val="00AB378B"/>
    <w:rsid w:val="00AB4230"/>
    <w:rsid w:val="00AB4334"/>
    <w:rsid w:val="00AB4AE5"/>
    <w:rsid w:val="00AB5FE0"/>
    <w:rsid w:val="00AB68B9"/>
    <w:rsid w:val="00AB7F77"/>
    <w:rsid w:val="00AC044C"/>
    <w:rsid w:val="00AC25B0"/>
    <w:rsid w:val="00AC3E17"/>
    <w:rsid w:val="00AC46F1"/>
    <w:rsid w:val="00AC5E9F"/>
    <w:rsid w:val="00AC73F9"/>
    <w:rsid w:val="00AD0FCC"/>
    <w:rsid w:val="00AD3010"/>
    <w:rsid w:val="00AD5C21"/>
    <w:rsid w:val="00AD6833"/>
    <w:rsid w:val="00AD683A"/>
    <w:rsid w:val="00AE116C"/>
    <w:rsid w:val="00AE188F"/>
    <w:rsid w:val="00AE34A4"/>
    <w:rsid w:val="00AE4858"/>
    <w:rsid w:val="00AE6E7C"/>
    <w:rsid w:val="00AF0417"/>
    <w:rsid w:val="00AF13D2"/>
    <w:rsid w:val="00AF1F64"/>
    <w:rsid w:val="00AF5004"/>
    <w:rsid w:val="00AF5EBC"/>
    <w:rsid w:val="00AF7776"/>
    <w:rsid w:val="00B0058C"/>
    <w:rsid w:val="00B02708"/>
    <w:rsid w:val="00B030A1"/>
    <w:rsid w:val="00B033FA"/>
    <w:rsid w:val="00B03CE7"/>
    <w:rsid w:val="00B049F5"/>
    <w:rsid w:val="00B06384"/>
    <w:rsid w:val="00B069BE"/>
    <w:rsid w:val="00B0791A"/>
    <w:rsid w:val="00B11BC1"/>
    <w:rsid w:val="00B12C64"/>
    <w:rsid w:val="00B1434A"/>
    <w:rsid w:val="00B145BA"/>
    <w:rsid w:val="00B15DDC"/>
    <w:rsid w:val="00B16CAD"/>
    <w:rsid w:val="00B23CC7"/>
    <w:rsid w:val="00B24172"/>
    <w:rsid w:val="00B250D4"/>
    <w:rsid w:val="00B25735"/>
    <w:rsid w:val="00B25E1B"/>
    <w:rsid w:val="00B264F7"/>
    <w:rsid w:val="00B26FFF"/>
    <w:rsid w:val="00B31030"/>
    <w:rsid w:val="00B314F5"/>
    <w:rsid w:val="00B3437C"/>
    <w:rsid w:val="00B34E7B"/>
    <w:rsid w:val="00B352B8"/>
    <w:rsid w:val="00B36514"/>
    <w:rsid w:val="00B3680B"/>
    <w:rsid w:val="00B3771B"/>
    <w:rsid w:val="00B40E99"/>
    <w:rsid w:val="00B417CE"/>
    <w:rsid w:val="00B42F0E"/>
    <w:rsid w:val="00B44307"/>
    <w:rsid w:val="00B51586"/>
    <w:rsid w:val="00B51A70"/>
    <w:rsid w:val="00B54DAA"/>
    <w:rsid w:val="00B56C49"/>
    <w:rsid w:val="00B579DF"/>
    <w:rsid w:val="00B57BDA"/>
    <w:rsid w:val="00B604C5"/>
    <w:rsid w:val="00B61C09"/>
    <w:rsid w:val="00B64227"/>
    <w:rsid w:val="00B647F4"/>
    <w:rsid w:val="00B667EF"/>
    <w:rsid w:val="00B670FF"/>
    <w:rsid w:val="00B71EB8"/>
    <w:rsid w:val="00B7276B"/>
    <w:rsid w:val="00B74785"/>
    <w:rsid w:val="00B7755A"/>
    <w:rsid w:val="00B81550"/>
    <w:rsid w:val="00B81D0D"/>
    <w:rsid w:val="00B822DC"/>
    <w:rsid w:val="00B87264"/>
    <w:rsid w:val="00B9045A"/>
    <w:rsid w:val="00B90CD9"/>
    <w:rsid w:val="00B9515B"/>
    <w:rsid w:val="00B967D6"/>
    <w:rsid w:val="00B96DC4"/>
    <w:rsid w:val="00B9784D"/>
    <w:rsid w:val="00BA0724"/>
    <w:rsid w:val="00BA291F"/>
    <w:rsid w:val="00BA324A"/>
    <w:rsid w:val="00BA5445"/>
    <w:rsid w:val="00BA78FD"/>
    <w:rsid w:val="00BB0B97"/>
    <w:rsid w:val="00BB49BC"/>
    <w:rsid w:val="00BB766A"/>
    <w:rsid w:val="00BC086A"/>
    <w:rsid w:val="00BC0886"/>
    <w:rsid w:val="00BC0BD5"/>
    <w:rsid w:val="00BC2FA3"/>
    <w:rsid w:val="00BC39B8"/>
    <w:rsid w:val="00BC3E8A"/>
    <w:rsid w:val="00BC41FC"/>
    <w:rsid w:val="00BC5119"/>
    <w:rsid w:val="00BD201A"/>
    <w:rsid w:val="00BD2A11"/>
    <w:rsid w:val="00BD3024"/>
    <w:rsid w:val="00BD5408"/>
    <w:rsid w:val="00BD6077"/>
    <w:rsid w:val="00BD76D3"/>
    <w:rsid w:val="00BE0AF1"/>
    <w:rsid w:val="00BE1C44"/>
    <w:rsid w:val="00BE3D1F"/>
    <w:rsid w:val="00BE46F2"/>
    <w:rsid w:val="00BE4CEB"/>
    <w:rsid w:val="00BE5C0E"/>
    <w:rsid w:val="00BE5EF4"/>
    <w:rsid w:val="00BE67B8"/>
    <w:rsid w:val="00BE7C03"/>
    <w:rsid w:val="00BF18C1"/>
    <w:rsid w:val="00BF5BB9"/>
    <w:rsid w:val="00C009E3"/>
    <w:rsid w:val="00C00F6E"/>
    <w:rsid w:val="00C019F3"/>
    <w:rsid w:val="00C02436"/>
    <w:rsid w:val="00C03DEF"/>
    <w:rsid w:val="00C06511"/>
    <w:rsid w:val="00C06F6F"/>
    <w:rsid w:val="00C1019A"/>
    <w:rsid w:val="00C116D1"/>
    <w:rsid w:val="00C133F8"/>
    <w:rsid w:val="00C13489"/>
    <w:rsid w:val="00C14BAF"/>
    <w:rsid w:val="00C15203"/>
    <w:rsid w:val="00C16BA2"/>
    <w:rsid w:val="00C2036B"/>
    <w:rsid w:val="00C20E49"/>
    <w:rsid w:val="00C21A12"/>
    <w:rsid w:val="00C2707F"/>
    <w:rsid w:val="00C30D41"/>
    <w:rsid w:val="00C3293A"/>
    <w:rsid w:val="00C34A42"/>
    <w:rsid w:val="00C3592F"/>
    <w:rsid w:val="00C35DB6"/>
    <w:rsid w:val="00C405A2"/>
    <w:rsid w:val="00C42051"/>
    <w:rsid w:val="00C42BAD"/>
    <w:rsid w:val="00C50225"/>
    <w:rsid w:val="00C60822"/>
    <w:rsid w:val="00C61239"/>
    <w:rsid w:val="00C6265D"/>
    <w:rsid w:val="00C6475A"/>
    <w:rsid w:val="00C658E3"/>
    <w:rsid w:val="00C658F8"/>
    <w:rsid w:val="00C66DC8"/>
    <w:rsid w:val="00C677F6"/>
    <w:rsid w:val="00C67CCA"/>
    <w:rsid w:val="00C717A2"/>
    <w:rsid w:val="00C71961"/>
    <w:rsid w:val="00C7214C"/>
    <w:rsid w:val="00C745EF"/>
    <w:rsid w:val="00C80F2C"/>
    <w:rsid w:val="00C84D74"/>
    <w:rsid w:val="00C857A5"/>
    <w:rsid w:val="00C862CB"/>
    <w:rsid w:val="00C8742C"/>
    <w:rsid w:val="00C931D7"/>
    <w:rsid w:val="00C939C4"/>
    <w:rsid w:val="00C94860"/>
    <w:rsid w:val="00C95312"/>
    <w:rsid w:val="00C961CE"/>
    <w:rsid w:val="00C96DEF"/>
    <w:rsid w:val="00CA0696"/>
    <w:rsid w:val="00CA31F1"/>
    <w:rsid w:val="00CA33F6"/>
    <w:rsid w:val="00CA36D6"/>
    <w:rsid w:val="00CA5C85"/>
    <w:rsid w:val="00CA685F"/>
    <w:rsid w:val="00CA6FEA"/>
    <w:rsid w:val="00CA7283"/>
    <w:rsid w:val="00CA7382"/>
    <w:rsid w:val="00CA7C08"/>
    <w:rsid w:val="00CB2F95"/>
    <w:rsid w:val="00CB3431"/>
    <w:rsid w:val="00CB62D5"/>
    <w:rsid w:val="00CB6567"/>
    <w:rsid w:val="00CC1639"/>
    <w:rsid w:val="00CC3DD6"/>
    <w:rsid w:val="00CC5062"/>
    <w:rsid w:val="00CC51AC"/>
    <w:rsid w:val="00CC56AD"/>
    <w:rsid w:val="00CC6F06"/>
    <w:rsid w:val="00CD063C"/>
    <w:rsid w:val="00CD0775"/>
    <w:rsid w:val="00CD2A31"/>
    <w:rsid w:val="00CD3865"/>
    <w:rsid w:val="00CD3B6E"/>
    <w:rsid w:val="00CD434E"/>
    <w:rsid w:val="00CD62A4"/>
    <w:rsid w:val="00CD659C"/>
    <w:rsid w:val="00CD6C58"/>
    <w:rsid w:val="00CD7D0C"/>
    <w:rsid w:val="00CE0A7A"/>
    <w:rsid w:val="00CE0A83"/>
    <w:rsid w:val="00CE0E37"/>
    <w:rsid w:val="00CE3BBE"/>
    <w:rsid w:val="00CE3D08"/>
    <w:rsid w:val="00CE4407"/>
    <w:rsid w:val="00CE5083"/>
    <w:rsid w:val="00CE561B"/>
    <w:rsid w:val="00CE6ACF"/>
    <w:rsid w:val="00CF35FC"/>
    <w:rsid w:val="00CF3A7E"/>
    <w:rsid w:val="00CF3BA8"/>
    <w:rsid w:val="00CF7EE4"/>
    <w:rsid w:val="00D004E5"/>
    <w:rsid w:val="00D014FF"/>
    <w:rsid w:val="00D02E69"/>
    <w:rsid w:val="00D04658"/>
    <w:rsid w:val="00D05222"/>
    <w:rsid w:val="00D063F3"/>
    <w:rsid w:val="00D067D6"/>
    <w:rsid w:val="00D10A7E"/>
    <w:rsid w:val="00D11515"/>
    <w:rsid w:val="00D13849"/>
    <w:rsid w:val="00D1572B"/>
    <w:rsid w:val="00D15826"/>
    <w:rsid w:val="00D16209"/>
    <w:rsid w:val="00D1671B"/>
    <w:rsid w:val="00D16B29"/>
    <w:rsid w:val="00D20E18"/>
    <w:rsid w:val="00D22102"/>
    <w:rsid w:val="00D221B6"/>
    <w:rsid w:val="00D22A7D"/>
    <w:rsid w:val="00D248F9"/>
    <w:rsid w:val="00D25258"/>
    <w:rsid w:val="00D25307"/>
    <w:rsid w:val="00D25868"/>
    <w:rsid w:val="00D2648B"/>
    <w:rsid w:val="00D2650A"/>
    <w:rsid w:val="00D26E0C"/>
    <w:rsid w:val="00D3159A"/>
    <w:rsid w:val="00D31D93"/>
    <w:rsid w:val="00D338D7"/>
    <w:rsid w:val="00D346C2"/>
    <w:rsid w:val="00D36DF1"/>
    <w:rsid w:val="00D4160D"/>
    <w:rsid w:val="00D42F84"/>
    <w:rsid w:val="00D44ABD"/>
    <w:rsid w:val="00D45880"/>
    <w:rsid w:val="00D5129E"/>
    <w:rsid w:val="00D530F3"/>
    <w:rsid w:val="00D5377B"/>
    <w:rsid w:val="00D537CF"/>
    <w:rsid w:val="00D54C52"/>
    <w:rsid w:val="00D55316"/>
    <w:rsid w:val="00D56E58"/>
    <w:rsid w:val="00D5769D"/>
    <w:rsid w:val="00D577E4"/>
    <w:rsid w:val="00D57E1B"/>
    <w:rsid w:val="00D6045F"/>
    <w:rsid w:val="00D60887"/>
    <w:rsid w:val="00D60993"/>
    <w:rsid w:val="00D6155D"/>
    <w:rsid w:val="00D62841"/>
    <w:rsid w:val="00D63186"/>
    <w:rsid w:val="00D639F2"/>
    <w:rsid w:val="00D63AE5"/>
    <w:rsid w:val="00D66106"/>
    <w:rsid w:val="00D66BF9"/>
    <w:rsid w:val="00D708BF"/>
    <w:rsid w:val="00D74916"/>
    <w:rsid w:val="00D74E04"/>
    <w:rsid w:val="00D76066"/>
    <w:rsid w:val="00D770AC"/>
    <w:rsid w:val="00D77E71"/>
    <w:rsid w:val="00D8158A"/>
    <w:rsid w:val="00D81C98"/>
    <w:rsid w:val="00D84C51"/>
    <w:rsid w:val="00D90798"/>
    <w:rsid w:val="00D92637"/>
    <w:rsid w:val="00D9309A"/>
    <w:rsid w:val="00D95751"/>
    <w:rsid w:val="00DA065C"/>
    <w:rsid w:val="00DA0728"/>
    <w:rsid w:val="00DA23BB"/>
    <w:rsid w:val="00DA353F"/>
    <w:rsid w:val="00DA737D"/>
    <w:rsid w:val="00DA7E85"/>
    <w:rsid w:val="00DB0126"/>
    <w:rsid w:val="00DB2C34"/>
    <w:rsid w:val="00DB3C6F"/>
    <w:rsid w:val="00DB5EB3"/>
    <w:rsid w:val="00DB7147"/>
    <w:rsid w:val="00DC11CB"/>
    <w:rsid w:val="00DC15A1"/>
    <w:rsid w:val="00DC1A59"/>
    <w:rsid w:val="00DC2B1C"/>
    <w:rsid w:val="00DC2EF0"/>
    <w:rsid w:val="00DC3E95"/>
    <w:rsid w:val="00DC4C2A"/>
    <w:rsid w:val="00DC56DC"/>
    <w:rsid w:val="00DD03F1"/>
    <w:rsid w:val="00DD0736"/>
    <w:rsid w:val="00DD3BA2"/>
    <w:rsid w:val="00DD6015"/>
    <w:rsid w:val="00DD62AC"/>
    <w:rsid w:val="00DD661B"/>
    <w:rsid w:val="00DD6D32"/>
    <w:rsid w:val="00DD7057"/>
    <w:rsid w:val="00DD70C3"/>
    <w:rsid w:val="00DD71BA"/>
    <w:rsid w:val="00DE0B20"/>
    <w:rsid w:val="00DE2E13"/>
    <w:rsid w:val="00DE4C4C"/>
    <w:rsid w:val="00DE4F63"/>
    <w:rsid w:val="00DE5B67"/>
    <w:rsid w:val="00DF375F"/>
    <w:rsid w:val="00DF44EF"/>
    <w:rsid w:val="00DF485F"/>
    <w:rsid w:val="00DF59AD"/>
    <w:rsid w:val="00DF6BA8"/>
    <w:rsid w:val="00DF7E62"/>
    <w:rsid w:val="00E007DF"/>
    <w:rsid w:val="00E01765"/>
    <w:rsid w:val="00E0389F"/>
    <w:rsid w:val="00E03B27"/>
    <w:rsid w:val="00E06BA4"/>
    <w:rsid w:val="00E1080F"/>
    <w:rsid w:val="00E11E8B"/>
    <w:rsid w:val="00E14B3C"/>
    <w:rsid w:val="00E14C0E"/>
    <w:rsid w:val="00E151FB"/>
    <w:rsid w:val="00E201D6"/>
    <w:rsid w:val="00E20569"/>
    <w:rsid w:val="00E20C70"/>
    <w:rsid w:val="00E212B8"/>
    <w:rsid w:val="00E216F7"/>
    <w:rsid w:val="00E24C0B"/>
    <w:rsid w:val="00E250D2"/>
    <w:rsid w:val="00E2636A"/>
    <w:rsid w:val="00E2755D"/>
    <w:rsid w:val="00E30062"/>
    <w:rsid w:val="00E303D7"/>
    <w:rsid w:val="00E30E0B"/>
    <w:rsid w:val="00E3224B"/>
    <w:rsid w:val="00E3233E"/>
    <w:rsid w:val="00E34EE7"/>
    <w:rsid w:val="00E3515B"/>
    <w:rsid w:val="00E354F7"/>
    <w:rsid w:val="00E35DC6"/>
    <w:rsid w:val="00E36223"/>
    <w:rsid w:val="00E44471"/>
    <w:rsid w:val="00E452DA"/>
    <w:rsid w:val="00E55A39"/>
    <w:rsid w:val="00E57089"/>
    <w:rsid w:val="00E5796D"/>
    <w:rsid w:val="00E57DA6"/>
    <w:rsid w:val="00E60AA7"/>
    <w:rsid w:val="00E611DB"/>
    <w:rsid w:val="00E62BEB"/>
    <w:rsid w:val="00E62D6B"/>
    <w:rsid w:val="00E635F4"/>
    <w:rsid w:val="00E64799"/>
    <w:rsid w:val="00E64A4E"/>
    <w:rsid w:val="00E66EA0"/>
    <w:rsid w:val="00E71E16"/>
    <w:rsid w:val="00E732C2"/>
    <w:rsid w:val="00E738C5"/>
    <w:rsid w:val="00E77071"/>
    <w:rsid w:val="00E8056E"/>
    <w:rsid w:val="00E8071B"/>
    <w:rsid w:val="00E809D6"/>
    <w:rsid w:val="00E80E33"/>
    <w:rsid w:val="00E84636"/>
    <w:rsid w:val="00E86745"/>
    <w:rsid w:val="00E87658"/>
    <w:rsid w:val="00E87AA4"/>
    <w:rsid w:val="00E87DDF"/>
    <w:rsid w:val="00E9139E"/>
    <w:rsid w:val="00E91A68"/>
    <w:rsid w:val="00E91DA0"/>
    <w:rsid w:val="00E956D0"/>
    <w:rsid w:val="00E97DD7"/>
    <w:rsid w:val="00EA02B2"/>
    <w:rsid w:val="00EA1C3E"/>
    <w:rsid w:val="00EA2F00"/>
    <w:rsid w:val="00EA3923"/>
    <w:rsid w:val="00EA5C84"/>
    <w:rsid w:val="00EA77E0"/>
    <w:rsid w:val="00EA7AD1"/>
    <w:rsid w:val="00EB39EA"/>
    <w:rsid w:val="00EB3BC0"/>
    <w:rsid w:val="00EB3FEE"/>
    <w:rsid w:val="00EB581D"/>
    <w:rsid w:val="00EB7E53"/>
    <w:rsid w:val="00EC1B90"/>
    <w:rsid w:val="00EC2330"/>
    <w:rsid w:val="00EC2825"/>
    <w:rsid w:val="00EC3354"/>
    <w:rsid w:val="00EC48D0"/>
    <w:rsid w:val="00EC536A"/>
    <w:rsid w:val="00EC5DE5"/>
    <w:rsid w:val="00EC6ADC"/>
    <w:rsid w:val="00ED0173"/>
    <w:rsid w:val="00ED0AAF"/>
    <w:rsid w:val="00ED23D2"/>
    <w:rsid w:val="00ED3954"/>
    <w:rsid w:val="00ED5294"/>
    <w:rsid w:val="00EE1BC6"/>
    <w:rsid w:val="00EE2B21"/>
    <w:rsid w:val="00EE33B7"/>
    <w:rsid w:val="00EE35E9"/>
    <w:rsid w:val="00EE3798"/>
    <w:rsid w:val="00EE442D"/>
    <w:rsid w:val="00EE4BDF"/>
    <w:rsid w:val="00EF1254"/>
    <w:rsid w:val="00EF335D"/>
    <w:rsid w:val="00EF5E06"/>
    <w:rsid w:val="00F02001"/>
    <w:rsid w:val="00F02469"/>
    <w:rsid w:val="00F03838"/>
    <w:rsid w:val="00F04361"/>
    <w:rsid w:val="00F04681"/>
    <w:rsid w:val="00F1003E"/>
    <w:rsid w:val="00F10F69"/>
    <w:rsid w:val="00F11708"/>
    <w:rsid w:val="00F126BE"/>
    <w:rsid w:val="00F12C6B"/>
    <w:rsid w:val="00F131B8"/>
    <w:rsid w:val="00F13BBC"/>
    <w:rsid w:val="00F145EC"/>
    <w:rsid w:val="00F15A47"/>
    <w:rsid w:val="00F210AE"/>
    <w:rsid w:val="00F21A25"/>
    <w:rsid w:val="00F222FA"/>
    <w:rsid w:val="00F23206"/>
    <w:rsid w:val="00F26127"/>
    <w:rsid w:val="00F264F8"/>
    <w:rsid w:val="00F26BA2"/>
    <w:rsid w:val="00F305AD"/>
    <w:rsid w:val="00F35688"/>
    <w:rsid w:val="00F36259"/>
    <w:rsid w:val="00F36332"/>
    <w:rsid w:val="00F3716C"/>
    <w:rsid w:val="00F37E89"/>
    <w:rsid w:val="00F43023"/>
    <w:rsid w:val="00F432C5"/>
    <w:rsid w:val="00F4741E"/>
    <w:rsid w:val="00F47A62"/>
    <w:rsid w:val="00F502CD"/>
    <w:rsid w:val="00F55686"/>
    <w:rsid w:val="00F557A0"/>
    <w:rsid w:val="00F576FF"/>
    <w:rsid w:val="00F615A4"/>
    <w:rsid w:val="00F61922"/>
    <w:rsid w:val="00F61966"/>
    <w:rsid w:val="00F62507"/>
    <w:rsid w:val="00F635AB"/>
    <w:rsid w:val="00F64966"/>
    <w:rsid w:val="00F664B9"/>
    <w:rsid w:val="00F66F6D"/>
    <w:rsid w:val="00F707FC"/>
    <w:rsid w:val="00F770E4"/>
    <w:rsid w:val="00F77AF8"/>
    <w:rsid w:val="00F81E9D"/>
    <w:rsid w:val="00F829B3"/>
    <w:rsid w:val="00F82C18"/>
    <w:rsid w:val="00F843D5"/>
    <w:rsid w:val="00F84864"/>
    <w:rsid w:val="00F84A16"/>
    <w:rsid w:val="00F84EC5"/>
    <w:rsid w:val="00F86251"/>
    <w:rsid w:val="00FA09F3"/>
    <w:rsid w:val="00FA1BCB"/>
    <w:rsid w:val="00FA2A20"/>
    <w:rsid w:val="00FA4061"/>
    <w:rsid w:val="00FA4D81"/>
    <w:rsid w:val="00FA5965"/>
    <w:rsid w:val="00FB47EF"/>
    <w:rsid w:val="00FB4F44"/>
    <w:rsid w:val="00FC7D9D"/>
    <w:rsid w:val="00FD0108"/>
    <w:rsid w:val="00FD307C"/>
    <w:rsid w:val="00FD4AA9"/>
    <w:rsid w:val="00FD5CC9"/>
    <w:rsid w:val="00FD71B1"/>
    <w:rsid w:val="00FE07AA"/>
    <w:rsid w:val="00FE1D74"/>
    <w:rsid w:val="00FE2696"/>
    <w:rsid w:val="00FE2D3F"/>
    <w:rsid w:val="00FE52D0"/>
    <w:rsid w:val="00FE71FC"/>
    <w:rsid w:val="00FE747D"/>
    <w:rsid w:val="00FF00F7"/>
    <w:rsid w:val="00FF03E6"/>
    <w:rsid w:val="00FF2013"/>
    <w:rsid w:val="00FF436F"/>
    <w:rsid w:val="00FF4D9C"/>
    <w:rsid w:val="00FF7873"/>
    <w:rsid w:val="01024E48"/>
    <w:rsid w:val="01065D86"/>
    <w:rsid w:val="0298595E"/>
    <w:rsid w:val="02D24B25"/>
    <w:rsid w:val="03465308"/>
    <w:rsid w:val="04F81D1A"/>
    <w:rsid w:val="05CC7CE4"/>
    <w:rsid w:val="0626793F"/>
    <w:rsid w:val="097F7E2F"/>
    <w:rsid w:val="0E094B7D"/>
    <w:rsid w:val="0EF202EB"/>
    <w:rsid w:val="0F083299"/>
    <w:rsid w:val="11C650EB"/>
    <w:rsid w:val="12C25C8D"/>
    <w:rsid w:val="14A27286"/>
    <w:rsid w:val="17794681"/>
    <w:rsid w:val="177A7468"/>
    <w:rsid w:val="18876818"/>
    <w:rsid w:val="19335AD1"/>
    <w:rsid w:val="19D202BD"/>
    <w:rsid w:val="1A2E72CB"/>
    <w:rsid w:val="1AE41D85"/>
    <w:rsid w:val="1BF82755"/>
    <w:rsid w:val="1CC07C47"/>
    <w:rsid w:val="1CCD4D8B"/>
    <w:rsid w:val="1D6848BB"/>
    <w:rsid w:val="1E9E0C2E"/>
    <w:rsid w:val="1EF511E6"/>
    <w:rsid w:val="22BE31F0"/>
    <w:rsid w:val="231C36C7"/>
    <w:rsid w:val="25B83031"/>
    <w:rsid w:val="261D63E7"/>
    <w:rsid w:val="28BA346E"/>
    <w:rsid w:val="29295153"/>
    <w:rsid w:val="299C14B6"/>
    <w:rsid w:val="2B615FFD"/>
    <w:rsid w:val="2ECA1F2B"/>
    <w:rsid w:val="2F0B2460"/>
    <w:rsid w:val="2F955E9A"/>
    <w:rsid w:val="31A527E5"/>
    <w:rsid w:val="32050D09"/>
    <w:rsid w:val="32AC792E"/>
    <w:rsid w:val="33967EEA"/>
    <w:rsid w:val="353E2419"/>
    <w:rsid w:val="35A979D4"/>
    <w:rsid w:val="364A1D55"/>
    <w:rsid w:val="36ED55C6"/>
    <w:rsid w:val="371A20A2"/>
    <w:rsid w:val="37732EEA"/>
    <w:rsid w:val="389D7E9A"/>
    <w:rsid w:val="390648BB"/>
    <w:rsid w:val="3CBA734B"/>
    <w:rsid w:val="3D5B1C2E"/>
    <w:rsid w:val="3F201E8C"/>
    <w:rsid w:val="3FA51E60"/>
    <w:rsid w:val="40AC7CFE"/>
    <w:rsid w:val="40DB20FC"/>
    <w:rsid w:val="43A54EEF"/>
    <w:rsid w:val="48505EB5"/>
    <w:rsid w:val="4A8A3837"/>
    <w:rsid w:val="4B345497"/>
    <w:rsid w:val="4B883747"/>
    <w:rsid w:val="4C647248"/>
    <w:rsid w:val="4CB6156C"/>
    <w:rsid w:val="4CEE703A"/>
    <w:rsid w:val="4D5459A7"/>
    <w:rsid w:val="4EC77329"/>
    <w:rsid w:val="512F1BA3"/>
    <w:rsid w:val="53993117"/>
    <w:rsid w:val="55A94B1D"/>
    <w:rsid w:val="568B2AC4"/>
    <w:rsid w:val="58901C98"/>
    <w:rsid w:val="59FC00F6"/>
    <w:rsid w:val="5CCB5A09"/>
    <w:rsid w:val="62447DA0"/>
    <w:rsid w:val="65A11991"/>
    <w:rsid w:val="670E6D75"/>
    <w:rsid w:val="6ACC5159"/>
    <w:rsid w:val="6DFC090C"/>
    <w:rsid w:val="70202849"/>
    <w:rsid w:val="70BE54A2"/>
    <w:rsid w:val="71C77763"/>
    <w:rsid w:val="747A0425"/>
    <w:rsid w:val="75052196"/>
    <w:rsid w:val="76C82521"/>
    <w:rsid w:val="774E372F"/>
    <w:rsid w:val="78C27940"/>
    <w:rsid w:val="7B032B7A"/>
    <w:rsid w:val="7DA05DCF"/>
    <w:rsid w:val="7F450EAA"/>
    <w:rsid w:val="7F4A628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nhideWhenUsed="0" w:uiPriority="99" w:semiHidden="0" w:name="heading 2" w:locked="1"/>
    <w:lsdException w:qFormat="1" w:unhideWhenUsed="0" w:uiPriority="9" w:semiHidden="0" w:name="heading 3" w:locked="1"/>
    <w:lsdException w:qFormat="1" w:unhideWhenUsed="0" w:uiPriority="0" w:semiHidden="0" w:name="heading 4" w:locked="1"/>
    <w:lsdException w:qFormat="1" w:unhideWhenUsed="0" w:uiPriority="9" w:semiHidden="0" w:name="heading 5" w:locked="1"/>
    <w:lsdException w:qFormat="1" w:unhideWhenUsed="0" w:uiPriority="9" w:semiHidden="0" w:name="heading 6" w:locked="1"/>
    <w:lsdException w:qFormat="1" w:unhideWhenUsed="0" w:uiPriority="9" w:semiHidden="0" w:name="heading 7" w:locked="1"/>
    <w:lsdException w:qFormat="1" w:unhideWhenUsed="0" w:uiPriority="9" w:semiHidden="0" w:name="heading 8" w:locked="1"/>
    <w:lsdException w:qFormat="1" w:unhideWhenUsed="0" w:uiPriority="9" w:semiHidden="0" w:name="heading 9" w:locked="1"/>
    <w:lsdException w:qFormat="1"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0" w:semiHidden="0" w:name="toc 4"/>
    <w:lsdException w:qFormat="1" w:uiPriority="0" w:semiHidden="0" w:name="toc 5"/>
    <w:lsdException w:qFormat="1" w:uiPriority="0" w:semiHidden="0" w:name="toc 6"/>
    <w:lsdException w:qFormat="1" w:uiPriority="0" w:semiHidden="0" w:name="toc 7"/>
    <w:lsdException w:qFormat="1" w:uiPriority="0" w:semiHidden="0" w:name="toc 8"/>
    <w:lsdException w:qFormat="1" w:uiPriority="0" w:semiHidden="0" w:name="toc 9"/>
    <w:lsdException w:qFormat="1" w:unhideWhenUsed="0" w:uiPriority="0" w:semiHidden="0" w:name="Normal Indent"/>
    <w:lsdException w:qFormat="1" w:uiPriority="99"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ocked="1"/>
    <w:lsdException w:qFormat="1" w:unhideWhenUsed="0" w:uiPriority="0" w:semiHidden="0"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qFormat="1" w:unhideWhenUsed="0" w:uiPriority="99" w:semiHidden="0"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iPriority="0" w:semiHidden="0" w:name="Date"/>
    <w:lsdException w:qFormat="1" w:uiPriority="0" w:semiHidden="0" w:name="Body Text First Indent"/>
    <w:lsdException w:qFormat="1" w:uiPriority="99"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qFormat="1" w:unhideWhenUsed="0" w:uiPriority="0" w:semiHidden="0" w:name="FollowedHyperlink"/>
    <w:lsdException w:qFormat="1" w:unhideWhenUsed="0" w:uiPriority="0" w:semiHidden="0" w:name="Strong" w:locked="1"/>
    <w:lsdException w:qFormat="1" w:unhideWhenUsed="0" w:uiPriority="0" w:semiHidden="0" w:name="Emphasis" w:locked="1"/>
    <w:lsdException w:qFormat="1"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0" w:name="Table Simple 1" w:locked="1"/>
    <w:lsdException w:uiPriority="0" w:name="Table Simple 2" w:locked="1"/>
    <w:lsdException w:uiPriority="0" w:name="Table Simple 3" w:locked="1"/>
    <w:lsdException w:uiPriority="0" w:name="Table Classic 1" w:locked="1"/>
    <w:lsdException w:uiPriority="0" w:name="Table Classic 2" w:locked="1"/>
    <w:lsdException w:uiPriority="0" w:name="Table Classic 3" w:locked="1"/>
    <w:lsdException w:uiPriority="0" w:name="Table Classic 4" w:locked="1"/>
    <w:lsdException w:uiPriority="0" w:name="Table Colorful 1" w:locked="1"/>
    <w:lsdException w:uiPriority="0" w:name="Table Colorful 2" w:locked="1"/>
    <w:lsdException w:uiPriority="0" w:name="Table Colorful 3" w:locked="1"/>
    <w:lsdException w:uiPriority="0" w:name="Table Columns 1" w:locked="1"/>
    <w:lsdException w:uiPriority="0" w:name="Table Columns 2" w:locked="1"/>
    <w:lsdException w:uiPriority="0" w:name="Table Columns 3" w:locked="1"/>
    <w:lsdException w:uiPriority="0" w:name="Table Columns 4" w:locked="1"/>
    <w:lsdException w:uiPriority="0" w:name="Table Columns 5" w:locked="1"/>
    <w:lsdException w:uiPriority="0" w:name="Table Grid 1" w:locked="1"/>
    <w:lsdException w:uiPriority="0" w:name="Table Grid 2" w:locked="1"/>
    <w:lsdException w:uiPriority="0" w:name="Table Grid 3" w:locked="1"/>
    <w:lsdException w:uiPriority="0" w:name="Table Grid 4" w:locked="1"/>
    <w:lsdException w:uiPriority="0" w:name="Table Grid 5" w:locked="1"/>
    <w:lsdException w:uiPriority="0" w:name="Table Grid 6" w:locked="1"/>
    <w:lsdException w:uiPriority="0" w:name="Table Grid 7" w:locked="1"/>
    <w:lsdException w:uiPriority="0" w:name="Table Grid 8" w:locked="1"/>
    <w:lsdException w:uiPriority="0" w:name="Table List 1" w:locked="1"/>
    <w:lsdException w:uiPriority="0" w:name="Table List 2" w:locked="1"/>
    <w:lsdException w:uiPriority="0" w:name="Table List 3" w:locked="1"/>
    <w:lsdException w:uiPriority="0" w:name="Table List 4" w:locked="1"/>
    <w:lsdException w:uiPriority="0" w:name="Table List 5" w:locked="1"/>
    <w:lsdException w:uiPriority="0" w:name="Table List 6" w:locked="1"/>
    <w:lsdException w:uiPriority="0" w:name="Table List 7" w:locked="1"/>
    <w:lsdException w:uiPriority="0" w:name="Table List 8" w:locked="1"/>
    <w:lsdException w:uiPriority="0" w:name="Table 3D effects 1" w:locked="1"/>
    <w:lsdException w:uiPriority="0" w:name="Table 3D effects 2" w:locked="1"/>
    <w:lsdException w:uiPriority="0" w:name="Table 3D effects 3" w:locked="1"/>
    <w:lsdException w:uiPriority="0" w:name="Table Contemporary" w:locked="1"/>
    <w:lsdException w:uiPriority="0" w:name="Table Elegant" w:locked="1"/>
    <w:lsdException w:uiPriority="0" w:name="Table Professional" w:locked="1"/>
    <w:lsdException w:uiPriority="0" w:name="Table Subtle 1" w:locked="1"/>
    <w:lsdException w:uiPriority="0" w:name="Table Subtle 2" w:locked="1"/>
    <w:lsdException w:uiPriority="0" w:name="Table Web 1" w:locked="1"/>
    <w:lsdException w:uiPriority="0" w:name="Table Web 2" w:locked="1"/>
    <w:lsdException w:uiPriority="0" w:name="Table Web 3" w:locked="1"/>
    <w:lsdException w:qFormat="1" w:uiPriority="0" w:semiHidden="0" w:name="Balloon Text"/>
    <w:lsdException w:qFormat="1" w:unhideWhenUsed="0" w:uiPriority="59" w:semiHidden="0" w:name="Table Grid"/>
    <w:lsdException w:uiPriority="0" w:name="Table Theme" w:locked="1"/>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60"/>
    <w:qFormat/>
    <w:locked/>
    <w:uiPriority w:val="9"/>
    <w:pPr>
      <w:keepNext/>
      <w:keepLines/>
      <w:spacing w:before="100" w:after="200"/>
      <w:jc w:val="left"/>
      <w:outlineLvl w:val="0"/>
    </w:pPr>
    <w:rPr>
      <w:rFonts w:ascii="Times New Roman" w:hAnsi="Times New Roman"/>
      <w:b/>
      <w:bCs/>
      <w:kern w:val="44"/>
      <w:sz w:val="44"/>
      <w:szCs w:val="44"/>
    </w:rPr>
  </w:style>
  <w:style w:type="paragraph" w:styleId="4">
    <w:name w:val="heading 2"/>
    <w:basedOn w:val="1"/>
    <w:next w:val="1"/>
    <w:link w:val="84"/>
    <w:qFormat/>
    <w:locked/>
    <w:uiPriority w:val="99"/>
    <w:pPr>
      <w:jc w:val="center"/>
      <w:outlineLvl w:val="1"/>
    </w:pPr>
    <w:rPr>
      <w:rFonts w:ascii="宋体" w:hAnsi="宋体"/>
      <w:b/>
      <w:kern w:val="0"/>
      <w:sz w:val="32"/>
      <w:szCs w:val="36"/>
      <w:lang w:eastAsia="en-US"/>
    </w:rPr>
  </w:style>
  <w:style w:type="paragraph" w:styleId="5">
    <w:name w:val="heading 3"/>
    <w:basedOn w:val="1"/>
    <w:next w:val="1"/>
    <w:link w:val="85"/>
    <w:autoRedefine/>
    <w:qFormat/>
    <w:locked/>
    <w:uiPriority w:val="9"/>
    <w:pPr>
      <w:jc w:val="center"/>
      <w:outlineLvl w:val="2"/>
    </w:pPr>
    <w:rPr>
      <w:rFonts w:ascii="宋体" w:hAnsi="宋体"/>
      <w:b/>
      <w:kern w:val="0"/>
      <w:sz w:val="32"/>
      <w:szCs w:val="32"/>
      <w:lang w:eastAsia="en-US"/>
    </w:rPr>
  </w:style>
  <w:style w:type="paragraph" w:styleId="6">
    <w:name w:val="heading 4"/>
    <w:basedOn w:val="1"/>
    <w:next w:val="1"/>
    <w:link w:val="58"/>
    <w:autoRedefine/>
    <w:qFormat/>
    <w:locked/>
    <w:uiPriority w:val="0"/>
    <w:pPr>
      <w:keepNext/>
      <w:keepLines/>
      <w:spacing w:before="280" w:after="290" w:line="376" w:lineRule="auto"/>
      <w:outlineLvl w:val="3"/>
    </w:pPr>
    <w:rPr>
      <w:rFonts w:ascii="Cambria" w:hAnsi="Cambria"/>
      <w:b/>
      <w:bCs/>
      <w:sz w:val="28"/>
      <w:szCs w:val="28"/>
    </w:rPr>
  </w:style>
  <w:style w:type="paragraph" w:styleId="7">
    <w:name w:val="heading 5"/>
    <w:basedOn w:val="1"/>
    <w:next w:val="1"/>
    <w:link w:val="86"/>
    <w:autoRedefine/>
    <w:qFormat/>
    <w:locked/>
    <w:uiPriority w:val="9"/>
    <w:pPr>
      <w:keepNext/>
      <w:keepLines/>
      <w:spacing w:before="280" w:after="290" w:line="376" w:lineRule="auto"/>
      <w:outlineLvl w:val="4"/>
    </w:pPr>
    <w:rPr>
      <w:b/>
      <w:bCs/>
      <w:sz w:val="28"/>
      <w:szCs w:val="28"/>
    </w:rPr>
  </w:style>
  <w:style w:type="paragraph" w:styleId="8">
    <w:name w:val="heading 6"/>
    <w:basedOn w:val="1"/>
    <w:next w:val="1"/>
    <w:link w:val="62"/>
    <w:qFormat/>
    <w:locked/>
    <w:uiPriority w:val="9"/>
    <w:pPr>
      <w:keepNext/>
      <w:keepLines/>
      <w:spacing w:before="240" w:after="64" w:line="320" w:lineRule="auto"/>
      <w:outlineLvl w:val="5"/>
    </w:pPr>
    <w:rPr>
      <w:rFonts w:ascii="Cambria" w:hAnsi="Cambria"/>
      <w:b/>
      <w:bCs/>
      <w:sz w:val="24"/>
    </w:rPr>
  </w:style>
  <w:style w:type="paragraph" w:styleId="9">
    <w:name w:val="heading 7"/>
    <w:basedOn w:val="1"/>
    <w:next w:val="1"/>
    <w:link w:val="87"/>
    <w:autoRedefine/>
    <w:qFormat/>
    <w:locked/>
    <w:uiPriority w:val="9"/>
    <w:pPr>
      <w:keepNext/>
      <w:keepLines/>
      <w:tabs>
        <w:tab w:val="left" w:pos="1296"/>
        <w:tab w:val="left" w:pos="2940"/>
      </w:tabs>
      <w:spacing w:before="240" w:after="64" w:line="320" w:lineRule="auto"/>
      <w:ind w:left="2940" w:hanging="420"/>
      <w:outlineLvl w:val="6"/>
    </w:pPr>
    <w:rPr>
      <w:b/>
      <w:bCs/>
    </w:rPr>
  </w:style>
  <w:style w:type="paragraph" w:styleId="10">
    <w:name w:val="heading 8"/>
    <w:basedOn w:val="1"/>
    <w:next w:val="1"/>
    <w:link w:val="223"/>
    <w:autoRedefine/>
    <w:qFormat/>
    <w:locked/>
    <w:uiPriority w:val="9"/>
    <w:pPr>
      <w:widowControl/>
      <w:tabs>
        <w:tab w:val="left" w:pos="360"/>
      </w:tabs>
      <w:spacing w:line="360" w:lineRule="auto"/>
      <w:jc w:val="left"/>
      <w:outlineLvl w:val="7"/>
    </w:pPr>
    <w:rPr>
      <w:rFonts w:ascii="Cambria" w:hAnsi="Cambria"/>
      <w:b/>
      <w:bCs/>
      <w:color w:val="7F7F7F"/>
      <w:kern w:val="0"/>
      <w:sz w:val="20"/>
      <w:szCs w:val="20"/>
    </w:rPr>
  </w:style>
  <w:style w:type="paragraph" w:styleId="11">
    <w:name w:val="heading 9"/>
    <w:basedOn w:val="1"/>
    <w:next w:val="1"/>
    <w:link w:val="224"/>
    <w:autoRedefine/>
    <w:qFormat/>
    <w:locked/>
    <w:uiPriority w:val="9"/>
    <w:pPr>
      <w:widowControl/>
      <w:tabs>
        <w:tab w:val="left" w:pos="360"/>
      </w:tabs>
      <w:spacing w:line="271" w:lineRule="auto"/>
      <w:jc w:val="left"/>
      <w:outlineLvl w:val="8"/>
    </w:pPr>
    <w:rPr>
      <w:rFonts w:ascii="Cambria" w:hAnsi="Cambria"/>
      <w:b/>
      <w:bCs/>
      <w:i/>
      <w:iCs/>
      <w:color w:val="7F7F7F"/>
      <w:kern w:val="0"/>
      <w:sz w:val="18"/>
      <w:szCs w:val="18"/>
    </w:rPr>
  </w:style>
  <w:style w:type="character" w:default="1" w:styleId="49">
    <w:name w:val="Default Paragraph Font"/>
    <w:semiHidden/>
    <w:unhideWhenUsed/>
    <w:qFormat/>
    <w:uiPriority w:val="1"/>
  </w:style>
  <w:style w:type="table" w:default="1" w:styleId="47">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link w:val="225"/>
    <w:autoRedefine/>
    <w:qFormat/>
    <w:uiPriority w:val="0"/>
    <w:pPr>
      <w:spacing w:line="360" w:lineRule="auto"/>
      <w:ind w:firstLine="420" w:firstLineChars="200"/>
    </w:pPr>
    <w:rPr>
      <w:rFonts w:ascii="Times New Roman" w:hAnsi="Times New Roman"/>
      <w:szCs w:val="20"/>
    </w:rPr>
  </w:style>
  <w:style w:type="paragraph" w:styleId="12">
    <w:name w:val="toc 7"/>
    <w:basedOn w:val="1"/>
    <w:next w:val="1"/>
    <w:autoRedefine/>
    <w:unhideWhenUsed/>
    <w:qFormat/>
    <w:uiPriority w:val="0"/>
    <w:pPr>
      <w:ind w:left="1260"/>
      <w:jc w:val="left"/>
    </w:pPr>
    <w:rPr>
      <w:sz w:val="18"/>
      <w:szCs w:val="18"/>
    </w:rPr>
  </w:style>
  <w:style w:type="paragraph" w:styleId="13">
    <w:name w:val="caption"/>
    <w:basedOn w:val="1"/>
    <w:next w:val="1"/>
    <w:autoRedefine/>
    <w:qFormat/>
    <w:locked/>
    <w:uiPriority w:val="0"/>
    <w:rPr>
      <w:rFonts w:ascii="Cambria" w:hAnsi="Cambria" w:eastAsia="黑体"/>
      <w:sz w:val="20"/>
      <w:szCs w:val="20"/>
    </w:rPr>
  </w:style>
  <w:style w:type="paragraph" w:styleId="14">
    <w:name w:val="Document Map"/>
    <w:basedOn w:val="1"/>
    <w:link w:val="88"/>
    <w:autoRedefine/>
    <w:unhideWhenUsed/>
    <w:qFormat/>
    <w:uiPriority w:val="0"/>
    <w:rPr>
      <w:rFonts w:ascii="宋体"/>
      <w:kern w:val="0"/>
      <w:sz w:val="18"/>
      <w:szCs w:val="18"/>
    </w:rPr>
  </w:style>
  <w:style w:type="paragraph" w:styleId="15">
    <w:name w:val="annotation text"/>
    <w:basedOn w:val="1"/>
    <w:link w:val="89"/>
    <w:qFormat/>
    <w:uiPriority w:val="0"/>
    <w:pPr>
      <w:jc w:val="left"/>
    </w:pPr>
    <w:rPr>
      <w:kern w:val="0"/>
      <w:sz w:val="20"/>
      <w:szCs w:val="20"/>
    </w:rPr>
  </w:style>
  <w:style w:type="paragraph" w:styleId="16">
    <w:name w:val="Body Text 3"/>
    <w:basedOn w:val="1"/>
    <w:link w:val="90"/>
    <w:autoRedefine/>
    <w:qFormat/>
    <w:uiPriority w:val="0"/>
    <w:pPr>
      <w:spacing w:after="120"/>
    </w:pPr>
    <w:rPr>
      <w:kern w:val="0"/>
      <w:sz w:val="16"/>
      <w:szCs w:val="16"/>
    </w:rPr>
  </w:style>
  <w:style w:type="paragraph" w:styleId="17">
    <w:name w:val="Body Text"/>
    <w:basedOn w:val="1"/>
    <w:link w:val="91"/>
    <w:autoRedefine/>
    <w:unhideWhenUsed/>
    <w:qFormat/>
    <w:uiPriority w:val="0"/>
    <w:pPr>
      <w:spacing w:after="120"/>
    </w:pPr>
  </w:style>
  <w:style w:type="paragraph" w:styleId="18">
    <w:name w:val="Body Text Indent"/>
    <w:basedOn w:val="1"/>
    <w:link w:val="226"/>
    <w:autoRedefine/>
    <w:qFormat/>
    <w:uiPriority w:val="0"/>
    <w:pPr>
      <w:spacing w:after="120" w:line="360" w:lineRule="auto"/>
      <w:ind w:left="420" w:leftChars="200" w:firstLine="425"/>
    </w:pPr>
    <w:rPr>
      <w:rFonts w:ascii="Times New Roman" w:hAnsi="Times New Roman"/>
      <w:szCs w:val="20"/>
    </w:rPr>
  </w:style>
  <w:style w:type="paragraph" w:styleId="19">
    <w:name w:val="toc 5"/>
    <w:basedOn w:val="1"/>
    <w:next w:val="1"/>
    <w:autoRedefine/>
    <w:unhideWhenUsed/>
    <w:qFormat/>
    <w:uiPriority w:val="0"/>
    <w:pPr>
      <w:ind w:left="840"/>
      <w:jc w:val="left"/>
    </w:pPr>
    <w:rPr>
      <w:sz w:val="18"/>
      <w:szCs w:val="18"/>
    </w:rPr>
  </w:style>
  <w:style w:type="paragraph" w:styleId="20">
    <w:name w:val="toc 3"/>
    <w:basedOn w:val="1"/>
    <w:next w:val="1"/>
    <w:unhideWhenUsed/>
    <w:qFormat/>
    <w:uiPriority w:val="39"/>
    <w:pPr>
      <w:ind w:left="420"/>
      <w:jc w:val="left"/>
    </w:pPr>
    <w:rPr>
      <w:i/>
      <w:iCs/>
      <w:sz w:val="20"/>
      <w:szCs w:val="20"/>
    </w:rPr>
  </w:style>
  <w:style w:type="paragraph" w:styleId="21">
    <w:name w:val="Plain Text"/>
    <w:basedOn w:val="1"/>
    <w:link w:val="92"/>
    <w:autoRedefine/>
    <w:qFormat/>
    <w:uiPriority w:val="0"/>
    <w:rPr>
      <w:rFonts w:ascii="宋体" w:hAnsi="Courier New" w:cs="Courier New"/>
      <w:szCs w:val="21"/>
    </w:rPr>
  </w:style>
  <w:style w:type="paragraph" w:styleId="22">
    <w:name w:val="toc 8"/>
    <w:basedOn w:val="1"/>
    <w:next w:val="1"/>
    <w:autoRedefine/>
    <w:unhideWhenUsed/>
    <w:qFormat/>
    <w:uiPriority w:val="0"/>
    <w:pPr>
      <w:ind w:left="1470"/>
      <w:jc w:val="left"/>
    </w:pPr>
    <w:rPr>
      <w:sz w:val="18"/>
      <w:szCs w:val="18"/>
    </w:rPr>
  </w:style>
  <w:style w:type="paragraph" w:styleId="23">
    <w:name w:val="Date"/>
    <w:basedOn w:val="1"/>
    <w:next w:val="1"/>
    <w:link w:val="93"/>
    <w:autoRedefine/>
    <w:unhideWhenUsed/>
    <w:qFormat/>
    <w:uiPriority w:val="0"/>
    <w:pPr>
      <w:ind w:left="100" w:leftChars="2500"/>
    </w:pPr>
  </w:style>
  <w:style w:type="paragraph" w:styleId="24">
    <w:name w:val="Body Text Indent 2"/>
    <w:basedOn w:val="1"/>
    <w:link w:val="94"/>
    <w:autoRedefine/>
    <w:qFormat/>
    <w:uiPriority w:val="0"/>
    <w:pPr>
      <w:spacing w:after="120" w:line="480" w:lineRule="auto"/>
      <w:ind w:left="420" w:leftChars="200" w:firstLine="425"/>
    </w:pPr>
    <w:rPr>
      <w:rFonts w:ascii="Times New Roman" w:hAnsi="Times New Roman"/>
      <w:szCs w:val="20"/>
    </w:rPr>
  </w:style>
  <w:style w:type="paragraph" w:styleId="25">
    <w:name w:val="endnote text"/>
    <w:basedOn w:val="1"/>
    <w:link w:val="227"/>
    <w:autoRedefine/>
    <w:qFormat/>
    <w:uiPriority w:val="99"/>
    <w:pPr>
      <w:snapToGrid w:val="0"/>
      <w:spacing w:line="360" w:lineRule="auto"/>
      <w:ind w:firstLine="425"/>
      <w:jc w:val="left"/>
    </w:pPr>
    <w:rPr>
      <w:rFonts w:ascii="宋体" w:hAnsi="宋体"/>
      <w:kern w:val="0"/>
      <w:sz w:val="28"/>
      <w:szCs w:val="20"/>
    </w:rPr>
  </w:style>
  <w:style w:type="paragraph" w:styleId="26">
    <w:name w:val="Balloon Text"/>
    <w:basedOn w:val="1"/>
    <w:link w:val="61"/>
    <w:autoRedefine/>
    <w:unhideWhenUsed/>
    <w:qFormat/>
    <w:uiPriority w:val="0"/>
    <w:rPr>
      <w:sz w:val="18"/>
      <w:szCs w:val="18"/>
    </w:rPr>
  </w:style>
  <w:style w:type="paragraph" w:styleId="27">
    <w:name w:val="footer"/>
    <w:basedOn w:val="1"/>
    <w:link w:val="63"/>
    <w:autoRedefine/>
    <w:qFormat/>
    <w:uiPriority w:val="0"/>
    <w:pPr>
      <w:tabs>
        <w:tab w:val="center" w:pos="4153"/>
        <w:tab w:val="right" w:pos="8306"/>
      </w:tabs>
      <w:snapToGrid w:val="0"/>
      <w:jc w:val="left"/>
    </w:pPr>
    <w:rPr>
      <w:kern w:val="0"/>
      <w:sz w:val="18"/>
      <w:szCs w:val="18"/>
    </w:rPr>
  </w:style>
  <w:style w:type="paragraph" w:styleId="28">
    <w:name w:val="header"/>
    <w:basedOn w:val="1"/>
    <w:link w:val="64"/>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kern w:val="0"/>
      <w:sz w:val="18"/>
      <w:szCs w:val="18"/>
    </w:rPr>
  </w:style>
  <w:style w:type="paragraph" w:styleId="29">
    <w:name w:val="toc 1"/>
    <w:basedOn w:val="1"/>
    <w:next w:val="1"/>
    <w:autoRedefine/>
    <w:unhideWhenUsed/>
    <w:qFormat/>
    <w:uiPriority w:val="39"/>
    <w:pPr>
      <w:spacing w:before="120" w:after="120"/>
      <w:jc w:val="left"/>
    </w:pPr>
    <w:rPr>
      <w:b/>
      <w:bCs/>
      <w:caps/>
      <w:sz w:val="20"/>
      <w:szCs w:val="20"/>
    </w:rPr>
  </w:style>
  <w:style w:type="paragraph" w:styleId="30">
    <w:name w:val="toc 4"/>
    <w:basedOn w:val="1"/>
    <w:next w:val="1"/>
    <w:autoRedefine/>
    <w:unhideWhenUsed/>
    <w:qFormat/>
    <w:uiPriority w:val="0"/>
    <w:pPr>
      <w:ind w:left="630"/>
      <w:jc w:val="left"/>
    </w:pPr>
    <w:rPr>
      <w:sz w:val="18"/>
      <w:szCs w:val="18"/>
    </w:rPr>
  </w:style>
  <w:style w:type="paragraph" w:styleId="31">
    <w:name w:val="index heading"/>
    <w:basedOn w:val="1"/>
    <w:next w:val="32"/>
    <w:autoRedefine/>
    <w:qFormat/>
    <w:uiPriority w:val="0"/>
    <w:rPr>
      <w:rFonts w:ascii="Times New Roman" w:hAnsi="Times New Roman"/>
      <w:szCs w:val="20"/>
    </w:rPr>
  </w:style>
  <w:style w:type="paragraph" w:styleId="32">
    <w:name w:val="index 1"/>
    <w:basedOn w:val="1"/>
    <w:next w:val="1"/>
    <w:autoRedefine/>
    <w:unhideWhenUsed/>
    <w:qFormat/>
    <w:uiPriority w:val="0"/>
  </w:style>
  <w:style w:type="paragraph" w:styleId="33">
    <w:name w:val="Subtitle"/>
    <w:basedOn w:val="1"/>
    <w:next w:val="1"/>
    <w:link w:val="228"/>
    <w:autoRedefine/>
    <w:qFormat/>
    <w:locked/>
    <w:uiPriority w:val="0"/>
    <w:pPr>
      <w:spacing w:before="240" w:after="60" w:line="312" w:lineRule="auto"/>
      <w:jc w:val="center"/>
      <w:outlineLvl w:val="1"/>
    </w:pPr>
    <w:rPr>
      <w:rFonts w:ascii="Cambria" w:hAnsi="Cambria"/>
      <w:b/>
      <w:bCs/>
      <w:kern w:val="28"/>
      <w:sz w:val="32"/>
      <w:szCs w:val="32"/>
    </w:rPr>
  </w:style>
  <w:style w:type="paragraph" w:styleId="34">
    <w:name w:val="List"/>
    <w:basedOn w:val="1"/>
    <w:autoRedefine/>
    <w:qFormat/>
    <w:uiPriority w:val="0"/>
    <w:pPr>
      <w:ind w:left="200" w:hanging="200" w:hangingChars="200"/>
      <w:contextualSpacing/>
    </w:pPr>
    <w:rPr>
      <w:szCs w:val="22"/>
    </w:rPr>
  </w:style>
  <w:style w:type="paragraph" w:styleId="35">
    <w:name w:val="footnote text"/>
    <w:basedOn w:val="1"/>
    <w:link w:val="56"/>
    <w:autoRedefine/>
    <w:unhideWhenUsed/>
    <w:qFormat/>
    <w:uiPriority w:val="99"/>
    <w:pPr>
      <w:widowControl/>
      <w:jc w:val="left"/>
    </w:pPr>
    <w:rPr>
      <w:kern w:val="0"/>
      <w:sz w:val="20"/>
      <w:szCs w:val="20"/>
    </w:rPr>
  </w:style>
  <w:style w:type="paragraph" w:styleId="36">
    <w:name w:val="toc 6"/>
    <w:basedOn w:val="1"/>
    <w:next w:val="1"/>
    <w:autoRedefine/>
    <w:unhideWhenUsed/>
    <w:qFormat/>
    <w:uiPriority w:val="0"/>
    <w:pPr>
      <w:ind w:left="1050"/>
      <w:jc w:val="left"/>
    </w:pPr>
    <w:rPr>
      <w:sz w:val="18"/>
      <w:szCs w:val="18"/>
    </w:rPr>
  </w:style>
  <w:style w:type="paragraph" w:styleId="37">
    <w:name w:val="Body Text Indent 3"/>
    <w:basedOn w:val="1"/>
    <w:link w:val="95"/>
    <w:qFormat/>
    <w:uiPriority w:val="0"/>
    <w:pPr>
      <w:spacing w:after="120"/>
      <w:ind w:left="200" w:leftChars="200"/>
    </w:pPr>
    <w:rPr>
      <w:rFonts w:ascii="Times New Roman" w:hAnsi="Times New Roman"/>
      <w:sz w:val="16"/>
      <w:szCs w:val="16"/>
    </w:rPr>
  </w:style>
  <w:style w:type="paragraph" w:styleId="38">
    <w:name w:val="table of figures"/>
    <w:basedOn w:val="1"/>
    <w:next w:val="1"/>
    <w:autoRedefine/>
    <w:qFormat/>
    <w:uiPriority w:val="0"/>
    <w:pPr>
      <w:ind w:left="200" w:leftChars="200" w:hanging="200" w:hangingChars="200"/>
    </w:pPr>
    <w:rPr>
      <w:szCs w:val="22"/>
    </w:rPr>
  </w:style>
  <w:style w:type="paragraph" w:styleId="39">
    <w:name w:val="toc 2"/>
    <w:basedOn w:val="1"/>
    <w:next w:val="1"/>
    <w:autoRedefine/>
    <w:unhideWhenUsed/>
    <w:qFormat/>
    <w:uiPriority w:val="39"/>
    <w:pPr>
      <w:ind w:left="210"/>
      <w:jc w:val="left"/>
    </w:pPr>
    <w:rPr>
      <w:smallCaps/>
      <w:sz w:val="20"/>
      <w:szCs w:val="20"/>
    </w:rPr>
  </w:style>
  <w:style w:type="paragraph" w:styleId="40">
    <w:name w:val="toc 9"/>
    <w:basedOn w:val="1"/>
    <w:next w:val="1"/>
    <w:autoRedefine/>
    <w:unhideWhenUsed/>
    <w:qFormat/>
    <w:uiPriority w:val="0"/>
    <w:pPr>
      <w:ind w:left="1680"/>
      <w:jc w:val="left"/>
    </w:pPr>
    <w:rPr>
      <w:sz w:val="18"/>
      <w:szCs w:val="18"/>
    </w:rPr>
  </w:style>
  <w:style w:type="paragraph" w:styleId="41">
    <w:name w:val="Body Text 2"/>
    <w:basedOn w:val="1"/>
    <w:link w:val="229"/>
    <w:autoRedefine/>
    <w:qFormat/>
    <w:uiPriority w:val="0"/>
    <w:pPr>
      <w:adjustRightInd w:val="0"/>
      <w:snapToGrid w:val="0"/>
      <w:spacing w:before="240"/>
      <w:ind w:right="210" w:rightChars="100"/>
    </w:pPr>
    <w:rPr>
      <w:rFonts w:ascii="宋体" w:hAnsi="宋体"/>
      <w:bCs/>
    </w:rPr>
  </w:style>
  <w:style w:type="paragraph" w:styleId="42">
    <w:name w:val="Normal (Web)"/>
    <w:basedOn w:val="1"/>
    <w:autoRedefine/>
    <w:qFormat/>
    <w:uiPriority w:val="0"/>
    <w:pPr>
      <w:widowControl/>
      <w:spacing w:before="100" w:beforeAutospacing="1" w:after="100" w:afterAutospacing="1"/>
      <w:jc w:val="left"/>
    </w:pPr>
    <w:rPr>
      <w:rFonts w:ascii="宋体" w:hAnsi="宋体"/>
      <w:color w:val="000000"/>
      <w:kern w:val="0"/>
      <w:sz w:val="24"/>
    </w:rPr>
  </w:style>
  <w:style w:type="paragraph" w:styleId="43">
    <w:name w:val="Title"/>
    <w:basedOn w:val="1"/>
    <w:next w:val="1"/>
    <w:link w:val="96"/>
    <w:autoRedefine/>
    <w:qFormat/>
    <w:locked/>
    <w:uiPriority w:val="0"/>
    <w:pPr>
      <w:jc w:val="center"/>
    </w:pPr>
    <w:rPr>
      <w:rFonts w:ascii="宋体"/>
      <w:b/>
      <w:snapToGrid w:val="0"/>
      <w:kern w:val="0"/>
      <w:sz w:val="36"/>
      <w:szCs w:val="20"/>
    </w:rPr>
  </w:style>
  <w:style w:type="paragraph" w:styleId="44">
    <w:name w:val="annotation subject"/>
    <w:basedOn w:val="15"/>
    <w:next w:val="15"/>
    <w:link w:val="65"/>
    <w:autoRedefine/>
    <w:qFormat/>
    <w:uiPriority w:val="0"/>
    <w:rPr>
      <w:b/>
      <w:bCs/>
      <w:kern w:val="2"/>
      <w:sz w:val="21"/>
      <w:szCs w:val="22"/>
    </w:rPr>
  </w:style>
  <w:style w:type="paragraph" w:styleId="45">
    <w:name w:val="Body Text First Indent"/>
    <w:basedOn w:val="17"/>
    <w:link w:val="97"/>
    <w:autoRedefine/>
    <w:unhideWhenUsed/>
    <w:qFormat/>
    <w:uiPriority w:val="0"/>
    <w:pPr>
      <w:ind w:firstLine="420" w:firstLineChars="100"/>
    </w:pPr>
  </w:style>
  <w:style w:type="paragraph" w:styleId="46">
    <w:name w:val="Body Text First Indent 2"/>
    <w:basedOn w:val="18"/>
    <w:link w:val="230"/>
    <w:autoRedefine/>
    <w:unhideWhenUsed/>
    <w:qFormat/>
    <w:uiPriority w:val="99"/>
    <w:pPr>
      <w:ind w:firstLine="420" w:firstLineChars="200"/>
    </w:pPr>
  </w:style>
  <w:style w:type="table" w:styleId="48">
    <w:name w:val="Table Grid"/>
    <w:basedOn w:val="47"/>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0">
    <w:name w:val="Strong"/>
    <w:autoRedefine/>
    <w:qFormat/>
    <w:locked/>
    <w:uiPriority w:val="0"/>
    <w:rPr>
      <w:rFonts w:ascii="Tahoma" w:hAnsi="Tahoma" w:eastAsia="宋体"/>
      <w:b/>
      <w:bCs/>
      <w:spacing w:val="10"/>
      <w:sz w:val="24"/>
      <w:lang w:val="en-US" w:eastAsia="zh-CN" w:bidi="ar-SA"/>
    </w:rPr>
  </w:style>
  <w:style w:type="character" w:styleId="51">
    <w:name w:val="page number"/>
    <w:autoRedefine/>
    <w:qFormat/>
    <w:uiPriority w:val="0"/>
    <w:rPr>
      <w:rFonts w:cs="Times New Roman"/>
    </w:rPr>
  </w:style>
  <w:style w:type="character" w:styleId="52">
    <w:name w:val="FollowedHyperlink"/>
    <w:autoRedefine/>
    <w:qFormat/>
    <w:uiPriority w:val="0"/>
    <w:rPr>
      <w:color w:val="800080"/>
      <w:u w:val="single"/>
    </w:rPr>
  </w:style>
  <w:style w:type="character" w:styleId="53">
    <w:name w:val="Emphasis"/>
    <w:autoRedefine/>
    <w:qFormat/>
    <w:locked/>
    <w:uiPriority w:val="0"/>
    <w:rPr>
      <w:i/>
      <w:iCs/>
    </w:rPr>
  </w:style>
  <w:style w:type="character" w:styleId="54">
    <w:name w:val="Hyperlink"/>
    <w:autoRedefine/>
    <w:unhideWhenUsed/>
    <w:qFormat/>
    <w:uiPriority w:val="99"/>
    <w:rPr>
      <w:color w:val="0000FF"/>
      <w:u w:val="single"/>
    </w:rPr>
  </w:style>
  <w:style w:type="character" w:styleId="55">
    <w:name w:val="annotation reference"/>
    <w:autoRedefine/>
    <w:qFormat/>
    <w:uiPriority w:val="99"/>
    <w:rPr>
      <w:sz w:val="21"/>
      <w:szCs w:val="21"/>
    </w:rPr>
  </w:style>
  <w:style w:type="character" w:customStyle="1" w:styleId="56">
    <w:name w:val="脚注文本 字符2"/>
    <w:link w:val="35"/>
    <w:autoRedefine/>
    <w:qFormat/>
    <w:uiPriority w:val="99"/>
  </w:style>
  <w:style w:type="character" w:customStyle="1" w:styleId="57">
    <w:name w:val="文档结构图 Char1"/>
    <w:autoRedefine/>
    <w:semiHidden/>
    <w:qFormat/>
    <w:uiPriority w:val="99"/>
    <w:rPr>
      <w:rFonts w:ascii="宋体"/>
      <w:kern w:val="2"/>
      <w:sz w:val="18"/>
      <w:szCs w:val="18"/>
    </w:rPr>
  </w:style>
  <w:style w:type="character" w:customStyle="1" w:styleId="58">
    <w:name w:val="标题 4 字符2"/>
    <w:link w:val="6"/>
    <w:autoRedefine/>
    <w:qFormat/>
    <w:uiPriority w:val="0"/>
    <w:rPr>
      <w:rFonts w:ascii="Cambria" w:hAnsi="Cambria"/>
      <w:b/>
      <w:bCs/>
      <w:kern w:val="2"/>
      <w:sz w:val="28"/>
      <w:szCs w:val="28"/>
    </w:rPr>
  </w:style>
  <w:style w:type="character" w:customStyle="1" w:styleId="59">
    <w:name w:val="标题 3 Char Char Char Char Char Char Char Char Char Char Char Char Char Char Char Char Char Char Char Char Char Char Char Char Char Char Char Char Char Char Char Char Char Char Char Char Char Char Char Char Char Char Char Char Char Char Char Char Cha Char"/>
    <w:autoRedefine/>
    <w:qFormat/>
    <w:uiPriority w:val="0"/>
    <w:rPr>
      <w:rFonts w:eastAsia="宋体"/>
      <w:b/>
      <w:bCs/>
      <w:kern w:val="2"/>
      <w:sz w:val="32"/>
      <w:szCs w:val="32"/>
      <w:lang w:val="en-US" w:eastAsia="zh-CN" w:bidi="ar-SA"/>
    </w:rPr>
  </w:style>
  <w:style w:type="character" w:customStyle="1" w:styleId="60">
    <w:name w:val="标题 1 字符2"/>
    <w:link w:val="3"/>
    <w:autoRedefine/>
    <w:qFormat/>
    <w:uiPriority w:val="0"/>
    <w:rPr>
      <w:rFonts w:ascii="Times New Roman" w:hAnsi="Times New Roman" w:eastAsia="宋体"/>
      <w:b/>
      <w:bCs/>
      <w:kern w:val="44"/>
      <w:sz w:val="44"/>
      <w:szCs w:val="44"/>
    </w:rPr>
  </w:style>
  <w:style w:type="character" w:customStyle="1" w:styleId="61">
    <w:name w:val="批注框文本 字符2"/>
    <w:link w:val="26"/>
    <w:autoRedefine/>
    <w:qFormat/>
    <w:uiPriority w:val="0"/>
    <w:rPr>
      <w:kern w:val="2"/>
      <w:sz w:val="18"/>
      <w:szCs w:val="18"/>
    </w:rPr>
  </w:style>
  <w:style w:type="character" w:customStyle="1" w:styleId="62">
    <w:name w:val="标题 6 字符2"/>
    <w:link w:val="8"/>
    <w:autoRedefine/>
    <w:qFormat/>
    <w:uiPriority w:val="0"/>
    <w:rPr>
      <w:rFonts w:ascii="Cambria" w:hAnsi="Cambria" w:eastAsia="宋体" w:cs="Times New Roman"/>
      <w:b/>
      <w:bCs/>
      <w:kern w:val="2"/>
      <w:sz w:val="24"/>
      <w:szCs w:val="24"/>
    </w:rPr>
  </w:style>
  <w:style w:type="character" w:customStyle="1" w:styleId="63">
    <w:name w:val="页脚 字符2"/>
    <w:link w:val="27"/>
    <w:autoRedefine/>
    <w:qFormat/>
    <w:uiPriority w:val="0"/>
    <w:rPr>
      <w:sz w:val="18"/>
      <w:szCs w:val="18"/>
    </w:rPr>
  </w:style>
  <w:style w:type="character" w:customStyle="1" w:styleId="64">
    <w:name w:val="页眉 字符2"/>
    <w:link w:val="28"/>
    <w:autoRedefine/>
    <w:qFormat/>
    <w:uiPriority w:val="0"/>
    <w:rPr>
      <w:sz w:val="18"/>
      <w:szCs w:val="18"/>
    </w:rPr>
  </w:style>
  <w:style w:type="character" w:customStyle="1" w:styleId="65">
    <w:name w:val="批注主题 字符2"/>
    <w:link w:val="44"/>
    <w:autoRedefine/>
    <w:qFormat/>
    <w:uiPriority w:val="0"/>
    <w:rPr>
      <w:rFonts w:ascii="Calibri" w:hAnsi="Calibri" w:cs="黑体"/>
      <w:b/>
      <w:bCs/>
      <w:kern w:val="2"/>
      <w:sz w:val="21"/>
      <w:szCs w:val="22"/>
    </w:rPr>
  </w:style>
  <w:style w:type="character" w:customStyle="1" w:styleId="66">
    <w:name w:val="批注框文本 字符"/>
    <w:autoRedefine/>
    <w:semiHidden/>
    <w:qFormat/>
    <w:uiPriority w:val="99"/>
    <w:rPr>
      <w:sz w:val="18"/>
      <w:szCs w:val="18"/>
    </w:rPr>
  </w:style>
  <w:style w:type="character" w:customStyle="1" w:styleId="67">
    <w:name w:val="正文文本缩进 3 字符1"/>
    <w:autoRedefine/>
    <w:qFormat/>
    <w:uiPriority w:val="0"/>
    <w:rPr>
      <w:rFonts w:ascii="Times New Roman" w:hAnsi="Times New Roman" w:eastAsia="宋体" w:cs="Times New Roman"/>
      <w:sz w:val="16"/>
      <w:szCs w:val="16"/>
    </w:rPr>
  </w:style>
  <w:style w:type="character" w:customStyle="1" w:styleId="68">
    <w:name w:val="标题 2 字符1"/>
    <w:autoRedefine/>
    <w:qFormat/>
    <w:uiPriority w:val="0"/>
    <w:rPr>
      <w:rFonts w:ascii="宋体" w:hAnsi="宋体" w:eastAsia="宋体" w:cs="Times New Roman"/>
      <w:b/>
      <w:kern w:val="0"/>
      <w:sz w:val="32"/>
      <w:szCs w:val="36"/>
      <w:lang w:eastAsia="en-US"/>
    </w:rPr>
  </w:style>
  <w:style w:type="character" w:customStyle="1" w:styleId="69">
    <w:name w:val="fontstyle21"/>
    <w:autoRedefine/>
    <w:qFormat/>
    <w:uiPriority w:val="0"/>
    <w:rPr>
      <w:rFonts w:hint="default" w:ascii="Times New Roman" w:hAnsi="Times New Roman" w:cs="Times New Roman"/>
      <w:color w:val="000000"/>
      <w:sz w:val="24"/>
      <w:szCs w:val="24"/>
    </w:rPr>
  </w:style>
  <w:style w:type="character" w:customStyle="1" w:styleId="70">
    <w:name w:val="正文文本缩进 2 字符"/>
    <w:autoRedefine/>
    <w:semiHidden/>
    <w:qFormat/>
    <w:uiPriority w:val="99"/>
    <w:rPr>
      <w:kern w:val="2"/>
      <w:sz w:val="21"/>
      <w:szCs w:val="24"/>
    </w:rPr>
  </w:style>
  <w:style w:type="character" w:customStyle="1" w:styleId="71">
    <w:name w:val="页脚 字符"/>
    <w:autoRedefine/>
    <w:qFormat/>
    <w:uiPriority w:val="0"/>
    <w:rPr>
      <w:sz w:val="18"/>
      <w:szCs w:val="18"/>
    </w:rPr>
  </w:style>
  <w:style w:type="character" w:customStyle="1" w:styleId="72">
    <w:name w:val="正文文本 3 字符"/>
    <w:autoRedefine/>
    <w:semiHidden/>
    <w:qFormat/>
    <w:uiPriority w:val="99"/>
    <w:rPr>
      <w:sz w:val="16"/>
      <w:szCs w:val="16"/>
    </w:rPr>
  </w:style>
  <w:style w:type="character" w:customStyle="1" w:styleId="73">
    <w:name w:val="页脚 字符1"/>
    <w:autoRedefine/>
    <w:qFormat/>
    <w:uiPriority w:val="0"/>
    <w:rPr>
      <w:sz w:val="18"/>
      <w:szCs w:val="18"/>
    </w:rPr>
  </w:style>
  <w:style w:type="character" w:customStyle="1" w:styleId="74">
    <w:name w:val="正文文本缩进 3 字符"/>
    <w:autoRedefine/>
    <w:qFormat/>
    <w:uiPriority w:val="0"/>
    <w:rPr>
      <w:sz w:val="16"/>
      <w:szCs w:val="16"/>
    </w:rPr>
  </w:style>
  <w:style w:type="character" w:customStyle="1" w:styleId="75">
    <w:name w:val="正文首行缩进 字符"/>
    <w:autoRedefine/>
    <w:semiHidden/>
    <w:qFormat/>
    <w:uiPriority w:val="99"/>
  </w:style>
  <w:style w:type="character" w:customStyle="1" w:styleId="76">
    <w:name w:val="批注主题 字符1"/>
    <w:autoRedefine/>
    <w:qFormat/>
    <w:uiPriority w:val="0"/>
    <w:rPr>
      <w:rFonts w:ascii="Calibri" w:hAnsi="Calibri" w:cs="黑体"/>
      <w:b/>
      <w:bCs/>
    </w:rPr>
  </w:style>
  <w:style w:type="character" w:customStyle="1" w:styleId="77">
    <w:name w:val="文档结构图 字符"/>
    <w:autoRedefine/>
    <w:semiHidden/>
    <w:qFormat/>
    <w:uiPriority w:val="99"/>
    <w:rPr>
      <w:rFonts w:ascii="Microsoft YaHei UI" w:eastAsia="Microsoft YaHei UI"/>
      <w:sz w:val="18"/>
      <w:szCs w:val="18"/>
    </w:rPr>
  </w:style>
  <w:style w:type="character" w:customStyle="1" w:styleId="78">
    <w:name w:val="标题 字符"/>
    <w:autoRedefine/>
    <w:qFormat/>
    <w:uiPriority w:val="10"/>
    <w:rPr>
      <w:rFonts w:ascii="等线 Light" w:hAnsi="等线 Light" w:eastAsia="等线 Light" w:cs="Times New Roman"/>
      <w:b/>
      <w:bCs/>
      <w:sz w:val="32"/>
      <w:szCs w:val="32"/>
    </w:rPr>
  </w:style>
  <w:style w:type="character" w:customStyle="1" w:styleId="79">
    <w:name w:val="脚注文本 字符1"/>
    <w:autoRedefine/>
    <w:qFormat/>
    <w:uiPriority w:val="99"/>
    <w:rPr>
      <w:rFonts w:ascii="Calibri" w:hAnsi="Calibri" w:eastAsia="宋体" w:cs="Times New Roman"/>
      <w:kern w:val="0"/>
      <w:sz w:val="20"/>
      <w:szCs w:val="20"/>
    </w:rPr>
  </w:style>
  <w:style w:type="character" w:customStyle="1" w:styleId="80">
    <w:name w:val="纯文本 字符"/>
    <w:autoRedefine/>
    <w:qFormat/>
    <w:uiPriority w:val="0"/>
    <w:rPr>
      <w:rFonts w:ascii="宋体" w:hAnsi="Courier New" w:cs="Courier New"/>
      <w:kern w:val="2"/>
      <w:sz w:val="21"/>
      <w:szCs w:val="21"/>
    </w:rPr>
  </w:style>
  <w:style w:type="character" w:customStyle="1" w:styleId="81">
    <w:name w:val="脚注文本 字符"/>
    <w:autoRedefine/>
    <w:semiHidden/>
    <w:qFormat/>
    <w:uiPriority w:val="99"/>
    <w:rPr>
      <w:sz w:val="18"/>
      <w:szCs w:val="18"/>
    </w:rPr>
  </w:style>
  <w:style w:type="character" w:customStyle="1" w:styleId="82">
    <w:name w:val="标题 5 字符1"/>
    <w:autoRedefine/>
    <w:qFormat/>
    <w:uiPriority w:val="0"/>
    <w:rPr>
      <w:rFonts w:ascii="Calibri" w:hAnsi="Calibri" w:eastAsia="宋体" w:cs="Times New Roman"/>
      <w:b/>
      <w:bCs/>
      <w:sz w:val="28"/>
      <w:szCs w:val="28"/>
    </w:rPr>
  </w:style>
  <w:style w:type="character" w:customStyle="1" w:styleId="83">
    <w:name w:val="批注框文本 字符1"/>
    <w:autoRedefine/>
    <w:qFormat/>
    <w:uiPriority w:val="0"/>
    <w:rPr>
      <w:sz w:val="18"/>
      <w:szCs w:val="18"/>
    </w:rPr>
  </w:style>
  <w:style w:type="character" w:customStyle="1" w:styleId="84">
    <w:name w:val="标题 2 字符2"/>
    <w:link w:val="4"/>
    <w:autoRedefine/>
    <w:qFormat/>
    <w:uiPriority w:val="0"/>
    <w:rPr>
      <w:rFonts w:ascii="宋体" w:hAnsi="宋体" w:eastAsia="宋体" w:cs="Times New Roman"/>
      <w:b/>
      <w:sz w:val="32"/>
      <w:szCs w:val="36"/>
      <w:lang w:eastAsia="en-US"/>
    </w:rPr>
  </w:style>
  <w:style w:type="character" w:customStyle="1" w:styleId="85">
    <w:name w:val="标题 3 字符2"/>
    <w:link w:val="5"/>
    <w:autoRedefine/>
    <w:qFormat/>
    <w:uiPriority w:val="0"/>
    <w:rPr>
      <w:rFonts w:ascii="宋体" w:hAnsi="宋体" w:eastAsia="宋体" w:cs="Times New Roman"/>
      <w:b/>
      <w:sz w:val="32"/>
      <w:szCs w:val="32"/>
      <w:lang w:eastAsia="en-US"/>
    </w:rPr>
  </w:style>
  <w:style w:type="character" w:customStyle="1" w:styleId="86">
    <w:name w:val="标题 5 字符2"/>
    <w:link w:val="7"/>
    <w:autoRedefine/>
    <w:qFormat/>
    <w:uiPriority w:val="0"/>
    <w:rPr>
      <w:b/>
      <w:bCs/>
      <w:kern w:val="2"/>
      <w:sz w:val="28"/>
      <w:szCs w:val="28"/>
    </w:rPr>
  </w:style>
  <w:style w:type="character" w:customStyle="1" w:styleId="87">
    <w:name w:val="标题 7 字符2"/>
    <w:link w:val="9"/>
    <w:autoRedefine/>
    <w:qFormat/>
    <w:uiPriority w:val="0"/>
    <w:rPr>
      <w:b/>
      <w:bCs/>
      <w:kern w:val="2"/>
      <w:sz w:val="21"/>
      <w:szCs w:val="24"/>
    </w:rPr>
  </w:style>
  <w:style w:type="character" w:customStyle="1" w:styleId="88">
    <w:name w:val="文档结构图 字符2"/>
    <w:link w:val="14"/>
    <w:autoRedefine/>
    <w:qFormat/>
    <w:uiPriority w:val="0"/>
    <w:rPr>
      <w:rFonts w:ascii="宋体"/>
      <w:sz w:val="18"/>
      <w:szCs w:val="18"/>
    </w:rPr>
  </w:style>
  <w:style w:type="character" w:customStyle="1" w:styleId="89">
    <w:name w:val="批注文字 字符2"/>
    <w:link w:val="15"/>
    <w:autoRedefine/>
    <w:qFormat/>
    <w:uiPriority w:val="0"/>
    <w:rPr>
      <w:rFonts w:ascii="Calibri" w:hAnsi="Calibri" w:cs="黑体"/>
    </w:rPr>
  </w:style>
  <w:style w:type="character" w:customStyle="1" w:styleId="90">
    <w:name w:val="正文文本 3 字符2"/>
    <w:link w:val="16"/>
    <w:autoRedefine/>
    <w:qFormat/>
    <w:uiPriority w:val="99"/>
    <w:rPr>
      <w:sz w:val="16"/>
      <w:szCs w:val="16"/>
    </w:rPr>
  </w:style>
  <w:style w:type="character" w:customStyle="1" w:styleId="91">
    <w:name w:val="正文文本 字符1"/>
    <w:link w:val="17"/>
    <w:autoRedefine/>
    <w:qFormat/>
    <w:uiPriority w:val="99"/>
    <w:rPr>
      <w:kern w:val="2"/>
      <w:sz w:val="21"/>
      <w:szCs w:val="24"/>
    </w:rPr>
  </w:style>
  <w:style w:type="character" w:customStyle="1" w:styleId="92">
    <w:name w:val="纯文本 字符1"/>
    <w:link w:val="21"/>
    <w:autoRedefine/>
    <w:qFormat/>
    <w:uiPriority w:val="99"/>
    <w:rPr>
      <w:rFonts w:ascii="宋体" w:hAnsi="Courier New" w:cs="Courier New"/>
      <w:kern w:val="2"/>
      <w:sz w:val="21"/>
      <w:szCs w:val="21"/>
    </w:rPr>
  </w:style>
  <w:style w:type="character" w:customStyle="1" w:styleId="93">
    <w:name w:val="日期 字符2"/>
    <w:link w:val="23"/>
    <w:autoRedefine/>
    <w:semiHidden/>
    <w:qFormat/>
    <w:uiPriority w:val="99"/>
    <w:rPr>
      <w:kern w:val="2"/>
      <w:sz w:val="21"/>
      <w:szCs w:val="24"/>
    </w:rPr>
  </w:style>
  <w:style w:type="character" w:customStyle="1" w:styleId="94">
    <w:name w:val="正文文本缩进 2 字符1"/>
    <w:link w:val="24"/>
    <w:autoRedefine/>
    <w:qFormat/>
    <w:uiPriority w:val="0"/>
    <w:rPr>
      <w:rFonts w:ascii="Times New Roman" w:hAnsi="Times New Roman"/>
      <w:kern w:val="2"/>
      <w:sz w:val="21"/>
    </w:rPr>
  </w:style>
  <w:style w:type="character" w:customStyle="1" w:styleId="95">
    <w:name w:val="正文文本缩进 3 字符2"/>
    <w:link w:val="37"/>
    <w:autoRedefine/>
    <w:qFormat/>
    <w:uiPriority w:val="0"/>
    <w:rPr>
      <w:rFonts w:ascii="Times New Roman" w:hAnsi="Times New Roman"/>
      <w:kern w:val="2"/>
      <w:sz w:val="16"/>
      <w:szCs w:val="16"/>
    </w:rPr>
  </w:style>
  <w:style w:type="character" w:customStyle="1" w:styleId="96">
    <w:name w:val="标题 字符2"/>
    <w:link w:val="43"/>
    <w:autoRedefine/>
    <w:qFormat/>
    <w:uiPriority w:val="0"/>
    <w:rPr>
      <w:rFonts w:ascii="宋体"/>
      <w:b/>
      <w:snapToGrid w:val="0"/>
      <w:sz w:val="36"/>
    </w:rPr>
  </w:style>
  <w:style w:type="character" w:customStyle="1" w:styleId="97">
    <w:name w:val="正文文本首行缩进 字符"/>
    <w:link w:val="45"/>
    <w:autoRedefine/>
    <w:qFormat/>
    <w:uiPriority w:val="99"/>
  </w:style>
  <w:style w:type="character" w:customStyle="1" w:styleId="98">
    <w:name w:val="批注主题 Char1"/>
    <w:autoRedefine/>
    <w:semiHidden/>
    <w:qFormat/>
    <w:uiPriority w:val="99"/>
    <w:rPr>
      <w:b/>
      <w:bCs/>
      <w:kern w:val="2"/>
      <w:sz w:val="21"/>
      <w:szCs w:val="24"/>
    </w:rPr>
  </w:style>
  <w:style w:type="character" w:customStyle="1" w:styleId="99">
    <w:name w:val="my正文 Char Char Char Char Char"/>
    <w:link w:val="100"/>
    <w:autoRedefine/>
    <w:qFormat/>
    <w:uiPriority w:val="0"/>
    <w:rPr>
      <w:rFonts w:ascii="仿宋_GB2312" w:hAnsi="仿宋_GB2312"/>
      <w:spacing w:val="10"/>
      <w:sz w:val="24"/>
    </w:rPr>
  </w:style>
  <w:style w:type="paragraph" w:customStyle="1" w:styleId="100">
    <w:name w:val="my正文 Char Char"/>
    <w:basedOn w:val="34"/>
    <w:link w:val="99"/>
    <w:autoRedefine/>
    <w:qFormat/>
    <w:uiPriority w:val="0"/>
    <w:pPr>
      <w:spacing w:line="360" w:lineRule="auto"/>
      <w:ind w:left="0" w:firstLine="640" w:firstLineChars="200"/>
    </w:pPr>
    <w:rPr>
      <w:rFonts w:ascii="仿宋_GB2312" w:hAnsi="仿宋_GB2312"/>
      <w:spacing w:val="10"/>
      <w:kern w:val="0"/>
      <w:sz w:val="24"/>
      <w:szCs w:val="20"/>
    </w:rPr>
  </w:style>
  <w:style w:type="character" w:customStyle="1" w:styleId="101">
    <w:name w:val="my正文 Char Char Char Char"/>
    <w:link w:val="102"/>
    <w:autoRedefine/>
    <w:qFormat/>
    <w:uiPriority w:val="0"/>
    <w:rPr>
      <w:rFonts w:ascii="仿宋_GB2312" w:hAnsi="仿宋_GB2312"/>
      <w:spacing w:val="10"/>
      <w:sz w:val="24"/>
    </w:rPr>
  </w:style>
  <w:style w:type="paragraph" w:customStyle="1" w:styleId="102">
    <w:name w:val="my正文"/>
    <w:basedOn w:val="34"/>
    <w:link w:val="101"/>
    <w:autoRedefine/>
    <w:qFormat/>
    <w:uiPriority w:val="0"/>
    <w:pPr>
      <w:spacing w:line="360" w:lineRule="auto"/>
      <w:ind w:left="0" w:firstLine="640" w:firstLineChars="200"/>
    </w:pPr>
    <w:rPr>
      <w:rFonts w:ascii="仿宋_GB2312" w:hAnsi="仿宋_GB2312"/>
      <w:spacing w:val="10"/>
      <w:kern w:val="0"/>
      <w:sz w:val="24"/>
      <w:szCs w:val="20"/>
    </w:rPr>
  </w:style>
  <w:style w:type="character" w:customStyle="1" w:styleId="103">
    <w:name w:val="批注文字 Char2"/>
    <w:autoRedefine/>
    <w:semiHidden/>
    <w:qFormat/>
    <w:uiPriority w:val="99"/>
    <w:rPr>
      <w:kern w:val="2"/>
      <w:sz w:val="21"/>
      <w:szCs w:val="24"/>
    </w:rPr>
  </w:style>
  <w:style w:type="character" w:customStyle="1" w:styleId="104">
    <w:name w:val="访问过的超链接1"/>
    <w:autoRedefine/>
    <w:unhideWhenUsed/>
    <w:qFormat/>
    <w:uiPriority w:val="99"/>
    <w:rPr>
      <w:color w:val="800080"/>
      <w:u w:val="single"/>
    </w:rPr>
  </w:style>
  <w:style w:type="character" w:customStyle="1" w:styleId="105">
    <w:name w:val="表格文字 Char"/>
    <w:link w:val="106"/>
    <w:autoRedefine/>
    <w:qFormat/>
    <w:locked/>
    <w:uiPriority w:val="0"/>
    <w:rPr>
      <w:bCs/>
      <w:spacing w:val="10"/>
      <w:kern w:val="2"/>
      <w:sz w:val="24"/>
      <w:szCs w:val="24"/>
    </w:rPr>
  </w:style>
  <w:style w:type="paragraph" w:customStyle="1" w:styleId="106">
    <w:name w:val="表格文字"/>
    <w:basedOn w:val="1"/>
    <w:link w:val="105"/>
    <w:autoRedefine/>
    <w:qFormat/>
    <w:uiPriority w:val="0"/>
    <w:pPr>
      <w:spacing w:before="25" w:after="25"/>
      <w:jc w:val="left"/>
    </w:pPr>
    <w:rPr>
      <w:bCs/>
      <w:spacing w:val="10"/>
      <w:sz w:val="24"/>
    </w:rPr>
  </w:style>
  <w:style w:type="character" w:customStyle="1" w:styleId="107">
    <w:name w:val="批注引用1"/>
    <w:autoRedefine/>
    <w:qFormat/>
    <w:uiPriority w:val="0"/>
    <w:rPr>
      <w:sz w:val="21"/>
      <w:szCs w:val="21"/>
    </w:rPr>
  </w:style>
  <w:style w:type="character" w:customStyle="1" w:styleId="108">
    <w:name w:val="批注文字 Char1"/>
    <w:autoRedefine/>
    <w:qFormat/>
    <w:uiPriority w:val="0"/>
  </w:style>
  <w:style w:type="character" w:customStyle="1" w:styleId="109">
    <w:name w:val="表格文字 Char Char"/>
    <w:autoRedefine/>
    <w:qFormat/>
    <w:uiPriority w:val="0"/>
    <w:rPr>
      <w:bCs/>
      <w:spacing w:val="10"/>
      <w:sz w:val="24"/>
    </w:rPr>
  </w:style>
  <w:style w:type="character" w:customStyle="1" w:styleId="110">
    <w:name w:val="fontstyle01"/>
    <w:autoRedefine/>
    <w:qFormat/>
    <w:uiPriority w:val="0"/>
    <w:rPr>
      <w:rFonts w:hint="eastAsia" w:ascii="宋体" w:hAnsi="宋体" w:eastAsia="宋体"/>
      <w:color w:val="000000"/>
      <w:sz w:val="24"/>
      <w:szCs w:val="24"/>
    </w:rPr>
  </w:style>
  <w:style w:type="character" w:customStyle="1" w:styleId="111">
    <w:name w:val="不明显强调1"/>
    <w:autoRedefine/>
    <w:qFormat/>
    <w:uiPriority w:val="19"/>
    <w:rPr>
      <w:rFonts w:eastAsia="宋体" w:cs="Times New Roman"/>
      <w:i/>
      <w:iCs/>
      <w:color w:val="808080"/>
      <w:szCs w:val="22"/>
      <w:lang w:eastAsia="zh-CN"/>
    </w:rPr>
  </w:style>
  <w:style w:type="character" w:customStyle="1" w:styleId="112">
    <w:name w:val="标题 1 字符"/>
    <w:autoRedefine/>
    <w:qFormat/>
    <w:uiPriority w:val="9"/>
    <w:rPr>
      <w:b/>
      <w:bCs/>
      <w:kern w:val="44"/>
      <w:sz w:val="44"/>
      <w:szCs w:val="44"/>
    </w:rPr>
  </w:style>
  <w:style w:type="character" w:customStyle="1" w:styleId="113">
    <w:name w:val="标题 2 字符"/>
    <w:autoRedefine/>
    <w:semiHidden/>
    <w:qFormat/>
    <w:uiPriority w:val="9"/>
    <w:rPr>
      <w:rFonts w:ascii="等线 Light" w:hAnsi="等线 Light" w:eastAsia="等线 Light" w:cs="Times New Roman"/>
      <w:b/>
      <w:bCs/>
      <w:sz w:val="32"/>
      <w:szCs w:val="32"/>
    </w:rPr>
  </w:style>
  <w:style w:type="character" w:customStyle="1" w:styleId="114">
    <w:name w:val="标题 3 字符"/>
    <w:autoRedefine/>
    <w:qFormat/>
    <w:uiPriority w:val="0"/>
    <w:rPr>
      <w:b/>
      <w:bCs/>
      <w:sz w:val="32"/>
      <w:szCs w:val="32"/>
    </w:rPr>
  </w:style>
  <w:style w:type="character" w:customStyle="1" w:styleId="115">
    <w:name w:val="标题 4 字符"/>
    <w:autoRedefine/>
    <w:semiHidden/>
    <w:qFormat/>
    <w:uiPriority w:val="9"/>
    <w:rPr>
      <w:rFonts w:ascii="等线 Light" w:hAnsi="等线 Light" w:eastAsia="等线 Light" w:cs="Times New Roman"/>
      <w:b/>
      <w:bCs/>
      <w:sz w:val="28"/>
      <w:szCs w:val="28"/>
    </w:rPr>
  </w:style>
  <w:style w:type="character" w:customStyle="1" w:styleId="116">
    <w:name w:val="标题 5 字符"/>
    <w:autoRedefine/>
    <w:semiHidden/>
    <w:qFormat/>
    <w:uiPriority w:val="9"/>
    <w:rPr>
      <w:b/>
      <w:bCs/>
      <w:sz w:val="28"/>
      <w:szCs w:val="28"/>
    </w:rPr>
  </w:style>
  <w:style w:type="character" w:customStyle="1" w:styleId="117">
    <w:name w:val="标题 6 字符"/>
    <w:autoRedefine/>
    <w:semiHidden/>
    <w:qFormat/>
    <w:uiPriority w:val="9"/>
    <w:rPr>
      <w:rFonts w:ascii="等线 Light" w:hAnsi="等线 Light" w:eastAsia="等线 Light" w:cs="Times New Roman"/>
      <w:b/>
      <w:bCs/>
      <w:sz w:val="24"/>
      <w:szCs w:val="24"/>
    </w:rPr>
  </w:style>
  <w:style w:type="character" w:customStyle="1" w:styleId="118">
    <w:name w:val="标题 7 字符"/>
    <w:autoRedefine/>
    <w:semiHidden/>
    <w:qFormat/>
    <w:uiPriority w:val="9"/>
    <w:rPr>
      <w:b/>
      <w:bCs/>
      <w:sz w:val="24"/>
      <w:szCs w:val="24"/>
    </w:rPr>
  </w:style>
  <w:style w:type="character" w:customStyle="1" w:styleId="119">
    <w:name w:val="正文文本 3 字符1"/>
    <w:autoRedefine/>
    <w:qFormat/>
    <w:uiPriority w:val="99"/>
    <w:rPr>
      <w:sz w:val="16"/>
      <w:szCs w:val="16"/>
    </w:rPr>
  </w:style>
  <w:style w:type="character" w:customStyle="1" w:styleId="120">
    <w:name w:val="文档结构图 字符1"/>
    <w:autoRedefine/>
    <w:qFormat/>
    <w:uiPriority w:val="0"/>
    <w:rPr>
      <w:rFonts w:ascii="宋体"/>
      <w:sz w:val="18"/>
      <w:szCs w:val="18"/>
    </w:rPr>
  </w:style>
  <w:style w:type="character" w:customStyle="1" w:styleId="121">
    <w:name w:val="标题 4 字符1"/>
    <w:autoRedefine/>
    <w:qFormat/>
    <w:uiPriority w:val="0"/>
    <w:rPr>
      <w:rFonts w:ascii="Cambria" w:hAnsi="Cambria" w:eastAsia="宋体" w:cs="Times New Roman"/>
      <w:b/>
      <w:bCs/>
      <w:sz w:val="28"/>
      <w:szCs w:val="28"/>
    </w:rPr>
  </w:style>
  <w:style w:type="character" w:customStyle="1" w:styleId="122">
    <w:name w:val="标题 3 字符1"/>
    <w:autoRedefine/>
    <w:qFormat/>
    <w:uiPriority w:val="0"/>
    <w:rPr>
      <w:rFonts w:ascii="宋体" w:hAnsi="宋体" w:eastAsia="宋体" w:cs="Times New Roman"/>
      <w:b/>
      <w:kern w:val="0"/>
      <w:sz w:val="32"/>
      <w:szCs w:val="32"/>
      <w:lang w:eastAsia="en-US"/>
    </w:rPr>
  </w:style>
  <w:style w:type="character" w:customStyle="1" w:styleId="123">
    <w:name w:val="标题 1 字符1"/>
    <w:autoRedefine/>
    <w:qFormat/>
    <w:uiPriority w:val="0"/>
    <w:rPr>
      <w:rFonts w:ascii="Times New Roman" w:hAnsi="Times New Roman" w:eastAsia="宋体" w:cs="Times New Roman"/>
      <w:b/>
      <w:bCs/>
      <w:kern w:val="44"/>
      <w:sz w:val="44"/>
      <w:szCs w:val="44"/>
    </w:rPr>
  </w:style>
  <w:style w:type="character" w:customStyle="1" w:styleId="124">
    <w:name w:val="标题 字符1"/>
    <w:autoRedefine/>
    <w:qFormat/>
    <w:uiPriority w:val="0"/>
    <w:rPr>
      <w:rFonts w:ascii="宋体"/>
      <w:b/>
      <w:snapToGrid/>
      <w:sz w:val="36"/>
    </w:rPr>
  </w:style>
  <w:style w:type="character" w:customStyle="1" w:styleId="125">
    <w:name w:val="日期 字符1"/>
    <w:autoRedefine/>
    <w:qFormat/>
    <w:uiPriority w:val="99"/>
    <w:rPr>
      <w:szCs w:val="24"/>
    </w:rPr>
  </w:style>
  <w:style w:type="character" w:customStyle="1" w:styleId="126">
    <w:name w:val="页眉 字符1"/>
    <w:autoRedefine/>
    <w:qFormat/>
    <w:uiPriority w:val="0"/>
    <w:rPr>
      <w:sz w:val="18"/>
      <w:szCs w:val="18"/>
    </w:rPr>
  </w:style>
  <w:style w:type="character" w:customStyle="1" w:styleId="127">
    <w:name w:val="标题 6 字符1"/>
    <w:autoRedefine/>
    <w:qFormat/>
    <w:uiPriority w:val="0"/>
    <w:rPr>
      <w:rFonts w:ascii="Cambria" w:hAnsi="Cambria" w:eastAsia="宋体" w:cs="Times New Roman"/>
      <w:b/>
      <w:bCs/>
      <w:sz w:val="24"/>
      <w:szCs w:val="24"/>
    </w:rPr>
  </w:style>
  <w:style w:type="character" w:customStyle="1" w:styleId="128">
    <w:name w:val="标题 7 字符1"/>
    <w:autoRedefine/>
    <w:qFormat/>
    <w:uiPriority w:val="0"/>
    <w:rPr>
      <w:rFonts w:ascii="Calibri" w:hAnsi="Calibri" w:eastAsia="宋体" w:cs="Times New Roman"/>
      <w:b/>
      <w:bCs/>
      <w:szCs w:val="24"/>
    </w:rPr>
  </w:style>
  <w:style w:type="character" w:customStyle="1" w:styleId="129">
    <w:name w:val="批注文字 字符1"/>
    <w:autoRedefine/>
    <w:qFormat/>
    <w:uiPriority w:val="0"/>
    <w:rPr>
      <w:rFonts w:ascii="Calibri" w:hAnsi="Calibri" w:cs="黑体"/>
    </w:rPr>
  </w:style>
  <w:style w:type="character" w:customStyle="1" w:styleId="130">
    <w:name w:val="正文首行缩进 字符1"/>
    <w:autoRedefine/>
    <w:qFormat/>
    <w:uiPriority w:val="99"/>
  </w:style>
  <w:style w:type="character" w:customStyle="1" w:styleId="131">
    <w:name w:val="正文文本 字符"/>
    <w:autoRedefine/>
    <w:qFormat/>
    <w:uiPriority w:val="0"/>
  </w:style>
  <w:style w:type="character" w:customStyle="1" w:styleId="132">
    <w:name w:val="批注文字 字符"/>
    <w:autoRedefine/>
    <w:qFormat/>
    <w:uiPriority w:val="0"/>
  </w:style>
  <w:style w:type="character" w:customStyle="1" w:styleId="133">
    <w:name w:val="批注主题 字符"/>
    <w:autoRedefine/>
    <w:qFormat/>
    <w:uiPriority w:val="0"/>
    <w:rPr>
      <w:b/>
      <w:bCs/>
    </w:rPr>
  </w:style>
  <w:style w:type="character" w:customStyle="1" w:styleId="134">
    <w:name w:val="页眉 字符"/>
    <w:autoRedefine/>
    <w:qFormat/>
    <w:uiPriority w:val="0"/>
    <w:rPr>
      <w:sz w:val="18"/>
      <w:szCs w:val="18"/>
    </w:rPr>
  </w:style>
  <w:style w:type="character" w:customStyle="1" w:styleId="135">
    <w:name w:val="日期 字符"/>
    <w:autoRedefine/>
    <w:semiHidden/>
    <w:qFormat/>
    <w:uiPriority w:val="99"/>
  </w:style>
  <w:style w:type="character" w:customStyle="1" w:styleId="136">
    <w:name w:val="标题 2 Char"/>
    <w:autoRedefine/>
    <w:qFormat/>
    <w:uiPriority w:val="99"/>
    <w:rPr>
      <w:rFonts w:ascii="宋体" w:hAnsi="宋体"/>
      <w:b/>
      <w:sz w:val="32"/>
      <w:szCs w:val="36"/>
      <w:lang w:eastAsia="en-US"/>
    </w:rPr>
  </w:style>
  <w:style w:type="paragraph" w:customStyle="1" w:styleId="137">
    <w:name w:val="Normal_6_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38">
    <w:name w:val="普通(网站)_0"/>
    <w:basedOn w:val="1"/>
    <w:autoRedefine/>
    <w:unhideWhenUsed/>
    <w:qFormat/>
    <w:uiPriority w:val="99"/>
    <w:pPr>
      <w:widowControl/>
      <w:spacing w:before="100" w:beforeAutospacing="1" w:after="100" w:afterAutospacing="1"/>
      <w:jc w:val="left"/>
    </w:pPr>
    <w:rPr>
      <w:rFonts w:ascii="宋体" w:hAnsi="宋体"/>
      <w:kern w:val="0"/>
      <w:sz w:val="24"/>
    </w:rPr>
  </w:style>
  <w:style w:type="paragraph" w:customStyle="1" w:styleId="139">
    <w:name w:val="正文_19_0_1"/>
    <w:autoRedefine/>
    <w:qFormat/>
    <w:uiPriority w:val="0"/>
    <w:pPr>
      <w:widowControl w:val="0"/>
      <w:jc w:val="both"/>
    </w:pPr>
    <w:rPr>
      <w:rFonts w:ascii="Times New Roman" w:hAnsi="Times New Roman" w:eastAsia="宋体" w:cs="Times New Roman"/>
      <w:color w:val="0000FF"/>
      <w:kern w:val="2"/>
      <w:sz w:val="24"/>
      <w:szCs w:val="24"/>
      <w:lang w:val="en-US" w:eastAsia="zh-CN" w:bidi="ar-SA"/>
    </w:rPr>
  </w:style>
  <w:style w:type="paragraph" w:customStyle="1" w:styleId="140">
    <w:name w:val="正文_11_1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41">
    <w:name w:val="Normal_32_0"/>
    <w:autoRedefine/>
    <w:qFormat/>
    <w:uiPriority w:val="0"/>
    <w:rPr>
      <w:rFonts w:ascii="黑体" w:hAnsi="黑体" w:eastAsia="黑体" w:cs="Times New Roman"/>
      <w:b/>
      <w:sz w:val="32"/>
      <w:szCs w:val="24"/>
      <w:lang w:val="en-US" w:eastAsia="zh-CN" w:bidi="ar-SA"/>
    </w:rPr>
  </w:style>
  <w:style w:type="paragraph" w:customStyle="1" w:styleId="142">
    <w:name w:val="标题 4_2"/>
    <w:basedOn w:val="1"/>
    <w:next w:val="1"/>
    <w:autoRedefine/>
    <w:unhideWhenUsed/>
    <w:qFormat/>
    <w:uiPriority w:val="9"/>
    <w:pPr>
      <w:keepNext/>
      <w:keepLines/>
      <w:spacing w:before="280" w:after="290" w:line="376" w:lineRule="auto"/>
      <w:outlineLvl w:val="3"/>
    </w:pPr>
    <w:rPr>
      <w:rFonts w:ascii="等线 Light" w:hAnsi="等线 Light" w:eastAsia="等线 Light"/>
      <w:b/>
      <w:bCs/>
      <w:sz w:val="28"/>
      <w:szCs w:val="28"/>
    </w:rPr>
  </w:style>
  <w:style w:type="paragraph" w:customStyle="1" w:styleId="143">
    <w:name w:val="Normal_33_1"/>
    <w:autoRedefine/>
    <w:qFormat/>
    <w:uiPriority w:val="0"/>
    <w:rPr>
      <w:rFonts w:ascii="黑体" w:hAnsi="黑体" w:eastAsia="黑体" w:cs="Times New Roman"/>
      <w:b/>
      <w:sz w:val="32"/>
      <w:szCs w:val="24"/>
      <w:lang w:val="en-US" w:eastAsia="zh-CN" w:bidi="ar-SA"/>
    </w:rPr>
  </w:style>
  <w:style w:type="paragraph" w:customStyle="1" w:styleId="144">
    <w:name w:val="Normal_26_1"/>
    <w:autoRedefine/>
    <w:qFormat/>
    <w:uiPriority w:val="0"/>
    <w:rPr>
      <w:rFonts w:ascii="黑体" w:hAnsi="黑体" w:eastAsia="黑体" w:cs="Times New Roman"/>
      <w:b/>
      <w:sz w:val="32"/>
      <w:szCs w:val="24"/>
      <w:lang w:val="en-US" w:eastAsia="zh-CN" w:bidi="ar-SA"/>
    </w:rPr>
  </w:style>
  <w:style w:type="paragraph" w:customStyle="1" w:styleId="145">
    <w:name w:val="Normal_5_2"/>
    <w:autoRedefine/>
    <w:qFormat/>
    <w:uiPriority w:val="0"/>
    <w:rPr>
      <w:rFonts w:ascii="黑体" w:hAnsi="黑体" w:eastAsia="黑体" w:cs="Times New Roman"/>
      <w:b/>
      <w:sz w:val="32"/>
      <w:szCs w:val="24"/>
      <w:lang w:val="en-US" w:eastAsia="zh-CN" w:bidi="ar-SA"/>
    </w:rPr>
  </w:style>
  <w:style w:type="paragraph" w:customStyle="1" w:styleId="146">
    <w:name w:val="正文_2_1_1_0"/>
    <w:autoRedefine/>
    <w:qFormat/>
    <w:uiPriority w:val="0"/>
    <w:pPr>
      <w:widowControl w:val="0"/>
      <w:jc w:val="both"/>
    </w:pPr>
    <w:rPr>
      <w:rFonts w:ascii="Times New Roman" w:hAnsi="Times New Roman" w:eastAsia="宋体" w:cs="Times New Roman"/>
      <w:color w:val="0000FF"/>
      <w:kern w:val="2"/>
      <w:sz w:val="24"/>
      <w:szCs w:val="24"/>
      <w:lang w:val="en-US" w:eastAsia="zh-CN" w:bidi="ar-SA"/>
    </w:rPr>
  </w:style>
  <w:style w:type="paragraph" w:styleId="147">
    <w:name w:val="List Paragraph"/>
    <w:basedOn w:val="1"/>
    <w:autoRedefine/>
    <w:qFormat/>
    <w:uiPriority w:val="0"/>
    <w:pPr>
      <w:ind w:firstLine="420" w:firstLineChars="200"/>
    </w:pPr>
  </w:style>
  <w:style w:type="paragraph" w:customStyle="1" w:styleId="148">
    <w:name w:val="Normal_30"/>
    <w:autoRedefine/>
    <w:qFormat/>
    <w:uiPriority w:val="0"/>
    <w:rPr>
      <w:rFonts w:ascii="Times New Roman" w:hAnsi="Times New Roman" w:eastAsia="Times New Roman" w:cs="Times New Roman"/>
      <w:sz w:val="24"/>
      <w:szCs w:val="24"/>
      <w:lang w:val="en-US" w:eastAsia="zh-CN" w:bidi="ar-SA"/>
    </w:rPr>
  </w:style>
  <w:style w:type="paragraph" w:customStyle="1" w:styleId="149">
    <w:name w:val="样式 标题 1 + 小二 行距: 1.5 倍行距"/>
    <w:basedOn w:val="3"/>
    <w:autoRedefine/>
    <w:qFormat/>
    <w:uiPriority w:val="0"/>
    <w:pPr>
      <w:tabs>
        <w:tab w:val="left" w:pos="840"/>
      </w:tabs>
      <w:spacing w:line="360" w:lineRule="auto"/>
      <w:ind w:left="431" w:hanging="431"/>
    </w:pPr>
    <w:rPr>
      <w:rFonts w:cs="宋体"/>
      <w:sz w:val="36"/>
      <w:szCs w:val="20"/>
    </w:rPr>
  </w:style>
  <w:style w:type="paragraph" w:customStyle="1" w:styleId="150">
    <w:name w:val="正文_20_0_0_1"/>
    <w:autoRedefine/>
    <w:qFormat/>
    <w:uiPriority w:val="0"/>
    <w:pPr>
      <w:widowControl w:val="0"/>
      <w:jc w:val="both"/>
    </w:pPr>
    <w:rPr>
      <w:rFonts w:ascii="Times New Roman" w:hAnsi="Times New Roman" w:eastAsia="宋体" w:cs="Times New Roman"/>
      <w:color w:val="0000FF"/>
      <w:kern w:val="2"/>
      <w:sz w:val="24"/>
      <w:szCs w:val="24"/>
      <w:lang w:val="en-US" w:eastAsia="zh-CN" w:bidi="ar-SA"/>
    </w:rPr>
  </w:style>
  <w:style w:type="paragraph" w:customStyle="1" w:styleId="151">
    <w:name w:val="正文_9_1_0_0"/>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2">
    <w:name w:val="WPSOffice手动目录 1"/>
    <w:autoRedefine/>
    <w:qFormat/>
    <w:uiPriority w:val="0"/>
    <w:rPr>
      <w:rFonts w:ascii="Calibri" w:hAnsi="Calibri" w:eastAsia="宋体" w:cs="Times New Roman"/>
      <w:lang w:val="en-US" w:eastAsia="zh-CN" w:bidi="ar-SA"/>
    </w:rPr>
  </w:style>
  <w:style w:type="paragraph" w:customStyle="1" w:styleId="153">
    <w:name w:val="段"/>
    <w:autoRedefine/>
    <w:qFormat/>
    <w:uiPriority w:val="0"/>
    <w:pPr>
      <w:autoSpaceDE w:val="0"/>
      <w:autoSpaceDN w:val="0"/>
      <w:ind w:firstLine="200" w:firstLineChars="200"/>
      <w:jc w:val="both"/>
    </w:pPr>
    <w:rPr>
      <w:rFonts w:ascii="宋体" w:hAnsi="Calibri" w:eastAsia="宋体" w:cs="Times New Roman"/>
      <w:sz w:val="21"/>
      <w:lang w:val="en-US" w:eastAsia="zh-CN" w:bidi="ar-SA"/>
    </w:rPr>
  </w:style>
  <w:style w:type="paragraph" w:customStyle="1" w:styleId="154">
    <w:name w:val="正文_17_0_0_1"/>
    <w:autoRedefine/>
    <w:qFormat/>
    <w:uiPriority w:val="0"/>
    <w:pPr>
      <w:widowControl w:val="0"/>
      <w:jc w:val="both"/>
    </w:pPr>
    <w:rPr>
      <w:rFonts w:ascii="Times New Roman" w:hAnsi="Times New Roman" w:eastAsia="宋体" w:cs="Times New Roman"/>
      <w:color w:val="0000FF"/>
      <w:kern w:val="2"/>
      <w:sz w:val="24"/>
      <w:szCs w:val="24"/>
      <w:lang w:val="en-US" w:eastAsia="zh-CN" w:bidi="ar-SA"/>
    </w:rPr>
  </w:style>
  <w:style w:type="paragraph" w:customStyle="1" w:styleId="155">
    <w:name w:val="一级条标题"/>
    <w:basedOn w:val="156"/>
    <w:next w:val="153"/>
    <w:autoRedefine/>
    <w:qFormat/>
    <w:uiPriority w:val="0"/>
    <w:pPr>
      <w:tabs>
        <w:tab w:val="left" w:pos="425"/>
      </w:tabs>
      <w:ind w:left="425" w:hanging="425"/>
      <w:outlineLvl w:val="2"/>
    </w:pPr>
  </w:style>
  <w:style w:type="paragraph" w:customStyle="1" w:styleId="156">
    <w:name w:val="章标题"/>
    <w:next w:val="153"/>
    <w:autoRedefine/>
    <w:qFormat/>
    <w:uiPriority w:val="0"/>
    <w:pPr>
      <w:spacing w:beforeLines="50" w:afterLines="50"/>
      <w:ind w:left="284" w:hanging="284"/>
      <w:jc w:val="both"/>
      <w:outlineLvl w:val="1"/>
    </w:pPr>
    <w:rPr>
      <w:rFonts w:ascii="黑体" w:hAnsi="Calibri" w:eastAsia="黑体" w:cs="Times New Roman"/>
      <w:sz w:val="21"/>
      <w:lang w:val="en-US" w:eastAsia="zh-CN" w:bidi="ar-SA"/>
    </w:rPr>
  </w:style>
  <w:style w:type="paragraph" w:customStyle="1" w:styleId="157">
    <w:name w:val="正文_10_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8">
    <w:name w:val="正文_8_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9">
    <w:name w:val="Normal_8_1"/>
    <w:autoRedefine/>
    <w:qFormat/>
    <w:uiPriority w:val="0"/>
    <w:rPr>
      <w:rFonts w:ascii="黑体" w:hAnsi="黑体" w:eastAsia="黑体" w:cs="Times New Roman"/>
      <w:b/>
      <w:sz w:val="32"/>
      <w:szCs w:val="24"/>
      <w:lang w:val="en-US" w:eastAsia="zh-CN" w:bidi="ar-SA"/>
    </w:rPr>
  </w:style>
  <w:style w:type="paragraph" w:customStyle="1" w:styleId="160">
    <w:name w:val="字母编号列项（一级）"/>
    <w:autoRedefine/>
    <w:qFormat/>
    <w:uiPriority w:val="0"/>
    <w:pPr>
      <w:ind w:left="840" w:leftChars="200" w:hanging="420" w:hangingChars="200"/>
      <w:jc w:val="both"/>
    </w:pPr>
    <w:rPr>
      <w:rFonts w:ascii="宋体" w:hAnsi="Calibri" w:eastAsia="宋体" w:cs="Times New Roman"/>
      <w:sz w:val="21"/>
      <w:lang w:val="en-US" w:eastAsia="zh-CN" w:bidi="ar-SA"/>
    </w:rPr>
  </w:style>
  <w:style w:type="paragraph" w:customStyle="1" w:styleId="161">
    <w:name w:val="WPSOffice手动目录 3"/>
    <w:autoRedefine/>
    <w:qFormat/>
    <w:uiPriority w:val="0"/>
    <w:pPr>
      <w:ind w:left="400" w:leftChars="400"/>
    </w:pPr>
    <w:rPr>
      <w:rFonts w:ascii="Calibri" w:hAnsi="Calibri" w:eastAsia="宋体" w:cs="Times New Roman"/>
      <w:lang w:val="en-US" w:eastAsia="zh-CN" w:bidi="ar-SA"/>
    </w:rPr>
  </w:style>
  <w:style w:type="paragraph" w:customStyle="1" w:styleId="162">
    <w:name w:val="题注4"/>
    <w:basedOn w:val="1"/>
    <w:next w:val="13"/>
    <w:autoRedefine/>
    <w:qFormat/>
    <w:uiPriority w:val="0"/>
    <w:pPr>
      <w:ind w:left="-108" w:right="-108"/>
      <w:jc w:val="center"/>
    </w:pPr>
    <w:rPr>
      <w:rFonts w:ascii="Times New Roman" w:hAnsi="Times New Roman"/>
      <w:b/>
      <w:bCs/>
      <w:color w:val="000000"/>
      <w:szCs w:val="21"/>
      <w:lang w:val="en-GB"/>
    </w:rPr>
  </w:style>
  <w:style w:type="paragraph" w:customStyle="1" w:styleId="163">
    <w:name w:val="Table Paragraph"/>
    <w:basedOn w:val="1"/>
    <w:autoRedefine/>
    <w:qFormat/>
    <w:uiPriority w:val="1"/>
    <w:pPr>
      <w:autoSpaceDE w:val="0"/>
      <w:autoSpaceDN w:val="0"/>
      <w:adjustRightInd w:val="0"/>
      <w:jc w:val="left"/>
    </w:pPr>
    <w:rPr>
      <w:kern w:val="0"/>
      <w:sz w:val="24"/>
    </w:rPr>
  </w:style>
  <w:style w:type="paragraph" w:customStyle="1" w:styleId="164">
    <w:name w:val="正文_18_0_1"/>
    <w:autoRedefine/>
    <w:qFormat/>
    <w:uiPriority w:val="0"/>
    <w:pPr>
      <w:widowControl w:val="0"/>
      <w:jc w:val="both"/>
    </w:pPr>
    <w:rPr>
      <w:rFonts w:ascii="Times New Roman" w:hAnsi="Times New Roman" w:eastAsia="宋体" w:cs="Times New Roman"/>
      <w:color w:val="0000FF"/>
      <w:kern w:val="2"/>
      <w:sz w:val="24"/>
      <w:szCs w:val="24"/>
      <w:lang w:val="en-US" w:eastAsia="zh-CN" w:bidi="ar-SA"/>
    </w:rPr>
  </w:style>
  <w:style w:type="paragraph" w:customStyle="1" w:styleId="165">
    <w:name w:val="正文_0"/>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166">
    <w:name w:val="样式 标题 4H4PIM 4h444heading1.1.1.1Fab-4T5Ref Heading 1rh..."/>
    <w:basedOn w:val="6"/>
    <w:autoRedefine/>
    <w:qFormat/>
    <w:uiPriority w:val="0"/>
    <w:pPr>
      <w:spacing w:line="415" w:lineRule="auto"/>
    </w:pPr>
    <w:rPr>
      <w:rFonts w:ascii="Times New Roman" w:hAnsi="Times New Roman" w:cs="宋体"/>
      <w:sz w:val="30"/>
      <w:szCs w:val="20"/>
    </w:rPr>
  </w:style>
  <w:style w:type="paragraph" w:customStyle="1" w:styleId="167">
    <w:name w:val="正文_20_0_2"/>
    <w:autoRedefine/>
    <w:qFormat/>
    <w:uiPriority w:val="0"/>
    <w:pPr>
      <w:widowControl w:val="0"/>
      <w:jc w:val="both"/>
    </w:pPr>
    <w:rPr>
      <w:rFonts w:ascii="Calibri" w:hAnsi="Calibri" w:eastAsia="宋体" w:cs="Times New Roman"/>
      <w:color w:val="0000FF"/>
      <w:kern w:val="2"/>
      <w:sz w:val="24"/>
      <w:szCs w:val="24"/>
      <w:lang w:val="en-US" w:eastAsia="zh-CN" w:bidi="ar-SA"/>
    </w:rPr>
  </w:style>
  <w:style w:type="paragraph" w:customStyle="1" w:styleId="168">
    <w:name w:val="Normal_19_1"/>
    <w:autoRedefine/>
    <w:qFormat/>
    <w:uiPriority w:val="0"/>
    <w:rPr>
      <w:rFonts w:ascii="黑体" w:hAnsi="黑体" w:eastAsia="黑体" w:cs="Times New Roman"/>
      <w:b/>
      <w:sz w:val="32"/>
      <w:szCs w:val="24"/>
      <w:lang w:val="en-US" w:eastAsia="zh-CN" w:bidi="ar-SA"/>
    </w:rPr>
  </w:style>
  <w:style w:type="paragraph" w:customStyle="1" w:styleId="169">
    <w:name w:val="TOC 标题1"/>
    <w:basedOn w:val="3"/>
    <w:next w:val="1"/>
    <w:autoRedefine/>
    <w:qFormat/>
    <w:uiPriority w:val="0"/>
    <w:pPr>
      <w:widowControl/>
      <w:tabs>
        <w:tab w:val="left" w:pos="4320"/>
      </w:tabs>
      <w:spacing w:before="480" w:after="0" w:line="276" w:lineRule="auto"/>
      <w:outlineLvl w:val="9"/>
    </w:pPr>
    <w:rPr>
      <w:rFonts w:ascii="Cambria" w:hAnsi="Cambria"/>
      <w:color w:val="365F91"/>
      <w:kern w:val="0"/>
      <w:sz w:val="28"/>
      <w:szCs w:val="28"/>
    </w:rPr>
  </w:style>
  <w:style w:type="paragraph" w:customStyle="1" w:styleId="170">
    <w:name w:val="列出段落2"/>
    <w:basedOn w:val="1"/>
    <w:autoRedefine/>
    <w:qFormat/>
    <w:uiPriority w:val="0"/>
    <w:pPr>
      <w:ind w:firstLine="420" w:firstLineChars="200"/>
    </w:pPr>
    <w:rPr>
      <w:szCs w:val="20"/>
    </w:rPr>
  </w:style>
  <w:style w:type="paragraph" w:customStyle="1" w:styleId="171">
    <w:name w:val="正文_22_3"/>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72">
    <w:name w:val="_Style 31"/>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173">
    <w:name w:val="正文_0_6"/>
    <w:autoRedefine/>
    <w:qFormat/>
    <w:uiPriority w:val="0"/>
    <w:pPr>
      <w:widowControl w:val="0"/>
      <w:jc w:val="both"/>
    </w:pPr>
    <w:rPr>
      <w:rFonts w:ascii="Times New Roman" w:hAnsi="Times New Roman" w:eastAsia="宋体" w:cs="Times New Roman"/>
      <w:color w:val="0000FF"/>
      <w:kern w:val="2"/>
      <w:sz w:val="24"/>
      <w:szCs w:val="24"/>
      <w:lang w:val="en-US" w:eastAsia="zh-CN" w:bidi="ar-SA"/>
    </w:rPr>
  </w:style>
  <w:style w:type="paragraph" w:customStyle="1" w:styleId="174">
    <w:name w:val="列出段落1"/>
    <w:basedOn w:val="1"/>
    <w:autoRedefine/>
    <w:qFormat/>
    <w:uiPriority w:val="0"/>
    <w:pPr>
      <w:ind w:firstLine="420" w:firstLineChars="200"/>
    </w:pPr>
    <w:rPr>
      <w:szCs w:val="22"/>
    </w:rPr>
  </w:style>
  <w:style w:type="paragraph" w:customStyle="1" w:styleId="175">
    <w:name w:val="正文首行缩进1"/>
    <w:basedOn w:val="1"/>
    <w:autoRedefine/>
    <w:qFormat/>
    <w:uiPriority w:val="0"/>
    <w:pPr>
      <w:ind w:firstLine="425"/>
      <w:textAlignment w:val="baseline"/>
    </w:pPr>
    <w:rPr>
      <w:rFonts w:cs="黑体"/>
    </w:rPr>
  </w:style>
  <w:style w:type="paragraph" w:customStyle="1" w:styleId="176">
    <w:name w:val="正文_15_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77">
    <w:name w:val="封面标准文稿编辑信息"/>
    <w:autoRedefine/>
    <w:qFormat/>
    <w:uiPriority w:val="0"/>
    <w:pPr>
      <w:spacing w:before="180" w:line="180" w:lineRule="exact"/>
      <w:jc w:val="center"/>
    </w:pPr>
    <w:rPr>
      <w:rFonts w:ascii="宋体" w:hAnsi="Calibri" w:eastAsia="宋体" w:cs="Times New Roman"/>
      <w:sz w:val="21"/>
      <w:lang w:val="en-US" w:eastAsia="zh-CN" w:bidi="ar-SA"/>
    </w:rPr>
  </w:style>
  <w:style w:type="paragraph" w:styleId="178">
    <w:name w:val="No Spacing"/>
    <w:link w:val="233"/>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79">
    <w:name w:val="正文_0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80">
    <w:name w:val="TOC 标题11"/>
    <w:basedOn w:val="3"/>
    <w:next w:val="1"/>
    <w:autoRedefine/>
    <w:unhideWhenUsed/>
    <w:qFormat/>
    <w:uiPriority w:val="39"/>
    <w:pPr>
      <w:widowControl/>
      <w:spacing w:before="480" w:after="0" w:line="276" w:lineRule="auto"/>
      <w:outlineLvl w:val="9"/>
    </w:pPr>
    <w:rPr>
      <w:rFonts w:ascii="Cambria" w:hAnsi="Cambria"/>
      <w:color w:val="366091"/>
      <w:kern w:val="0"/>
      <w:sz w:val="28"/>
      <w:szCs w:val="28"/>
    </w:rPr>
  </w:style>
  <w:style w:type="paragraph" w:customStyle="1" w:styleId="181">
    <w:name w:val="列出段落11"/>
    <w:basedOn w:val="1"/>
    <w:autoRedefine/>
    <w:qFormat/>
    <w:uiPriority w:val="34"/>
    <w:pPr>
      <w:ind w:firstLine="420" w:firstLineChars="200"/>
    </w:pPr>
    <w:rPr>
      <w:szCs w:val="22"/>
    </w:rPr>
  </w:style>
  <w:style w:type="paragraph" w:customStyle="1" w:styleId="182">
    <w:name w:val="正文_9_0_0_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83">
    <w:name w:val="修订1"/>
    <w:autoRedefine/>
    <w:qFormat/>
    <w:uiPriority w:val="0"/>
    <w:rPr>
      <w:rFonts w:ascii="Calibri" w:hAnsi="Calibri" w:eastAsia="宋体" w:cs="Times New Roman"/>
      <w:kern w:val="2"/>
      <w:sz w:val="21"/>
      <w:szCs w:val="22"/>
      <w:lang w:val="en-US" w:eastAsia="zh-CN" w:bidi="ar-SA"/>
    </w:rPr>
  </w:style>
  <w:style w:type="paragraph" w:customStyle="1" w:styleId="184">
    <w:name w:val="Normal_24_1"/>
    <w:autoRedefine/>
    <w:qFormat/>
    <w:uiPriority w:val="0"/>
    <w:rPr>
      <w:rFonts w:ascii="Times New Roman" w:hAnsi="Times New Roman" w:eastAsia="Times New Roman" w:cs="Times New Roman"/>
      <w:sz w:val="24"/>
      <w:szCs w:val="24"/>
      <w:lang w:val="en-US" w:eastAsia="zh-CN" w:bidi="ar-SA"/>
    </w:rPr>
  </w:style>
  <w:style w:type="paragraph" w:customStyle="1" w:styleId="185">
    <w:name w:val="目次、标准名称标题"/>
    <w:basedOn w:val="1"/>
    <w:next w:val="1"/>
    <w:autoRedefine/>
    <w:qFormat/>
    <w:uiPriority w:val="0"/>
    <w:pPr>
      <w:widowControl/>
      <w:shd w:val="clear" w:color="FFFFFF" w:fill="FFFFFF"/>
      <w:spacing w:before="640" w:after="560" w:line="460" w:lineRule="exact"/>
      <w:outlineLvl w:val="0"/>
    </w:pPr>
    <w:rPr>
      <w:rFonts w:ascii="黑体" w:eastAsia="黑体"/>
      <w:kern w:val="0"/>
      <w:sz w:val="32"/>
      <w:szCs w:val="20"/>
    </w:rPr>
  </w:style>
  <w:style w:type="paragraph" w:customStyle="1" w:styleId="186">
    <w:name w:val="正文_16_0_2"/>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187">
    <w:name w:val="WPSOffice手动目录 2"/>
    <w:autoRedefine/>
    <w:qFormat/>
    <w:uiPriority w:val="0"/>
    <w:pPr>
      <w:ind w:left="200" w:leftChars="200"/>
    </w:pPr>
    <w:rPr>
      <w:rFonts w:ascii="Calibri" w:hAnsi="Calibri" w:eastAsia="宋体" w:cs="Times New Roman"/>
      <w:lang w:val="en-US" w:eastAsia="zh-CN" w:bidi="ar-SA"/>
    </w:rPr>
  </w:style>
  <w:style w:type="paragraph" w:customStyle="1" w:styleId="188">
    <w:name w:val="Normal_25_0"/>
    <w:autoRedefine/>
    <w:qFormat/>
    <w:uiPriority w:val="0"/>
    <w:rPr>
      <w:rFonts w:ascii="黑体" w:hAnsi="黑体" w:eastAsia="黑体" w:cs="Times New Roman"/>
      <w:b/>
      <w:sz w:val="32"/>
      <w:szCs w:val="24"/>
      <w:lang w:val="en-US" w:eastAsia="zh-CN" w:bidi="ar-SA"/>
    </w:rPr>
  </w:style>
  <w:style w:type="paragraph" w:customStyle="1" w:styleId="189">
    <w:name w:val="表格正文"/>
    <w:basedOn w:val="1"/>
    <w:autoRedefine/>
    <w:qFormat/>
    <w:uiPriority w:val="0"/>
    <w:pPr>
      <w:spacing w:line="360" w:lineRule="atLeast"/>
      <w:textAlignment w:val="baseline"/>
    </w:pPr>
    <w:rPr>
      <w:szCs w:val="22"/>
    </w:rPr>
  </w:style>
  <w:style w:type="paragraph" w:customStyle="1" w:styleId="190">
    <w:name w:val="Char Char Char Char Char Char1 Char Char Char Char"/>
    <w:basedOn w:val="1"/>
    <w:autoRedefine/>
    <w:qFormat/>
    <w:uiPriority w:val="0"/>
    <w:rPr>
      <w:rFonts w:ascii="Tahoma" w:hAnsi="Tahoma" w:eastAsia="Times New Roman"/>
      <w:kern w:val="0"/>
      <w:sz w:val="24"/>
      <w:szCs w:val="20"/>
    </w:rPr>
  </w:style>
  <w:style w:type="paragraph" w:customStyle="1" w:styleId="191">
    <w:name w:val="Normal_21_1"/>
    <w:autoRedefine/>
    <w:qFormat/>
    <w:uiPriority w:val="0"/>
    <w:rPr>
      <w:rFonts w:ascii="黑体" w:hAnsi="黑体" w:eastAsia="黑体" w:cs="Times New Roman"/>
      <w:b/>
      <w:sz w:val="32"/>
      <w:szCs w:val="24"/>
      <w:lang w:val="en-US" w:eastAsia="zh-CN" w:bidi="ar-SA"/>
    </w:rPr>
  </w:style>
  <w:style w:type="paragraph" w:customStyle="1" w:styleId="192">
    <w:name w:val="正文_16_0_0_0"/>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193">
    <w:name w:val="Decimal Aligned"/>
    <w:basedOn w:val="1"/>
    <w:autoRedefine/>
    <w:qFormat/>
    <w:uiPriority w:val="40"/>
    <w:pPr>
      <w:widowControl/>
      <w:tabs>
        <w:tab w:val="decimal" w:pos="360"/>
      </w:tabs>
      <w:spacing w:after="200" w:line="276" w:lineRule="auto"/>
      <w:jc w:val="left"/>
    </w:pPr>
    <w:rPr>
      <w:kern w:val="0"/>
      <w:sz w:val="22"/>
      <w:szCs w:val="22"/>
    </w:rPr>
  </w:style>
  <w:style w:type="paragraph" w:customStyle="1" w:styleId="194">
    <w:name w:val="正文_16_2_1"/>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195">
    <w:name w:val="Char Char Char"/>
    <w:basedOn w:val="1"/>
    <w:autoRedefine/>
    <w:qFormat/>
    <w:uiPriority w:val="0"/>
    <w:rPr>
      <w:rFonts w:ascii="宋体" w:hAnsi="宋体"/>
      <w:b/>
      <w:sz w:val="28"/>
      <w:szCs w:val="28"/>
    </w:rPr>
  </w:style>
  <w:style w:type="paragraph" w:customStyle="1" w:styleId="196">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197">
    <w:name w:val="正文_1"/>
    <w:autoRedefine/>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98">
    <w:name w:val="p0"/>
    <w:basedOn w:val="1"/>
    <w:autoRedefine/>
    <w:qFormat/>
    <w:uiPriority w:val="0"/>
    <w:pPr>
      <w:widowControl/>
    </w:pPr>
    <w:rPr>
      <w:rFonts w:ascii="Times New Roman" w:hAnsi="Times New Roman"/>
      <w:kern w:val="0"/>
      <w:szCs w:val="21"/>
    </w:rPr>
  </w:style>
  <w:style w:type="paragraph" w:customStyle="1" w:styleId="199">
    <w:name w:val="Normal_14_1"/>
    <w:autoRedefine/>
    <w:qFormat/>
    <w:uiPriority w:val="0"/>
    <w:rPr>
      <w:rFonts w:ascii="黑体" w:hAnsi="黑体" w:eastAsia="黑体" w:cs="Times New Roman"/>
      <w:b/>
      <w:sz w:val="32"/>
      <w:szCs w:val="24"/>
      <w:lang w:val="en-US" w:eastAsia="zh-CN" w:bidi="ar-SA"/>
    </w:rPr>
  </w:style>
  <w:style w:type="paragraph" w:customStyle="1" w:styleId="200">
    <w:name w:val="正文_9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01">
    <w:name w:val="正文_4_9"/>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2">
    <w:name w:val="正文_11_0_0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03">
    <w:name w:val="列出段落_0_0_0_0_0"/>
    <w:basedOn w:val="1"/>
    <w:autoRedefine/>
    <w:qFormat/>
    <w:uiPriority w:val="0"/>
    <w:pPr>
      <w:ind w:firstLine="420"/>
    </w:pPr>
    <w:rPr>
      <w:szCs w:val="22"/>
    </w:rPr>
  </w:style>
  <w:style w:type="paragraph" w:customStyle="1" w:styleId="204">
    <w:name w:val="Normal_18_1"/>
    <w:autoRedefine/>
    <w:qFormat/>
    <w:uiPriority w:val="0"/>
    <w:rPr>
      <w:rFonts w:ascii="黑体" w:hAnsi="黑体" w:eastAsia="黑体" w:cs="Times New Roman"/>
      <w:b/>
      <w:sz w:val="32"/>
      <w:szCs w:val="24"/>
      <w:lang w:val="en-US" w:eastAsia="zh-CN" w:bidi="ar-SA"/>
    </w:rPr>
  </w:style>
  <w:style w:type="paragraph" w:customStyle="1" w:styleId="205">
    <w:name w:val="正文_6_3"/>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06">
    <w:name w:val="正文_16_0_0_1"/>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207">
    <w:name w:val="正文_17_0_2"/>
    <w:autoRedefine/>
    <w:qFormat/>
    <w:uiPriority w:val="0"/>
    <w:pPr>
      <w:widowControl w:val="0"/>
      <w:jc w:val="both"/>
    </w:pPr>
    <w:rPr>
      <w:rFonts w:ascii="Times New Roman" w:hAnsi="Times New Roman" w:eastAsia="宋体" w:cs="Times New Roman"/>
      <w:color w:val="0000FF"/>
      <w:kern w:val="2"/>
      <w:sz w:val="24"/>
      <w:szCs w:val="24"/>
      <w:lang w:val="en-US" w:eastAsia="zh-CN" w:bidi="ar-SA"/>
    </w:rPr>
  </w:style>
  <w:style w:type="paragraph" w:customStyle="1" w:styleId="208">
    <w:name w:val="正文_16_1_1"/>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209">
    <w:name w:val="Normal_23_1"/>
    <w:autoRedefine/>
    <w:qFormat/>
    <w:uiPriority w:val="0"/>
    <w:rPr>
      <w:rFonts w:ascii="Times New Roman" w:hAnsi="Times New Roman" w:eastAsia="Times New Roman" w:cs="Times New Roman"/>
      <w:sz w:val="24"/>
      <w:szCs w:val="24"/>
      <w:lang w:val="en-US" w:eastAsia="zh-CN" w:bidi="ar-SA"/>
    </w:rPr>
  </w:style>
  <w:style w:type="paragraph" w:customStyle="1" w:styleId="210">
    <w:name w:val="正文_21_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11">
    <w:name w:val="正文_16_3_1"/>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212">
    <w:name w:val="正文_23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13">
    <w:name w:val="Normal_27_0"/>
    <w:autoRedefine/>
    <w:qFormat/>
    <w:uiPriority w:val="0"/>
    <w:rPr>
      <w:rFonts w:ascii="黑体" w:hAnsi="黑体" w:eastAsia="黑体" w:cs="Times New Roman"/>
      <w:b/>
      <w:sz w:val="32"/>
      <w:szCs w:val="24"/>
      <w:lang w:val="en-US" w:eastAsia="zh-CN" w:bidi="ar-SA"/>
    </w:rPr>
  </w:style>
  <w:style w:type="paragraph" w:customStyle="1" w:styleId="214">
    <w:name w:val="Normal_34_0"/>
    <w:autoRedefine/>
    <w:qFormat/>
    <w:uiPriority w:val="0"/>
    <w:rPr>
      <w:rFonts w:ascii="黑体" w:hAnsi="黑体" w:eastAsia="黑体" w:cs="Times New Roman"/>
      <w:b/>
      <w:sz w:val="32"/>
      <w:szCs w:val="24"/>
      <w:lang w:val="en-US" w:eastAsia="zh-CN" w:bidi="ar-SA"/>
    </w:rPr>
  </w:style>
  <w:style w:type="paragraph" w:customStyle="1" w:styleId="215">
    <w:name w:val="正文_24_3"/>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16">
    <w:name w:val="正文_4_4_0"/>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17">
    <w:name w:val="正文_2_1_0_0_0"/>
    <w:autoRedefine/>
    <w:qFormat/>
    <w:uiPriority w:val="0"/>
    <w:pPr>
      <w:widowControl w:val="0"/>
      <w:jc w:val="both"/>
    </w:pPr>
    <w:rPr>
      <w:rFonts w:ascii="Times New Roman" w:hAnsi="Times New Roman" w:eastAsia="宋体" w:cs="Times New Roman"/>
      <w:color w:val="0000FF"/>
      <w:kern w:val="2"/>
      <w:sz w:val="24"/>
      <w:szCs w:val="24"/>
      <w:lang w:val="en-US" w:eastAsia="zh-CN" w:bidi="ar-SA"/>
    </w:rPr>
  </w:style>
  <w:style w:type="paragraph" w:customStyle="1" w:styleId="218">
    <w:name w:val="正文_50"/>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219">
    <w:name w:val="正文 New"/>
    <w:next w:val="1"/>
    <w:autoRedefine/>
    <w:qFormat/>
    <w:uiPriority w:val="0"/>
    <w:pPr>
      <w:widowControl w:val="0"/>
      <w:spacing w:line="360" w:lineRule="auto"/>
      <w:ind w:firstLine="425"/>
      <w:jc w:val="both"/>
    </w:pPr>
    <w:rPr>
      <w:rFonts w:ascii="Times New Roman" w:hAnsi="Times New Roman" w:eastAsia="宋体" w:cs="Times New Roman"/>
      <w:kern w:val="2"/>
      <w:sz w:val="21"/>
      <w:lang w:val="en-US" w:eastAsia="zh-CN" w:bidi="ar-SA"/>
    </w:rPr>
  </w:style>
  <w:style w:type="table" w:customStyle="1" w:styleId="220">
    <w:name w:val="网格型1"/>
    <w:basedOn w:val="47"/>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21">
    <w:name w:val="网格型2"/>
    <w:basedOn w:val="47"/>
    <w:autoRedefine/>
    <w:qFormat/>
    <w:uiPriority w:val="39"/>
    <w:rPr>
      <w:rFonts w:ascii="等线" w:hAnsi="等线" w:eastAsia="等线"/>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22">
    <w:name w:val="正文1"/>
    <w:basedOn w:val="1"/>
    <w:autoRedefine/>
    <w:qFormat/>
    <w:uiPriority w:val="99"/>
    <w:pPr>
      <w:widowControl/>
      <w:spacing w:line="318" w:lineRule="atLeast"/>
      <w:ind w:left="369" w:firstLine="369"/>
      <w:jc w:val="left"/>
    </w:pPr>
    <w:rPr>
      <w:rFonts w:ascii="宋体"/>
      <w:kern w:val="0"/>
      <w:sz w:val="24"/>
      <w:szCs w:val="22"/>
    </w:rPr>
  </w:style>
  <w:style w:type="character" w:customStyle="1" w:styleId="223">
    <w:name w:val="标题 8 字符"/>
    <w:link w:val="10"/>
    <w:autoRedefine/>
    <w:qFormat/>
    <w:uiPriority w:val="9"/>
    <w:rPr>
      <w:rFonts w:ascii="Cambria" w:hAnsi="Cambria"/>
      <w:b/>
      <w:bCs/>
      <w:color w:val="7F7F7F"/>
    </w:rPr>
  </w:style>
  <w:style w:type="character" w:customStyle="1" w:styleId="224">
    <w:name w:val="标题 9 字符"/>
    <w:link w:val="11"/>
    <w:autoRedefine/>
    <w:qFormat/>
    <w:uiPriority w:val="9"/>
    <w:rPr>
      <w:rFonts w:ascii="Cambria" w:hAnsi="Cambria"/>
      <w:b/>
      <w:bCs/>
      <w:i/>
      <w:iCs/>
      <w:color w:val="7F7F7F"/>
      <w:sz w:val="18"/>
      <w:szCs w:val="18"/>
    </w:rPr>
  </w:style>
  <w:style w:type="character" w:customStyle="1" w:styleId="225">
    <w:name w:val="正文缩进 字符"/>
    <w:link w:val="2"/>
    <w:autoRedefine/>
    <w:qFormat/>
    <w:uiPriority w:val="0"/>
    <w:rPr>
      <w:rFonts w:ascii="Times New Roman" w:hAnsi="Times New Roman"/>
      <w:kern w:val="2"/>
      <w:sz w:val="21"/>
    </w:rPr>
  </w:style>
  <w:style w:type="character" w:customStyle="1" w:styleId="226">
    <w:name w:val="正文文本缩进 字符"/>
    <w:link w:val="18"/>
    <w:autoRedefine/>
    <w:qFormat/>
    <w:uiPriority w:val="0"/>
    <w:rPr>
      <w:rFonts w:ascii="Times New Roman" w:hAnsi="Times New Roman"/>
      <w:kern w:val="2"/>
      <w:sz w:val="21"/>
    </w:rPr>
  </w:style>
  <w:style w:type="character" w:customStyle="1" w:styleId="227">
    <w:name w:val="尾注文本 字符"/>
    <w:link w:val="25"/>
    <w:autoRedefine/>
    <w:qFormat/>
    <w:uiPriority w:val="99"/>
    <w:rPr>
      <w:rFonts w:ascii="宋体" w:hAnsi="宋体"/>
      <w:sz w:val="28"/>
    </w:rPr>
  </w:style>
  <w:style w:type="character" w:customStyle="1" w:styleId="228">
    <w:name w:val="副标题 字符"/>
    <w:link w:val="33"/>
    <w:autoRedefine/>
    <w:qFormat/>
    <w:uiPriority w:val="0"/>
    <w:rPr>
      <w:rFonts w:ascii="Cambria" w:hAnsi="Cambria"/>
      <w:b/>
      <w:bCs/>
      <w:kern w:val="28"/>
      <w:sz w:val="32"/>
      <w:szCs w:val="32"/>
    </w:rPr>
  </w:style>
  <w:style w:type="character" w:customStyle="1" w:styleId="229">
    <w:name w:val="正文文本 2 字符"/>
    <w:link w:val="41"/>
    <w:autoRedefine/>
    <w:qFormat/>
    <w:uiPriority w:val="0"/>
    <w:rPr>
      <w:rFonts w:ascii="宋体" w:hAnsi="宋体"/>
      <w:bCs/>
      <w:kern w:val="2"/>
      <w:sz w:val="21"/>
      <w:szCs w:val="24"/>
    </w:rPr>
  </w:style>
  <w:style w:type="character" w:customStyle="1" w:styleId="230">
    <w:name w:val="正文文本首行缩进 2 字符"/>
    <w:basedOn w:val="226"/>
    <w:link w:val="46"/>
    <w:autoRedefine/>
    <w:qFormat/>
    <w:uiPriority w:val="99"/>
    <w:rPr>
      <w:rFonts w:ascii="Times New Roman" w:hAnsi="Times New Roman"/>
      <w:kern w:val="2"/>
      <w:sz w:val="21"/>
    </w:rPr>
  </w:style>
  <w:style w:type="character" w:customStyle="1" w:styleId="231">
    <w:name w:val="批注文字 Char"/>
    <w:autoRedefine/>
    <w:qFormat/>
    <w:uiPriority w:val="0"/>
    <w:rPr>
      <w:kern w:val="2"/>
      <w:sz w:val="21"/>
    </w:rPr>
  </w:style>
  <w:style w:type="character" w:customStyle="1" w:styleId="232">
    <w:name w:val="NormalCharacter"/>
    <w:autoRedefine/>
    <w:qFormat/>
    <w:uiPriority w:val="0"/>
  </w:style>
  <w:style w:type="character" w:customStyle="1" w:styleId="233">
    <w:name w:val="无间隔 字符"/>
    <w:link w:val="178"/>
    <w:autoRedefine/>
    <w:qFormat/>
    <w:uiPriority w:val="0"/>
    <w:rPr>
      <w:kern w:val="2"/>
      <w:sz w:val="21"/>
      <w:szCs w:val="22"/>
    </w:rPr>
  </w:style>
  <w:style w:type="character" w:customStyle="1" w:styleId="234">
    <w:name w:val="未处理的提及1"/>
    <w:autoRedefine/>
    <w:unhideWhenUsed/>
    <w:qFormat/>
    <w:uiPriority w:val="99"/>
    <w:rPr>
      <w:color w:val="605E5C"/>
      <w:shd w:val="clear" w:color="auto" w:fill="E1DFDD"/>
    </w:rPr>
  </w:style>
  <w:style w:type="character" w:customStyle="1" w:styleId="235">
    <w:name w:val="纯文本 Char"/>
    <w:autoRedefine/>
    <w:qFormat/>
    <w:uiPriority w:val="0"/>
    <w:rPr>
      <w:rFonts w:ascii="宋体" w:hAnsi="Courier New" w:eastAsia="宋体" w:cs="Courier New"/>
      <w:kern w:val="2"/>
      <w:sz w:val="21"/>
      <w:szCs w:val="21"/>
      <w:lang w:val="en-US" w:eastAsia="zh-CN" w:bidi="ar-SA"/>
    </w:rPr>
  </w:style>
  <w:style w:type="character" w:customStyle="1" w:styleId="236">
    <w:name w:val="副标题 Char1"/>
    <w:autoRedefine/>
    <w:qFormat/>
    <w:uiPriority w:val="0"/>
    <w:rPr>
      <w:rFonts w:ascii="Cambria" w:hAnsi="Cambria" w:cs="Times New Roman"/>
      <w:b/>
      <w:bCs/>
      <w:kern w:val="28"/>
      <w:sz w:val="32"/>
      <w:szCs w:val="32"/>
    </w:rPr>
  </w:style>
  <w:style w:type="character" w:customStyle="1" w:styleId="237">
    <w:name w:val="表格文字 Char Char Char"/>
    <w:autoRedefine/>
    <w:qFormat/>
    <w:uiPriority w:val="0"/>
    <w:rPr>
      <w:bCs/>
      <w:spacing w:val="10"/>
      <w:sz w:val="24"/>
    </w:rPr>
  </w:style>
  <w:style w:type="character" w:customStyle="1" w:styleId="238">
    <w:name w:val="标题 1 Char"/>
    <w:autoRedefine/>
    <w:qFormat/>
    <w:uiPriority w:val="9"/>
    <w:rPr>
      <w:rFonts w:ascii="Arial" w:hAnsi="Arial" w:eastAsia="宋体" w:cs="Arial"/>
      <w:bCs/>
      <w:kern w:val="32"/>
      <w:sz w:val="32"/>
      <w:szCs w:val="32"/>
      <w:lang w:val="en-US" w:eastAsia="zh-CN" w:bidi="ar-SA"/>
    </w:rPr>
  </w:style>
  <w:style w:type="character" w:customStyle="1" w:styleId="239">
    <w:name w:val="A5"/>
    <w:autoRedefine/>
    <w:qFormat/>
    <w:uiPriority w:val="0"/>
    <w:rPr>
      <w:rFonts w:cs="思源黑体"/>
      <w:b/>
      <w:bCs/>
      <w:color w:val="000000"/>
      <w:sz w:val="20"/>
      <w:szCs w:val="20"/>
    </w:rPr>
  </w:style>
  <w:style w:type="character" w:customStyle="1" w:styleId="240">
    <w:name w:val="表格文字 Char Char Char Char"/>
    <w:autoRedefine/>
    <w:qFormat/>
    <w:uiPriority w:val="0"/>
    <w:rPr>
      <w:bCs/>
      <w:spacing w:val="10"/>
      <w:sz w:val="24"/>
    </w:rPr>
  </w:style>
  <w:style w:type="character" w:customStyle="1" w:styleId="241">
    <w:name w:val="A10"/>
    <w:autoRedefine/>
    <w:qFormat/>
    <w:uiPriority w:val="0"/>
    <w:rPr>
      <w:rFonts w:cs="思源黑体"/>
      <w:color w:val="000000"/>
      <w:sz w:val="12"/>
      <w:szCs w:val="12"/>
    </w:rPr>
  </w:style>
  <w:style w:type="character" w:customStyle="1" w:styleId="242">
    <w:name w:val="A7"/>
    <w:autoRedefine/>
    <w:qFormat/>
    <w:uiPriority w:val="0"/>
    <w:rPr>
      <w:rFonts w:cs="思源黑体"/>
      <w:color w:val="000000"/>
      <w:sz w:val="16"/>
      <w:szCs w:val="16"/>
    </w:rPr>
  </w:style>
  <w:style w:type="paragraph" w:customStyle="1" w:styleId="243">
    <w:name w:val="普通 (Web)"/>
    <w:basedOn w:val="1"/>
    <w:autoRedefine/>
    <w:qFormat/>
    <w:uiPriority w:val="0"/>
    <w:pPr>
      <w:widowControl/>
      <w:spacing w:before="100" w:beforeAutospacing="1" w:after="100" w:afterAutospacing="1"/>
      <w:jc w:val="left"/>
    </w:pPr>
    <w:rPr>
      <w:rFonts w:ascii="宋体" w:hAnsi="宋体"/>
      <w:kern w:val="0"/>
      <w:sz w:val="24"/>
      <w:szCs w:val="20"/>
    </w:rPr>
  </w:style>
  <w:style w:type="paragraph" w:customStyle="1" w:styleId="244">
    <w:name w:val="正文 New New"/>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45">
    <w:name w:val="办公自动化专用标题"/>
    <w:basedOn w:val="43"/>
    <w:autoRedefine/>
    <w:qFormat/>
    <w:uiPriority w:val="0"/>
    <w:pPr>
      <w:spacing w:before="240" w:after="60" w:line="560" w:lineRule="atLeast"/>
      <w:outlineLvl w:val="0"/>
    </w:pPr>
    <w:rPr>
      <w:rFonts w:hAnsi="Arial"/>
      <w:snapToGrid/>
      <w:kern w:val="2"/>
      <w:sz w:val="44"/>
    </w:rPr>
  </w:style>
  <w:style w:type="paragraph" w:customStyle="1" w:styleId="246">
    <w:name w:val="默认"/>
    <w:autoRedefine/>
    <w:qFormat/>
    <w:uiPriority w:val="0"/>
    <w:rPr>
      <w:rFonts w:ascii="Helvetica" w:hAnsi="Helvetica" w:eastAsia="Arial Unicode MS" w:cs="Arial Unicode MS"/>
      <w:color w:val="000000"/>
      <w:sz w:val="22"/>
      <w:szCs w:val="22"/>
      <w:lang w:val="en-US" w:eastAsia="zh-CN" w:bidi="ar-SA"/>
    </w:rPr>
  </w:style>
  <w:style w:type="paragraph" w:customStyle="1" w:styleId="247">
    <w:name w:val="正文 New New New New New New New New New New New New New New New New"/>
    <w:autoRedefine/>
    <w:qFormat/>
    <w:uiPriority w:val="0"/>
    <w:pPr>
      <w:widowControl w:val="0"/>
      <w:spacing w:line="360" w:lineRule="auto"/>
      <w:ind w:firstLine="425"/>
      <w:jc w:val="both"/>
    </w:pPr>
    <w:rPr>
      <w:rFonts w:ascii="Times New Roman" w:hAnsi="Times New Roman" w:eastAsia="宋体" w:cs="Times New Roman"/>
      <w:kern w:val="2"/>
      <w:sz w:val="21"/>
      <w:lang w:val="en-US" w:eastAsia="zh-CN" w:bidi="ar-SA"/>
    </w:rPr>
  </w:style>
  <w:style w:type="paragraph" w:customStyle="1" w:styleId="248">
    <w:name w:val="表正文"/>
    <w:basedOn w:val="1"/>
    <w:next w:val="2"/>
    <w:autoRedefine/>
    <w:qFormat/>
    <w:uiPriority w:val="0"/>
    <w:pPr>
      <w:spacing w:after="120" w:line="360" w:lineRule="auto"/>
      <w:ind w:firstLine="425"/>
    </w:pPr>
    <w:rPr>
      <w:rFonts w:ascii="Times New Roman" w:hAnsi="Times New Roman"/>
      <w:sz w:val="28"/>
      <w:szCs w:val="20"/>
    </w:rPr>
  </w:style>
  <w:style w:type="paragraph" w:customStyle="1" w:styleId="249">
    <w:name w:val="正文 New New New New New New"/>
    <w:autoRedefine/>
    <w:qFormat/>
    <w:uiPriority w:val="0"/>
    <w:pPr>
      <w:widowControl w:val="0"/>
      <w:spacing w:line="360" w:lineRule="auto"/>
      <w:ind w:firstLine="425"/>
      <w:jc w:val="both"/>
    </w:pPr>
    <w:rPr>
      <w:rFonts w:ascii="Times New Roman" w:hAnsi="Times New Roman" w:eastAsia="宋体" w:cs="Times New Roman"/>
      <w:kern w:val="2"/>
      <w:sz w:val="21"/>
      <w:lang w:val="en-US" w:eastAsia="zh-CN" w:bidi="ar-SA"/>
    </w:rPr>
  </w:style>
  <w:style w:type="paragraph" w:customStyle="1" w:styleId="250">
    <w:name w:val="列出段落 New"/>
    <w:basedOn w:val="1"/>
    <w:autoRedefine/>
    <w:qFormat/>
    <w:uiPriority w:val="0"/>
    <w:pPr>
      <w:ind w:firstLine="420" w:firstLineChars="200"/>
    </w:pPr>
    <w:rPr>
      <w:rFonts w:ascii="Times New Roman" w:hAnsi="Times New Roman"/>
    </w:rPr>
  </w:style>
  <w:style w:type="paragraph" w:customStyle="1" w:styleId="251">
    <w:name w:val="Normal New"/>
    <w:autoRedefine/>
    <w:qFormat/>
    <w:uiPriority w:val="0"/>
    <w:pPr>
      <w:widowControl w:val="0"/>
      <w:jc w:val="both"/>
    </w:pPr>
    <w:rPr>
      <w:rFonts w:ascii="Times New Roman" w:hAnsi="Times New Roman" w:eastAsia="宋体" w:cs="Times New Roman"/>
      <w:color w:val="0000FF"/>
      <w:kern w:val="2"/>
      <w:sz w:val="24"/>
      <w:lang w:val="en-US" w:eastAsia="zh-CN" w:bidi="ar-SA"/>
    </w:rPr>
  </w:style>
  <w:style w:type="paragraph" w:customStyle="1" w:styleId="252">
    <w:name w:val="题注5"/>
    <w:basedOn w:val="1"/>
    <w:next w:val="13"/>
    <w:autoRedefine/>
    <w:qFormat/>
    <w:uiPriority w:val="0"/>
    <w:pPr>
      <w:jc w:val="center"/>
    </w:pPr>
    <w:rPr>
      <w:rFonts w:ascii="Times New Roman" w:hAnsi="Times New Roman"/>
      <w:b/>
      <w:color w:val="000000"/>
      <w:sz w:val="24"/>
      <w:szCs w:val="21"/>
    </w:rPr>
  </w:style>
  <w:style w:type="paragraph" w:customStyle="1" w:styleId="253">
    <w:name w:val="Pa0"/>
    <w:basedOn w:val="1"/>
    <w:next w:val="1"/>
    <w:autoRedefine/>
    <w:qFormat/>
    <w:uiPriority w:val="0"/>
    <w:pPr>
      <w:autoSpaceDE w:val="0"/>
      <w:autoSpaceDN w:val="0"/>
      <w:adjustRightInd w:val="0"/>
      <w:spacing w:line="241" w:lineRule="atLeast"/>
      <w:jc w:val="left"/>
    </w:pPr>
    <w:rPr>
      <w:rFonts w:ascii="思源黑体" w:eastAsia="思源黑体"/>
      <w:kern w:val="0"/>
      <w:sz w:val="24"/>
    </w:rPr>
  </w:style>
  <w:style w:type="paragraph" w:customStyle="1" w:styleId="254">
    <w:name w:val="正文 New New New New New New New New"/>
    <w:autoRedefine/>
    <w:qFormat/>
    <w:uiPriority w:val="0"/>
    <w:pPr>
      <w:widowControl w:val="0"/>
      <w:spacing w:line="360" w:lineRule="auto"/>
      <w:ind w:firstLine="425"/>
      <w:jc w:val="both"/>
    </w:pPr>
    <w:rPr>
      <w:rFonts w:ascii="Times New Roman" w:hAnsi="Times New Roman" w:eastAsia="宋体" w:cs="Times New Roman"/>
      <w:kern w:val="2"/>
      <w:sz w:val="21"/>
      <w:lang w:val="en-US" w:eastAsia="zh-CN" w:bidi="ar-SA"/>
    </w:rPr>
  </w:style>
  <w:style w:type="paragraph" w:customStyle="1" w:styleId="255">
    <w:name w:val="列表段落1"/>
    <w:basedOn w:val="1"/>
    <w:autoRedefine/>
    <w:qFormat/>
    <w:uiPriority w:val="0"/>
    <w:pPr>
      <w:ind w:firstLine="420" w:firstLineChars="200"/>
    </w:pPr>
    <w:rPr>
      <w:rFonts w:ascii="Times New Roman" w:hAnsi="Times New Roman"/>
    </w:rPr>
  </w:style>
  <w:style w:type="paragraph" w:customStyle="1" w:styleId="256">
    <w:name w:val="正文 New New New New New"/>
    <w:autoRedefine/>
    <w:qFormat/>
    <w:uiPriority w:val="0"/>
    <w:pPr>
      <w:widowControl w:val="0"/>
      <w:spacing w:line="360" w:lineRule="auto"/>
      <w:ind w:firstLine="425"/>
      <w:jc w:val="both"/>
    </w:pPr>
    <w:rPr>
      <w:rFonts w:ascii="Times New Roman" w:hAnsi="Times New Roman" w:eastAsia="宋体" w:cs="Times New Roman"/>
      <w:kern w:val="2"/>
      <w:sz w:val="21"/>
      <w:lang w:val="en-US" w:eastAsia="zh-CN" w:bidi="ar-SA"/>
    </w:rPr>
  </w:style>
  <w:style w:type="paragraph" w:customStyle="1" w:styleId="257">
    <w:name w:val="xl25"/>
    <w:basedOn w:val="1"/>
    <w:autoRedefine/>
    <w:qFormat/>
    <w:uiPriority w:val="0"/>
    <w:pPr>
      <w:widowControl/>
      <w:pBdr>
        <w:bottom w:val="single" w:color="auto" w:sz="4" w:space="0"/>
        <w:right w:val="single" w:color="auto" w:sz="4" w:space="0"/>
      </w:pBdr>
      <w:spacing w:before="100" w:beforeAutospacing="1" w:after="100" w:afterAutospacing="1"/>
      <w:jc w:val="center"/>
    </w:pPr>
    <w:rPr>
      <w:rFonts w:ascii="宋体" w:hAnsi="宋体"/>
      <w:kern w:val="0"/>
      <w:szCs w:val="21"/>
    </w:rPr>
  </w:style>
  <w:style w:type="paragraph" w:customStyle="1" w:styleId="258">
    <w:name w:val="Char Char2 Char"/>
    <w:basedOn w:val="1"/>
    <w:autoRedefine/>
    <w:qFormat/>
    <w:uiPriority w:val="0"/>
    <w:rPr>
      <w:rFonts w:ascii="宋体" w:hAnsi="宋体"/>
      <w:b/>
      <w:sz w:val="28"/>
      <w:szCs w:val="28"/>
    </w:rPr>
  </w:style>
  <w:style w:type="paragraph" w:customStyle="1" w:styleId="259">
    <w:name w:val="Char"/>
    <w:basedOn w:val="14"/>
    <w:autoRedefine/>
    <w:qFormat/>
    <w:uiPriority w:val="0"/>
    <w:pPr>
      <w:shd w:val="clear" w:color="auto" w:fill="000080"/>
    </w:pPr>
    <w:rPr>
      <w:rFonts w:ascii="Tahoma" w:hAnsi="Tahoma"/>
      <w:kern w:val="2"/>
      <w:sz w:val="24"/>
      <w:szCs w:val="24"/>
    </w:rPr>
  </w:style>
  <w:style w:type="paragraph" w:customStyle="1" w:styleId="260">
    <w:name w:val="正文 New New New"/>
    <w:autoRedefine/>
    <w:qFormat/>
    <w:uiPriority w:val="0"/>
    <w:pPr>
      <w:widowControl w:val="0"/>
      <w:spacing w:line="360" w:lineRule="auto"/>
      <w:ind w:firstLine="425"/>
      <w:jc w:val="both"/>
    </w:pPr>
    <w:rPr>
      <w:rFonts w:ascii="Times New Roman" w:hAnsi="Times New Roman" w:eastAsia="宋体" w:cs="Times New Roman"/>
      <w:kern w:val="2"/>
      <w:sz w:val="21"/>
      <w:lang w:val="en-US" w:eastAsia="zh-CN" w:bidi="ar-SA"/>
    </w:rPr>
  </w:style>
  <w:style w:type="paragraph" w:customStyle="1" w:styleId="261">
    <w:name w:val="正文 New New New New New New New New New New New New New New New New New New New New New New New New New New New New New New New New New New New New New New New"/>
    <w:autoRedefine/>
    <w:qFormat/>
    <w:uiPriority w:val="0"/>
    <w:pPr>
      <w:widowControl w:val="0"/>
      <w:spacing w:line="360" w:lineRule="auto"/>
      <w:ind w:firstLine="480" w:firstLineChars="200"/>
    </w:pPr>
    <w:rPr>
      <w:rFonts w:ascii="Times New Roman" w:hAnsi="Times New Roman" w:eastAsia="宋体" w:cs="Times New Roman"/>
      <w:kern w:val="2"/>
      <w:sz w:val="24"/>
      <w:szCs w:val="24"/>
      <w:lang w:val="en-US" w:eastAsia="zh-CN" w:bidi="ar-SA"/>
    </w:rPr>
  </w:style>
  <w:style w:type="paragraph" w:customStyle="1" w:styleId="262">
    <w:name w:val="题注1"/>
    <w:basedOn w:val="1"/>
    <w:next w:val="13"/>
    <w:autoRedefine/>
    <w:qFormat/>
    <w:uiPriority w:val="0"/>
    <w:pPr>
      <w:ind w:left="-107" w:leftChars="-51" w:firstLine="1"/>
      <w:jc w:val="center"/>
    </w:pPr>
    <w:rPr>
      <w:rFonts w:ascii="Times New Roman" w:hAnsi="Times New Roman" w:eastAsia="华文中宋"/>
      <w:b/>
      <w:bCs/>
      <w:sz w:val="32"/>
    </w:rPr>
  </w:style>
  <w:style w:type="paragraph" w:customStyle="1" w:styleId="263">
    <w:name w:val="默认段落字体 Para Char"/>
    <w:basedOn w:val="1"/>
    <w:autoRedefine/>
    <w:qFormat/>
    <w:uiPriority w:val="0"/>
    <w:rPr>
      <w:rFonts w:ascii="宋体" w:hAnsi="宋体"/>
      <w:b/>
      <w:sz w:val="28"/>
      <w:szCs w:val="28"/>
    </w:rPr>
  </w:style>
  <w:style w:type="paragraph" w:customStyle="1" w:styleId="264">
    <w:name w:val="缺省文本"/>
    <w:basedOn w:val="1"/>
    <w:autoRedefine/>
    <w:qFormat/>
    <w:uiPriority w:val="0"/>
    <w:pPr>
      <w:autoSpaceDE w:val="0"/>
      <w:autoSpaceDN w:val="0"/>
      <w:adjustRightInd w:val="0"/>
      <w:jc w:val="left"/>
    </w:pPr>
    <w:rPr>
      <w:rFonts w:ascii="Times New Roman" w:hAnsi="Times New Roman"/>
      <w:kern w:val="0"/>
      <w:sz w:val="24"/>
    </w:rPr>
  </w:style>
  <w:style w:type="paragraph" w:customStyle="1" w:styleId="265">
    <w:name w:val="图"/>
    <w:basedOn w:val="1"/>
    <w:autoRedefine/>
    <w:qFormat/>
    <w:uiPriority w:val="0"/>
    <w:pPr>
      <w:keepNext/>
      <w:adjustRightInd w:val="0"/>
      <w:spacing w:before="60" w:after="60" w:line="300" w:lineRule="auto"/>
      <w:jc w:val="center"/>
      <w:textAlignment w:val="center"/>
    </w:pPr>
    <w:rPr>
      <w:rFonts w:ascii="Times New Roman" w:hAnsi="Times New Roman"/>
      <w:spacing w:val="20"/>
      <w:kern w:val="0"/>
      <w:sz w:val="24"/>
      <w:szCs w:val="20"/>
    </w:rPr>
  </w:style>
  <w:style w:type="paragraph" w:customStyle="1" w:styleId="266">
    <w:name w:val="a"/>
    <w:basedOn w:val="1"/>
    <w:autoRedefine/>
    <w:qFormat/>
    <w:uiPriority w:val="0"/>
    <w:pPr>
      <w:widowControl/>
      <w:spacing w:before="100" w:beforeAutospacing="1" w:after="100" w:afterAutospacing="1"/>
      <w:jc w:val="left"/>
    </w:pPr>
    <w:rPr>
      <w:rFonts w:ascii="ˎ̥" w:hAnsi="ˎ̥" w:cs="宋体"/>
      <w:kern w:val="0"/>
      <w:sz w:val="18"/>
      <w:szCs w:val="18"/>
    </w:rPr>
  </w:style>
  <w:style w:type="paragraph" w:customStyle="1" w:styleId="267">
    <w:name w:val="Char Char Char Char Char Char Char"/>
    <w:basedOn w:val="1"/>
    <w:autoRedefine/>
    <w:qFormat/>
    <w:uiPriority w:val="0"/>
    <w:pPr>
      <w:tabs>
        <w:tab w:val="left" w:pos="425"/>
      </w:tabs>
      <w:ind w:left="425" w:hanging="425"/>
    </w:pPr>
    <w:rPr>
      <w:rFonts w:ascii="Times New Roman" w:hAnsi="Times New Roman" w:eastAsia="仿宋_GB2312"/>
      <w:kern w:val="24"/>
      <w:sz w:val="24"/>
    </w:rPr>
  </w:style>
  <w:style w:type="paragraph" w:customStyle="1" w:styleId="268">
    <w:name w:val="正文 New New New New New New New"/>
    <w:autoRedefine/>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69">
    <w:name w:val="正文 New New New New New New New New New New"/>
    <w:autoRedefine/>
    <w:qFormat/>
    <w:uiPriority w:val="0"/>
    <w:pPr>
      <w:widowControl w:val="0"/>
      <w:spacing w:line="360" w:lineRule="auto"/>
      <w:ind w:firstLine="425"/>
      <w:jc w:val="both"/>
    </w:pPr>
    <w:rPr>
      <w:rFonts w:ascii="Times New Roman" w:hAnsi="Times New Roman" w:eastAsia="宋体" w:cs="Times New Roman"/>
      <w:kern w:val="2"/>
      <w:sz w:val="21"/>
      <w:lang w:val="en-US" w:eastAsia="zh-CN" w:bidi="ar-SA"/>
    </w:rPr>
  </w:style>
  <w:style w:type="paragraph" w:customStyle="1" w:styleId="270">
    <w:name w:val="Pa3"/>
    <w:basedOn w:val="196"/>
    <w:next w:val="196"/>
    <w:autoRedefine/>
    <w:qFormat/>
    <w:uiPriority w:val="0"/>
    <w:pPr>
      <w:spacing w:line="241" w:lineRule="atLeast"/>
    </w:pPr>
    <w:rPr>
      <w:rFonts w:ascii="思源黑体" w:hAnsi="Times New Roman" w:eastAsia="思源黑体" w:cs="Times New Roman"/>
      <w:color w:val="auto"/>
    </w:rPr>
  </w:style>
  <w:style w:type="paragraph" w:customStyle="1" w:styleId="271">
    <w:name w:val="Char1"/>
    <w:basedOn w:val="1"/>
    <w:autoRedefine/>
    <w:qFormat/>
    <w:uiPriority w:val="0"/>
    <w:pPr>
      <w:widowControl/>
      <w:spacing w:after="160" w:line="240" w:lineRule="exact"/>
      <w:jc w:val="left"/>
    </w:pPr>
    <w:rPr>
      <w:rFonts w:ascii="Verdana" w:hAnsi="Verdana"/>
      <w:kern w:val="0"/>
      <w:szCs w:val="20"/>
      <w:lang w:eastAsia="en-US"/>
    </w:rPr>
  </w:style>
  <w:style w:type="paragraph" w:customStyle="1" w:styleId="272">
    <w:name w:val="_Style 271"/>
    <w:basedOn w:val="17"/>
    <w:next w:val="45"/>
    <w:link w:val="287"/>
    <w:autoRedefine/>
    <w:qFormat/>
    <w:uiPriority w:val="99"/>
    <w:pPr>
      <w:ind w:firstLine="420" w:firstLineChars="100"/>
    </w:pPr>
    <w:rPr>
      <w:szCs w:val="20"/>
    </w:rPr>
  </w:style>
  <w:style w:type="character" w:customStyle="1" w:styleId="273">
    <w:name w:val="页脚 Char"/>
    <w:autoRedefine/>
    <w:qFormat/>
    <w:uiPriority w:val="0"/>
    <w:rPr>
      <w:rFonts w:eastAsia="宋体"/>
      <w:kern w:val="2"/>
      <w:sz w:val="18"/>
      <w:szCs w:val="18"/>
      <w:lang w:val="en-US" w:eastAsia="zh-CN" w:bidi="ar-SA"/>
    </w:rPr>
  </w:style>
  <w:style w:type="character" w:customStyle="1" w:styleId="274">
    <w:name w:val="正文缩进 Char"/>
    <w:autoRedefine/>
    <w:qFormat/>
    <w:uiPriority w:val="0"/>
    <w:rPr>
      <w:rFonts w:eastAsia="宋体"/>
      <w:kern w:val="2"/>
      <w:sz w:val="21"/>
      <w:lang w:val="en-US" w:eastAsia="zh-CN" w:bidi="ar-SA"/>
    </w:rPr>
  </w:style>
  <w:style w:type="character" w:customStyle="1" w:styleId="275">
    <w:name w:val="页眉 Char"/>
    <w:autoRedefine/>
    <w:qFormat/>
    <w:uiPriority w:val="0"/>
    <w:rPr>
      <w:rFonts w:eastAsia="宋体"/>
      <w:kern w:val="2"/>
      <w:sz w:val="21"/>
      <w:lang w:val="en-US" w:eastAsia="zh-CN" w:bidi="ar-SA"/>
    </w:rPr>
  </w:style>
  <w:style w:type="character" w:customStyle="1" w:styleId="276">
    <w:name w:val="无间隔 Char"/>
    <w:autoRedefine/>
    <w:qFormat/>
    <w:uiPriority w:val="0"/>
    <w:rPr>
      <w:rFonts w:ascii="Calibri" w:hAnsi="Calibri"/>
      <w:sz w:val="22"/>
      <w:szCs w:val="22"/>
      <w:lang w:val="en-US" w:eastAsia="zh-CN" w:bidi="ar-SA"/>
    </w:rPr>
  </w:style>
  <w:style w:type="character" w:customStyle="1" w:styleId="277">
    <w:name w:val="纯文本 Char1"/>
    <w:autoRedefine/>
    <w:qFormat/>
    <w:uiPriority w:val="0"/>
    <w:rPr>
      <w:rFonts w:ascii="宋体" w:hAnsi="Courier New" w:eastAsia="宋体" w:cs="Courier New"/>
      <w:kern w:val="2"/>
      <w:sz w:val="21"/>
      <w:szCs w:val="21"/>
      <w:lang w:val="en-US" w:eastAsia="zh-CN" w:bidi="ar-SA"/>
    </w:rPr>
  </w:style>
  <w:style w:type="character" w:customStyle="1" w:styleId="278">
    <w:name w:val="正文文本缩进 Char"/>
    <w:autoRedefine/>
    <w:qFormat/>
    <w:uiPriority w:val="0"/>
    <w:rPr>
      <w:kern w:val="2"/>
      <w:sz w:val="21"/>
    </w:rPr>
  </w:style>
  <w:style w:type="character" w:customStyle="1" w:styleId="279">
    <w:name w:val="尾注文本 Char"/>
    <w:autoRedefine/>
    <w:qFormat/>
    <w:uiPriority w:val="99"/>
    <w:rPr>
      <w:rFonts w:ascii="宋体" w:hAnsi="宋体"/>
      <w:sz w:val="28"/>
    </w:rPr>
  </w:style>
  <w:style w:type="character" w:customStyle="1" w:styleId="280">
    <w:name w:val="标题 5 Char"/>
    <w:autoRedefine/>
    <w:semiHidden/>
    <w:qFormat/>
    <w:uiPriority w:val="9"/>
    <w:rPr>
      <w:b/>
      <w:bCs/>
      <w:kern w:val="2"/>
      <w:sz w:val="28"/>
      <w:szCs w:val="28"/>
    </w:rPr>
  </w:style>
  <w:style w:type="character" w:customStyle="1" w:styleId="281">
    <w:name w:val="正文文本缩进 3 Char"/>
    <w:autoRedefine/>
    <w:qFormat/>
    <w:uiPriority w:val="0"/>
    <w:rPr>
      <w:kern w:val="2"/>
      <w:sz w:val="21"/>
    </w:rPr>
  </w:style>
  <w:style w:type="character" w:customStyle="1" w:styleId="282">
    <w:name w:val="标题 6 Char"/>
    <w:autoRedefine/>
    <w:semiHidden/>
    <w:qFormat/>
    <w:uiPriority w:val="9"/>
    <w:rPr>
      <w:rFonts w:ascii="等线 Light" w:hAnsi="等线 Light" w:eastAsia="等线 Light" w:cs="Times New Roman"/>
      <w:b/>
      <w:bCs/>
      <w:kern w:val="2"/>
      <w:sz w:val="24"/>
      <w:szCs w:val="24"/>
    </w:rPr>
  </w:style>
  <w:style w:type="character" w:customStyle="1" w:styleId="283">
    <w:name w:val="批注主题 Char"/>
    <w:autoRedefine/>
    <w:qFormat/>
    <w:uiPriority w:val="0"/>
    <w:rPr>
      <w:b/>
      <w:bCs/>
      <w:kern w:val="2"/>
      <w:sz w:val="21"/>
    </w:rPr>
  </w:style>
  <w:style w:type="character" w:customStyle="1" w:styleId="284">
    <w:name w:val="正文文本 Char"/>
    <w:autoRedefine/>
    <w:qFormat/>
    <w:uiPriority w:val="0"/>
    <w:rPr>
      <w:kern w:val="2"/>
      <w:sz w:val="21"/>
    </w:rPr>
  </w:style>
  <w:style w:type="character" w:customStyle="1" w:styleId="285">
    <w:name w:val="副标题 Char"/>
    <w:autoRedefine/>
    <w:qFormat/>
    <w:uiPriority w:val="0"/>
    <w:rPr>
      <w:rFonts w:ascii="Cambria" w:hAnsi="Cambria"/>
      <w:b/>
      <w:bCs/>
      <w:kern w:val="28"/>
      <w:sz w:val="32"/>
      <w:szCs w:val="32"/>
    </w:rPr>
  </w:style>
  <w:style w:type="character" w:customStyle="1" w:styleId="286">
    <w:name w:val="标题 3 Char"/>
    <w:autoRedefine/>
    <w:qFormat/>
    <w:uiPriority w:val="9"/>
    <w:rPr>
      <w:rFonts w:ascii="宋体" w:hAnsi="宋体" w:eastAsia="宋体"/>
      <w:b/>
      <w:color w:val="000000"/>
      <w:sz w:val="21"/>
      <w:lang w:eastAsia="zh-CN" w:bidi="ar-SA"/>
    </w:rPr>
  </w:style>
  <w:style w:type="character" w:customStyle="1" w:styleId="287">
    <w:name w:val="正文首行缩进 2 Char"/>
    <w:link w:val="272"/>
    <w:autoRedefine/>
    <w:qFormat/>
    <w:uiPriority w:val="99"/>
  </w:style>
  <w:style w:type="paragraph" w:customStyle="1" w:styleId="288">
    <w:name w:val="修订2"/>
    <w:autoRedefine/>
    <w:hidden/>
    <w:unhideWhenUsed/>
    <w:qFormat/>
    <w:uiPriority w:val="99"/>
    <w:rPr>
      <w:rFonts w:ascii="Calibri" w:hAnsi="Calibri" w:eastAsia="宋体" w:cs="Times New Roman"/>
      <w:kern w:val="2"/>
      <w:sz w:val="21"/>
      <w:szCs w:val="24"/>
      <w:lang w:val="en-US" w:eastAsia="zh-CN" w:bidi="ar-SA"/>
    </w:rPr>
  </w:style>
  <w:style w:type="paragraph" w:customStyle="1" w:styleId="289">
    <w:name w:val="Revision"/>
    <w:autoRedefine/>
    <w:hidden/>
    <w:unhideWhenUsed/>
    <w:qFormat/>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12590</Words>
  <Characters>13573</Characters>
  <Lines>113</Lines>
  <Paragraphs>31</Paragraphs>
  <TotalTime>0</TotalTime>
  <ScaleCrop>false</ScaleCrop>
  <LinksUpToDate>false</LinksUpToDate>
  <CharactersWithSpaces>13591</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2024-05-20T08:46:00Z</dcterms:created>
  <dc:creator>admin</dc:creator>
  <cp:lastModifiedBy>招标代理</cp:lastModifiedBy>
  <cp:lastPrinted>2016-04-05T10:26:00Z</cp:lastPrinted>
  <dcterms:modified xsi:type="dcterms:W3CDTF">2024-07-15T05:42:17Z</dcterms:modified>
  <dc:title>佛山市第二人民医院采购项目</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46EBF50FE55145AFA44807E406ECD698_13</vt:lpwstr>
  </property>
</Properties>
</file>