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6E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/>
        <w:jc w:val="both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附件  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报价单：</w:t>
      </w:r>
    </w:p>
    <w:tbl>
      <w:tblPr>
        <w:tblStyle w:val="6"/>
        <w:tblpPr w:leftFromText="180" w:rightFromText="180" w:vertAnchor="text" w:horzAnchor="page" w:tblpXSpec="center" w:tblpY="188"/>
        <w:tblOverlap w:val="never"/>
        <w:tblW w:w="88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705"/>
        <w:gridCol w:w="1854"/>
        <w:gridCol w:w="1732"/>
        <w:gridCol w:w="2725"/>
      </w:tblGrid>
      <w:tr w14:paraId="11861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06" w:type="dxa"/>
            <w:gridSpan w:val="5"/>
            <w:noWrap w:val="0"/>
            <w:vAlign w:val="center"/>
          </w:tcPr>
          <w:p w14:paraId="5D6365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color w:val="auto"/>
                <w:sz w:val="28"/>
                <w:szCs w:val="28"/>
                <w:vertAlign w:val="baseline"/>
                <w:lang w:val="en-US" w:eastAsia="zh-CN"/>
              </w:rPr>
              <w:t>报价单位：（盖章）</w:t>
            </w:r>
          </w:p>
        </w:tc>
      </w:tr>
      <w:tr w14:paraId="6BF4A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90" w:type="dxa"/>
            <w:noWrap w:val="0"/>
            <w:vAlign w:val="center"/>
          </w:tcPr>
          <w:p w14:paraId="53AB01F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559" w:type="dxa"/>
            <w:gridSpan w:val="2"/>
            <w:noWrap w:val="0"/>
            <w:vAlign w:val="center"/>
          </w:tcPr>
          <w:p w14:paraId="7016B5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color w:val="auto"/>
                <w:sz w:val="28"/>
                <w:szCs w:val="28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1732" w:type="dxa"/>
            <w:noWrap w:val="0"/>
            <w:vAlign w:val="center"/>
          </w:tcPr>
          <w:p w14:paraId="637FD0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color w:val="auto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725" w:type="dxa"/>
            <w:noWrap w:val="0"/>
            <w:vAlign w:val="center"/>
          </w:tcPr>
          <w:p w14:paraId="6FC6DA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color w:val="auto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</w:tr>
      <w:tr w14:paraId="1A8E2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90" w:type="dxa"/>
            <w:vMerge w:val="restart"/>
            <w:noWrap w:val="0"/>
            <w:vAlign w:val="center"/>
          </w:tcPr>
          <w:p w14:paraId="016FE2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 w14:paraId="2F3983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color w:val="auto"/>
                <w:sz w:val="28"/>
                <w:szCs w:val="28"/>
                <w:vertAlign w:val="baseline"/>
                <w:lang w:val="en-US" w:eastAsia="zh-CN"/>
              </w:rPr>
              <w:t>新装充电桩</w:t>
            </w:r>
          </w:p>
        </w:tc>
        <w:tc>
          <w:tcPr>
            <w:tcW w:w="1854" w:type="dxa"/>
            <w:noWrap w:val="0"/>
            <w:vAlign w:val="center"/>
          </w:tcPr>
          <w:p w14:paraId="14F587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7KW充电桩</w:t>
            </w:r>
          </w:p>
        </w:tc>
        <w:tc>
          <w:tcPr>
            <w:tcW w:w="1732" w:type="dxa"/>
            <w:noWrap w:val="0"/>
            <w:vAlign w:val="center"/>
          </w:tcPr>
          <w:p w14:paraId="0C6C79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color w:val="auto"/>
                <w:sz w:val="28"/>
                <w:szCs w:val="28"/>
                <w:vertAlign w:val="baseline"/>
                <w:lang w:val="en-US" w:eastAsia="zh-CN"/>
              </w:rPr>
              <w:t>12台</w:t>
            </w:r>
          </w:p>
        </w:tc>
        <w:tc>
          <w:tcPr>
            <w:tcW w:w="2725" w:type="dxa"/>
            <w:noWrap w:val="0"/>
            <w:vAlign w:val="center"/>
          </w:tcPr>
          <w:p w14:paraId="7E9A15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29F0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90" w:type="dxa"/>
            <w:vMerge w:val="continue"/>
            <w:noWrap w:val="0"/>
            <w:vAlign w:val="center"/>
          </w:tcPr>
          <w:p w14:paraId="778262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 w14:paraId="391374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39A602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120kw充电桩</w:t>
            </w:r>
          </w:p>
        </w:tc>
        <w:tc>
          <w:tcPr>
            <w:tcW w:w="1732" w:type="dxa"/>
            <w:noWrap w:val="0"/>
            <w:vAlign w:val="center"/>
          </w:tcPr>
          <w:p w14:paraId="37DA149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color w:val="auto"/>
                <w:sz w:val="28"/>
                <w:szCs w:val="28"/>
                <w:vertAlign w:val="baseline"/>
                <w:lang w:val="en-US" w:eastAsia="zh-CN"/>
              </w:rPr>
              <w:t>2台</w:t>
            </w:r>
          </w:p>
        </w:tc>
        <w:tc>
          <w:tcPr>
            <w:tcW w:w="2725" w:type="dxa"/>
            <w:noWrap w:val="0"/>
            <w:vAlign w:val="center"/>
          </w:tcPr>
          <w:p w14:paraId="2F264A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CE4F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90" w:type="dxa"/>
            <w:vMerge w:val="continue"/>
            <w:noWrap w:val="0"/>
            <w:vAlign w:val="center"/>
          </w:tcPr>
          <w:p w14:paraId="0BE607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 w14:paraId="531D7E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596FB4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主电缆 </w:t>
            </w:r>
          </w:p>
        </w:tc>
        <w:tc>
          <w:tcPr>
            <w:tcW w:w="1732" w:type="dxa"/>
            <w:noWrap w:val="0"/>
            <w:vAlign w:val="center"/>
          </w:tcPr>
          <w:p w14:paraId="086E238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color w:val="auto"/>
                <w:sz w:val="28"/>
                <w:szCs w:val="28"/>
                <w:vertAlign w:val="baseline"/>
                <w:lang w:val="en-US" w:eastAsia="zh-CN"/>
              </w:rPr>
              <w:t>142米</w:t>
            </w:r>
          </w:p>
        </w:tc>
        <w:tc>
          <w:tcPr>
            <w:tcW w:w="2725" w:type="dxa"/>
            <w:noWrap w:val="0"/>
            <w:vAlign w:val="center"/>
          </w:tcPr>
          <w:p w14:paraId="5A074F0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11F1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90" w:type="dxa"/>
            <w:vMerge w:val="continue"/>
            <w:noWrap w:val="0"/>
            <w:vAlign w:val="center"/>
          </w:tcPr>
          <w:p w14:paraId="5F915D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 w14:paraId="1F09B6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0BFB37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电缆</w:t>
            </w:r>
          </w:p>
        </w:tc>
        <w:tc>
          <w:tcPr>
            <w:tcW w:w="1732" w:type="dxa"/>
            <w:noWrap w:val="0"/>
            <w:vAlign w:val="center"/>
          </w:tcPr>
          <w:p w14:paraId="164A53D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120米</w:t>
            </w:r>
          </w:p>
        </w:tc>
        <w:tc>
          <w:tcPr>
            <w:tcW w:w="2725" w:type="dxa"/>
            <w:noWrap w:val="0"/>
            <w:vAlign w:val="center"/>
          </w:tcPr>
          <w:p w14:paraId="6ED79E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B3EE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90" w:type="dxa"/>
            <w:vMerge w:val="continue"/>
            <w:noWrap w:val="0"/>
            <w:vAlign w:val="center"/>
          </w:tcPr>
          <w:p w14:paraId="585CA4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 w14:paraId="42DC15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7336C7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配套辅助材料</w:t>
            </w:r>
          </w:p>
        </w:tc>
        <w:tc>
          <w:tcPr>
            <w:tcW w:w="1732" w:type="dxa"/>
            <w:noWrap w:val="0"/>
            <w:vAlign w:val="center"/>
          </w:tcPr>
          <w:p w14:paraId="7E6826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1批</w:t>
            </w:r>
          </w:p>
        </w:tc>
        <w:tc>
          <w:tcPr>
            <w:tcW w:w="2725" w:type="dxa"/>
            <w:noWrap w:val="0"/>
            <w:vAlign w:val="center"/>
          </w:tcPr>
          <w:p w14:paraId="642A23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759C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90" w:type="dxa"/>
            <w:vMerge w:val="continue"/>
            <w:noWrap w:val="0"/>
            <w:vAlign w:val="center"/>
          </w:tcPr>
          <w:p w14:paraId="389E9F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 w14:paraId="3CEB8E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056566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color w:val="auto"/>
                <w:sz w:val="28"/>
                <w:szCs w:val="28"/>
                <w:vertAlign w:val="baseline"/>
                <w:lang w:val="en-US" w:eastAsia="zh-CN"/>
              </w:rPr>
              <w:t>配套雨棚</w:t>
            </w:r>
          </w:p>
        </w:tc>
        <w:tc>
          <w:tcPr>
            <w:tcW w:w="1732" w:type="dxa"/>
            <w:noWrap w:val="0"/>
            <w:vAlign w:val="center"/>
          </w:tcPr>
          <w:p w14:paraId="7AD798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color w:val="auto"/>
                <w:sz w:val="28"/>
                <w:szCs w:val="28"/>
                <w:vertAlign w:val="baseline"/>
                <w:lang w:val="en-US" w:eastAsia="zh-CN"/>
              </w:rPr>
              <w:t>4个</w:t>
            </w:r>
          </w:p>
        </w:tc>
        <w:tc>
          <w:tcPr>
            <w:tcW w:w="2725" w:type="dxa"/>
            <w:noWrap w:val="0"/>
            <w:vAlign w:val="center"/>
          </w:tcPr>
          <w:p w14:paraId="34FFD78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136F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90" w:type="dxa"/>
            <w:vMerge w:val="continue"/>
            <w:noWrap w:val="0"/>
            <w:vAlign w:val="center"/>
          </w:tcPr>
          <w:p w14:paraId="67E7A6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 w14:paraId="135444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41D89F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color w:val="auto"/>
                <w:sz w:val="28"/>
                <w:szCs w:val="28"/>
                <w:vertAlign w:val="baseline"/>
                <w:lang w:val="en-US" w:eastAsia="zh-CN"/>
              </w:rPr>
              <w:t>挖土及地面复原</w:t>
            </w:r>
          </w:p>
        </w:tc>
        <w:tc>
          <w:tcPr>
            <w:tcW w:w="1732" w:type="dxa"/>
            <w:noWrap w:val="0"/>
            <w:vAlign w:val="center"/>
          </w:tcPr>
          <w:p w14:paraId="03044B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color w:val="auto"/>
                <w:sz w:val="28"/>
                <w:szCs w:val="28"/>
                <w:vertAlign w:val="baseline"/>
                <w:lang w:val="en-US" w:eastAsia="zh-CN"/>
              </w:rPr>
              <w:t>135米</w:t>
            </w:r>
          </w:p>
        </w:tc>
        <w:tc>
          <w:tcPr>
            <w:tcW w:w="2725" w:type="dxa"/>
            <w:noWrap w:val="0"/>
            <w:vAlign w:val="center"/>
          </w:tcPr>
          <w:p w14:paraId="6973EA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国标仿宋-GB/T 2312" w:hAnsi="国标仿宋-GB/T 2312" w:eastAsia="国标仿宋-GB/T 2312" w:cs="国标仿宋-GB/T 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4E3B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90" w:type="dxa"/>
            <w:noWrap w:val="0"/>
            <w:vAlign w:val="center"/>
          </w:tcPr>
          <w:p w14:paraId="0E9559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559" w:type="dxa"/>
            <w:gridSpan w:val="2"/>
            <w:noWrap w:val="0"/>
            <w:vAlign w:val="center"/>
          </w:tcPr>
          <w:p w14:paraId="3EE493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color w:val="auto"/>
                <w:sz w:val="28"/>
                <w:szCs w:val="28"/>
                <w:vertAlign w:val="baseline"/>
                <w:lang w:val="en-US" w:eastAsia="zh-CN"/>
              </w:rPr>
              <w:t>后台管理软件</w:t>
            </w:r>
          </w:p>
        </w:tc>
        <w:tc>
          <w:tcPr>
            <w:tcW w:w="1732" w:type="dxa"/>
            <w:noWrap w:val="0"/>
            <w:vAlign w:val="center"/>
          </w:tcPr>
          <w:p w14:paraId="47E28D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color w:val="auto"/>
                <w:sz w:val="28"/>
                <w:szCs w:val="28"/>
                <w:vertAlign w:val="baseline"/>
                <w:lang w:val="en-US" w:eastAsia="zh-CN"/>
              </w:rPr>
              <w:t>1套</w:t>
            </w:r>
          </w:p>
        </w:tc>
        <w:tc>
          <w:tcPr>
            <w:tcW w:w="2725" w:type="dxa"/>
            <w:noWrap w:val="0"/>
            <w:vAlign w:val="center"/>
          </w:tcPr>
          <w:p w14:paraId="26D659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AAAC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081" w:type="dxa"/>
            <w:gridSpan w:val="4"/>
            <w:noWrap w:val="0"/>
            <w:vAlign w:val="center"/>
          </w:tcPr>
          <w:p w14:paraId="06ADCB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color w:val="auto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2725" w:type="dxa"/>
            <w:noWrap w:val="0"/>
            <w:vAlign w:val="center"/>
          </w:tcPr>
          <w:p w14:paraId="19003F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2A0BED9"/>
    <w:sectPr>
      <w:headerReference r:id="rId3" w:type="default"/>
      <w:footerReference r:id="rId4" w:type="default"/>
      <w:pgSz w:w="11906" w:h="16838"/>
      <w:pgMar w:top="1701" w:right="1800" w:bottom="1701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18C0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42521A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42521A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D8D7D">
    <w:pPr>
      <w:pStyle w:val="4"/>
    </w:pPr>
  </w:p>
  <w:p w14:paraId="259EB0CF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952D7"/>
    <w:rsid w:val="1069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2025-05-26T08:20:00Z</dcterms:created>
  <dc:creator>admin</dc:creator>
  <cp:lastModifiedBy>admin</cp:lastModifiedBy>
  <dcterms:modified xsi:type="dcterms:W3CDTF">2025-05-26T08:20:27Z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9B352949213C4C6598006F9074AE0A23_11</vt:lpwstr>
  </property>
  <property fmtid="{D5CDD505-2E9C-101B-9397-08002B2CF9AE}" pid="4" name="KSOTemplateDocerSaveRecord">
    <vt:lpwstr>eyJoZGlkIjoiMDU5YzBiYzdhZDdhNzMyMmU4NjUzM2NhZjE2NDkyOWYiLCJ1c2VySWQiOiIyNTAwNTc1NjgifQ==</vt:lpwstr>
  </property>
</Properties>
</file>