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440607-2025-00891</w:t>
      </w:r>
    </w:p>
    <w:p>
      <w:pPr>
        <w:pStyle w:val="null3"/>
        <w:jc w:val="center"/>
        <w:outlineLvl w:val="3"/>
      </w:pPr>
      <w:r>
        <w:rPr>
          <w:sz w:val="24"/>
          <w:b/>
        </w:rPr>
        <w:t>采购项目编号：</w:t>
      </w:r>
      <w:r>
        <w:rPr>
          <w:sz w:val="24"/>
          <w:b/>
        </w:rPr>
        <w:t>GDZC-25GZ094</w:t>
      </w:r>
    </w:p>
    <w:p>
      <w:pPr>
        <w:pStyle w:val="null3"/>
        <w:jc w:val="center"/>
        <w:outlineLvl w:val="3"/>
      </w:pPr>
      <w:r>
        <w:rPr>
          <w:sz w:val="24"/>
          <w:b/>
        </w:rPr>
        <w:t>项目名称：</w:t>
      </w:r>
      <w:r>
        <w:rPr>
          <w:sz w:val="24"/>
          <w:b/>
        </w:rPr>
        <w:t>佛山市三水区新城医院建设项目-医疗设备采购安装（第三十二批）</w:t>
      </w:r>
    </w:p>
    <w:p>
      <w:pPr>
        <w:pStyle w:val="null3"/>
        <w:jc w:val="center"/>
        <w:outlineLvl w:val="3"/>
      </w:pPr>
      <w:r>
        <w:rPr>
          <w:sz w:val="24"/>
          <w:b/>
        </w:rPr>
        <w:t>采购人：</w:t>
      </w:r>
      <w:r>
        <w:rPr>
          <w:sz w:val="24"/>
          <w:b/>
        </w:rPr>
        <w:t>佛山市三水区新城医院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佛山市三水区新城医院</w:t>
      </w:r>
      <w:r>
        <w:rPr/>
        <w:t>的委托，采用</w:t>
      </w:r>
      <w:r>
        <w:rPr/>
        <w:t>公开招标</w:t>
      </w:r>
      <w:r>
        <w:rPr/>
        <w:t>方式组织采购</w:t>
      </w:r>
      <w:r>
        <w:rPr/>
        <w:t>佛山市三水区新城医院建设项目-医疗设备采购安装（第三十二批）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佛山市三水区新城医院建设项目-医疗设备采购安装（第三十二批）</w:t>
      </w:r>
    </w:p>
    <w:p>
      <w:pPr>
        <w:pStyle w:val="null3"/>
        <w:ind w:firstLine="480"/>
      </w:pPr>
      <w:r>
        <w:rPr/>
        <w:t>采购计划编号：</w:t>
      </w:r>
      <w:r>
        <w:rPr/>
        <w:t>440607-2025-00891</w:t>
      </w:r>
    </w:p>
    <w:p>
      <w:pPr>
        <w:pStyle w:val="null3"/>
        <w:ind w:firstLine="480"/>
      </w:pPr>
      <w:r>
        <w:rPr/>
        <w:t>采购项目编号：</w:t>
      </w:r>
      <w:r>
        <w:rPr/>
        <w:t>GDZC-25GZ094</w:t>
      </w:r>
    </w:p>
    <w:p>
      <w:pPr>
        <w:pStyle w:val="null3"/>
        <w:ind w:firstLine="480"/>
      </w:pPr>
      <w:r>
        <w:rPr/>
        <w:t>采购方式：</w:t>
      </w:r>
      <w:r>
        <w:rPr/>
        <w:t>公开招标</w:t>
      </w:r>
    </w:p>
    <w:p>
      <w:pPr>
        <w:pStyle w:val="null3"/>
        <w:ind w:firstLine="480"/>
      </w:pPr>
      <w:r>
        <w:rPr/>
        <w:t>预算金额：</w:t>
      </w:r>
      <w:r>
        <w:rPr/>
        <w:t>2,490,000.00</w:t>
      </w:r>
      <w:r>
        <w:rPr/>
        <w:t>元</w:t>
      </w:r>
    </w:p>
    <w:p>
      <w:pPr>
        <w:pStyle w:val="null3"/>
        <w:outlineLvl w:val="3"/>
      </w:pPr>
      <w:r>
        <w:rPr>
          <w:sz w:val="24"/>
          <w:b/>
        </w:rPr>
        <w:t>2.项目内容及需求情况（采购项目技术规格、参数及要求）</w:t>
      </w:r>
    </w:p>
    <w:p>
      <w:pPr>
        <w:pStyle w:val="null3"/>
      </w:pPr>
      <w:r>
        <w:rPr/>
        <w:t>采购包1(佛山市三水区新城医院建设项目-医疗设备采购安装（第三十二批）):</w:t>
      </w:r>
    </w:p>
    <w:p>
      <w:pPr>
        <w:pStyle w:val="null3"/>
      </w:pPr>
      <w:r>
        <w:rPr/>
        <w:t>采购包预算金额：2,490,000.00元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其他医疗设备</w:t>
            </w:r>
          </w:p>
        </w:tc>
        <w:tc>
          <w:tcPr>
            <w:tcW w:type="dxa" w:w="2136"/>
          </w:tcPr>
          <w:p>
            <w:pPr>
              <w:pStyle w:val="null3"/>
            </w:pPr>
            <w:r>
              <w:rPr/>
              <w:t>彩色多普勒超声诊断仪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合同履行期限：合同签订生效后45个日历天内完成供货、安装调试、验收及交付采购人正常使用并为采购人免费提供操作培训。</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供应商为自然人的需提供自然人身份证明扫描件。</w:t>
      </w:r>
    </w:p>
    <w:p>
      <w:pPr>
        <w:pStyle w:val="null3"/>
      </w:pPr>
      <w:r>
        <w:rPr/>
        <w:t>2）有依法缴纳税收和社会保障资金的良好记录：须提供下列任意一项证明材料：①提供《政府采购供应商资格信用承诺函》作为证明材料；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意一项证明材料：①提供《政府采购供应商资格信用承诺函》；②提供2023年度或2024年度的财务状况报告，财务状况报告须由第三方会计师事务所出具，并能清晰显示第三方会计师事务所的印章和注册会计师签字盖章，且能反映审计结论；③提供基本开户银行出具的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p>
      <w:pPr>
        <w:pStyle w:val="null3"/>
      </w:pPr>
      <w:r>
        <w:rPr/>
        <w:t>4）履行合同所必需的设备和专业技术能力：须提供下列任一项证明材料：①提供《政府采购供应商资格信用承诺函》；②提供“具备履行合同所必需的设备和专业技术能力”的承诺函（格式自拟）。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5）参加采购活动前3年内，在经营活动中没有重大违法记录：须提供下列任意一项证明材料：①提供《政府采购供应商资格信用承诺函》；②提供投标函。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采购包1（佛山市三水区新城医院建设项目-医疗设备采购安装（第三十二批））：</w:t>
      </w:r>
      <w:r>
        <w:rPr/>
        <w:t>（1）本采购包不属于专门面向中小企业采购的项目。对于小微企业、监狱企业、残疾人福利性单位等参与本项目所享受的优惠政策，详见本项目采购文件。（2）本项目为货物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涉及多个采购标的且由不同制造商制造或者由不同供应商承建（承接）的，应当逐一填报每个采购标的的制造商信息。（5）供应商应按要求完整填写《中小企业声明函》的所有信息，填写说明详见本项目采购公告附件“货物类项目中小企业声明函模板（填写说明）”。</w:t>
      </w:r>
    </w:p>
    <w:p>
      <w:pPr>
        <w:pStyle w:val="null3"/>
        <w:outlineLvl w:val="3"/>
      </w:pPr>
      <w:r>
        <w:rPr>
          <w:sz w:val="24"/>
          <w:b/>
        </w:rPr>
        <w:t>3.本项目特定的资格要求：</w:t>
      </w:r>
    </w:p>
    <w:p>
      <w:pPr>
        <w:pStyle w:val="null3"/>
      </w:pPr>
      <w:r>
        <w:rPr/>
        <w:t>采购包1（佛山市三水区新城医院建设项目-医疗设备采购安装（第三十二批））：</w:t>
      </w:r>
    </w:p>
    <w:p>
      <w:pPr>
        <w:pStyle w:val="null3"/>
      </w:pPr>
      <w:r>
        <w:rPr/>
        <w:t>1)未被列入“信用中国”网站（www.creditchina.gov.cn）“记录失信被执行人或重大税收违法失信主体或严重失信主体名单”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p>
      <w:pPr>
        <w:pStyle w:val="null3"/>
      </w:pPr>
      <w:r>
        <w:rPr/>
        <w:t>3)特定资格要求：【适用于投标人为所投产品经营企业】①所投产品为第三类医疗器械，须具有《医疗器械经营许可证》；②所投产品为第二类医疗器械，须具有《第二类医疗器械经营备案凭证》或承诺供货前取得《第二类医疗器械经营备案凭证》；③所投产品为第一类医疗器械或不属于医疗器械，无需提供证明材料。 【适用于投标人为所投产品生产企业】①所投产品为第二类、第三类医疗器械，须具有《医疗器械生产许可证》；②所投产品为第一类医疗器械，须具有《第一类医疗器械生产备案凭证》或承诺供货前取得《第一类医疗器械生产备案凭证》；③所投产品不属于医疗器械，无需提供证明材料。（如国家另有规定，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佛山市三水区新城医院</w:t>
      </w:r>
    </w:p>
    <w:p>
      <w:pPr>
        <w:pStyle w:val="null3"/>
        <w:ind w:firstLine="480"/>
      </w:pPr>
      <w:r>
        <w:rPr/>
        <w:t xml:space="preserve"> 地址：</w:t>
      </w:r>
      <w:r>
        <w:rPr/>
        <w:t>佛山市三水区新城医院</w:t>
      </w:r>
    </w:p>
    <w:p>
      <w:pPr>
        <w:pStyle w:val="null3"/>
        <w:ind w:firstLine="480"/>
      </w:pPr>
      <w:r>
        <w:rPr/>
        <w:t xml:space="preserve"> 联系方式：</w:t>
      </w:r>
      <w:r>
        <w:rPr/>
        <w:t>13760954686</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18"/>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如有更新，以最新的为准。</w:t>
      </w:r>
    </w:p>
    <w:p>
      <w:pPr>
        <w:pStyle w:val="null3"/>
        <w:jc w:val="both"/>
      </w:pPr>
      <w:r>
        <w:rPr>
          <w:sz w:val="18"/>
        </w:rPr>
        <w:t>2、本项目只接受唯一投标方案。</w:t>
      </w:r>
    </w:p>
    <w:p>
      <w:pPr>
        <w:pStyle w:val="null3"/>
        <w:jc w:val="both"/>
      </w:pPr>
      <w:r>
        <w:rPr>
          <w:sz w:val="18"/>
        </w:rPr>
        <w:t>3、投标人应注意以下响应内容：</w:t>
      </w:r>
    </w:p>
    <w:p>
      <w:pPr>
        <w:pStyle w:val="null3"/>
        <w:ind w:left="420"/>
        <w:jc w:val="both"/>
      </w:pPr>
      <w:r>
        <w:rPr>
          <w:sz w:val="18"/>
        </w:rPr>
        <w:t>(1)招标文件中打“★”号条款为实质性条款，若有任何一条负偏离或不满足则导致投标（响应）无效。</w:t>
      </w:r>
    </w:p>
    <w:p>
      <w:pPr>
        <w:pStyle w:val="null3"/>
        <w:ind w:left="420"/>
        <w:jc w:val="both"/>
      </w:pPr>
      <w:r>
        <w:rPr>
          <w:sz w:val="18"/>
        </w:rPr>
        <w:t>(2)招标文件中打“▲”号条款为重要参数（如有），若有部分“▲”条款未响应或不满足，将根据评审要求影响其得分，但不作为无效投标（响应）条款。</w:t>
      </w:r>
    </w:p>
    <w:p>
      <w:pPr>
        <w:pStyle w:val="null3"/>
        <w:ind w:left="420"/>
        <w:jc w:val="both"/>
      </w:pPr>
      <w:r>
        <w:rPr>
          <w:sz w:val="18"/>
        </w:rPr>
        <w:t>(3)投标人在响应投标方案中应尽量列出具体参数或作出详细应答。如果投标人只简单注明“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须对这种优于《用户需求书》要求的情况单独作出说明。</w:t>
      </w:r>
    </w:p>
    <w:p>
      <w:pPr>
        <w:pStyle w:val="null3"/>
        <w:ind w:left="420"/>
        <w:jc w:val="both"/>
      </w:pPr>
      <w:r>
        <w:rPr>
          <w:sz w:val="18"/>
        </w:rPr>
        <w:t>(4)投标人不得照搬招标文件的技术规格相关部分内容作为投标文件中的技术规格响应部分而未加说明。</w:t>
      </w:r>
    </w:p>
    <w:p>
      <w:pPr>
        <w:pStyle w:val="null3"/>
        <w:jc w:val="both"/>
      </w:pPr>
      <w:r>
        <w:rPr>
          <w:sz w:val="18"/>
        </w:rPr>
        <w:t>4、投标人应对投标设备列明其品牌、型号、制造商名称、产地、技术参数、功能介绍和使用说明。</w:t>
      </w:r>
    </w:p>
    <w:p>
      <w:pPr>
        <w:pStyle w:val="null3"/>
        <w:jc w:val="both"/>
      </w:pPr>
      <w:r>
        <w:rPr>
          <w:sz w:val="18"/>
        </w:rPr>
        <w:t>5、本项目的核心产品（“△”）是</w:t>
      </w:r>
      <w:r>
        <w:rPr>
          <w:sz w:val="18"/>
          <w:b/>
          <w:u w:val="single"/>
        </w:rPr>
        <w:t>彩色多普勒超声诊断仪</w:t>
      </w:r>
      <w:r>
        <w:rPr>
          <w:sz w:val="18"/>
        </w:rPr>
        <w:t>，非单一产品采购项目，评标委员会依照投标人投标的核心产品是否属于相同品牌进行认定，多家投标人投标的核心产品属于相同品牌的按照同一品牌投标认定，并按本文件第四章评标有关规定处理。</w:t>
      </w:r>
    </w:p>
    <w:p>
      <w:pPr>
        <w:pStyle w:val="null3"/>
        <w:jc w:val="both"/>
      </w:pPr>
      <w:r>
        <w:rPr>
          <w:sz w:val="18"/>
        </w:rPr>
        <w:t>6、备注：</w:t>
      </w:r>
    </w:p>
    <w:p>
      <w:pPr>
        <w:pStyle w:val="null3"/>
        <w:ind w:left="420"/>
        <w:jc w:val="both"/>
      </w:pPr>
      <w:r>
        <w:rPr>
          <w:sz w:val="18"/>
        </w:rPr>
        <w:t>(1)以下需求仅作为技术/服务的客观描述，无限制性或指向性，投标方案必须满足或优于。</w:t>
      </w:r>
    </w:p>
    <w:p>
      <w:pPr>
        <w:pStyle w:val="null3"/>
        <w:ind w:left="420"/>
        <w:jc w:val="both"/>
      </w:pPr>
      <w:r>
        <w:rPr>
          <w:sz w:val="18"/>
        </w:rPr>
        <w:t>(2)以下有关政策、标准、规范等，如有更新的，以最新现行版本为准。</w:t>
      </w:r>
    </w:p>
    <w:p>
      <w:pPr>
        <w:pStyle w:val="null3"/>
        <w:ind w:left="420"/>
        <w:jc w:val="both"/>
      </w:pPr>
      <w:r>
        <w:rPr>
          <w:sz w:val="18"/>
        </w:rPr>
        <w:t>(3)除另有说明外，以下需求所述的“大于”“小于”“以上”“以下”等描述或符号均包含本数。</w:t>
      </w:r>
    </w:p>
    <w:p>
      <w:pPr>
        <w:pStyle w:val="null3"/>
        <w:ind w:left="420"/>
        <w:jc w:val="both"/>
      </w:pPr>
      <w:r>
        <w:rPr>
          <w:sz w:val="18"/>
        </w:rPr>
        <w:t>(4)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18"/>
        </w:rPr>
        <w:t>(5)以下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18"/>
        </w:rPr>
        <w:t>附表：</w:t>
      </w:r>
    </w:p>
    <w:tbl>
      <w:tblPr>
        <w:tblW w:w="0" w:type="auto"/>
        <w:tblBorders>
          <w:top w:val="none" w:color="000000" w:sz="4"/>
          <w:left w:val="none" w:color="000000" w:sz="4"/>
          <w:bottom w:val="none" w:color="000000" w:sz="4"/>
          <w:right w:val="none" w:color="000000" w:sz="4"/>
          <w:insideH w:val="none"/>
          <w:insideV w:val="none"/>
        </w:tblBorders>
      </w:tblPr>
      <w:tblGrid>
        <w:gridCol w:w="806"/>
        <w:gridCol w:w="2950"/>
        <w:gridCol w:w="1243"/>
        <w:gridCol w:w="1245"/>
        <w:gridCol w:w="2062"/>
      </w:tblGrid>
      <w:tr>
        <w:tc>
          <w:tcPr>
            <w:tcW w:type="dxa" w:w="806"/>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序号</w:t>
            </w:r>
          </w:p>
        </w:tc>
        <w:tc>
          <w:tcPr>
            <w:tcW w:type="dxa" w:w="2950"/>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货物名称</w:t>
            </w:r>
          </w:p>
        </w:tc>
        <w:tc>
          <w:tcPr>
            <w:tcW w:type="dxa" w:w="1243"/>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单位</w:t>
            </w:r>
          </w:p>
        </w:tc>
        <w:tc>
          <w:tcPr>
            <w:tcW w:type="dxa" w:w="1245"/>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数量</w:t>
            </w:r>
          </w:p>
        </w:tc>
        <w:tc>
          <w:tcPr>
            <w:tcW w:type="dxa" w:w="20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color w:val="000000"/>
              </w:rPr>
              <w:t>最高单价限价（元）</w:t>
            </w:r>
          </w:p>
        </w:tc>
      </w:tr>
      <w:tr>
        <w:tc>
          <w:tcPr>
            <w:tcW w:type="dxa" w:w="80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1-1</w:t>
            </w:r>
          </w:p>
        </w:tc>
        <w:tc>
          <w:tcPr>
            <w:tcW w:type="dxa" w:w="295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彩色多普勒超声诊断仪</w:t>
            </w:r>
          </w:p>
        </w:tc>
        <w:tc>
          <w:tcPr>
            <w:tcW w:type="dxa" w:w="1243"/>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套</w:t>
            </w:r>
          </w:p>
        </w:tc>
        <w:tc>
          <w:tcPr>
            <w:tcW w:type="dxa" w:w="124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18"/>
                <w:color w:val="000000"/>
              </w:rPr>
              <w:t>1</w:t>
            </w:r>
          </w:p>
        </w:tc>
        <w:tc>
          <w:tcPr>
            <w:tcW w:type="dxa" w:w="2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2,490,000.00</w:t>
            </w:r>
          </w:p>
        </w:tc>
      </w:tr>
    </w:tbl>
    <w:p>
      <w:pPr>
        <w:pStyle w:val="null3"/>
      </w:pPr>
      <w:r>
        <w:rPr/>
        <w:t>采购包1（佛山市三水区新城医院建设项目-医疗设备采购安装（第三十二批））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★合同签订生效后45个日历天内完成供货、安装调试、验收及交付采购人正常使用并为采购人免费提供操作培训。</w:t>
            </w:r>
          </w:p>
        </w:tc>
      </w:tr>
      <w:tr>
        <w:tc>
          <w:tcPr>
            <w:tcW w:type="dxa" w:w="4153"/>
          </w:tcPr>
          <w:p>
            <w:pPr>
              <w:pStyle w:val="null3"/>
            </w:pPr>
            <w:r>
              <w:rPr/>
              <w:t>标的提供的地点</w:t>
            </w:r>
          </w:p>
        </w:tc>
        <w:tc>
          <w:tcPr>
            <w:tcW w:type="dxa" w:w="4153"/>
          </w:tcPr>
          <w:p>
            <w:pPr>
              <w:pStyle w:val="null3"/>
            </w:pPr>
            <w:r>
              <w:rPr/>
              <w:t>★佛山市三水区新城医院，具体地点为采购人指定区域，交货方式为免费送货上门并安装调试。</w:t>
            </w:r>
          </w:p>
        </w:tc>
      </w:tr>
      <w:tr/>
      <w:tr/>
      <w:tr>
        <w:tc>
          <w:tcPr>
            <w:tcW w:type="dxa" w:w="4153"/>
          </w:tcPr>
          <w:p>
            <w:pPr>
              <w:pStyle w:val="null3"/>
            </w:pPr>
            <w:r>
              <w:rPr/>
              <w:t>付款方式</w:t>
            </w:r>
          </w:p>
        </w:tc>
        <w:tc>
          <w:tcPr>
            <w:tcW w:type="dxa" w:w="4153"/>
          </w:tcPr>
          <w:p>
            <w:pPr>
              <w:pStyle w:val="null3"/>
            </w:pPr>
            <w:r>
              <w:rPr/>
              <w:t>第1期为(按以下比例支付)：支付比例100%，（一）★本项目合同生效之日起10个工作日内，中标单位向采购人提供具备资质的第三方机构开具的合同10%总价的履约保函（有效期不少于1年）。采购人在收到履约保函后，中标单位再向采购人提供有效的合同总金额发票。采购人在收到后60天内向中标单位支付本合同总金额80%的款项。 （二）★本项目合同货物全部安装、调试、培训、验收合格（以双方签订验收报告为准）后，中标单位再向采购人提供有效的合同总金额发票。采购人在收到后60天内向中标单位支付余下合同总金额20%的款项。 （三）★如中标单位未有违约行为，验收合格后，采购人在60天内，退还履约保函给中标单位。如中标单位存在有违约行为，验收合格后，采购人在60天内，退还履约保函给中标单位，并按照本项目“违约责任”中的条款，经过双方确认后，扣除中标单位相应的违约金后，再向中标单位支付余下的合同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（一）货物特性：货物为近6个月原制造商制造的全新产品，无污染，无侵权行为、表面无划损、无任何缺陷隐患，在中国境内可依规安全合法使用。 （二）验收方案：验收小组按国家和采购人有关规定、规范进行验收，必要时邀请相关的专业人员或机构参与验收，验收所需要的一切费用由中标单位承担。因货物质量问题发生争议时，由本地质量技术监督部门鉴定。货物符合质量技术标准的，鉴定费由采购人承担；否则鉴定费由中标单位承担。 （三）验收标准依次序对照适用标准为： ①符合中华人民共和国国家安全质量标准、环保标准或行业标准；②符合招标文件和响应承诺中采购人认可的合理最佳配置、参数及各项要求； ③货物来源国家官方标准。 上述标准必须是有关官方机构发布的最新版本的标准。 （四）技术资料 ①交货时，应同时交付产品使用手册、质量检验证书（合格证）等相关资料。 ②交付验收后，应提供验收报告。 （五）验收结果确认：验收完毕由采购人、相关部门及中标单位在验收报告上签名确认。 （六）凡列入《中华人民共和国实施强制性产品认证的产品目录》 的产品在验收时中标单位必须出具CCC认证证书复印件，并在产品外部加施认证标志作为验收依据之一。 （七）验收人员： ①采购人（项目负责人）； ②中标单位（法定代表人或授权代表）； ③其他相关人员。 具体参与人员以采购人最终确认为准。</w:t>
            </w:r>
          </w:p>
        </w:tc>
      </w:tr>
      <w:tr>
        <w:tc>
          <w:tcPr>
            <w:tcW w:type="dxa" w:w="4153"/>
          </w:tcPr>
          <w:p>
            <w:pPr>
              <w:pStyle w:val="null3"/>
            </w:pPr>
            <w:r>
              <w:rPr/>
              <w:t>履约保证金</w:t>
            </w:r>
          </w:p>
        </w:tc>
        <w:tc>
          <w:tcPr>
            <w:tcW w:type="dxa" w:w="4153"/>
          </w:tcPr>
          <w:p>
            <w:pPr>
              <w:pStyle w:val="null3"/>
            </w:pPr>
            <w:r>
              <w:rPr/>
              <w:t>收取比例：10%,说明：收取与退还方式详见付款方式。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交付与检验，（一）到货检验：在货物到达采购人指定地点后，中标单位应在2个工作日内派工程技术人员到达现场检验或根据采购人实际需要和采购人商议决定到场检验时间。中标单位的人员应在采购人技术人员在场的情况下清点货物。如出现货物短缺、损坏或存在缺陷，中标单位应在采购人限定的时间内补齐或更换全新合格品，否则采购人有权退货和有权取消合同，由此造成的双方所有损失均由中标单位负责。 （二）安装调试检验：到货检验通过后，在采购人技术人员在场的情况下组织安装、调试，安装调试后达到验收交付的条件。验收交付前的保管安全责任由中标单位承担，采购人可无偿提供必要的临时仓储场所，但不承担保管安全责任。 （三）安装调试完成且达到验收交付条件后10个工作日内由中标单位、采购人或法定专业质检部门共同验收并出具验收报告。 （四）★如果项目标的属于《计量法》规定的强检计量器具的或属于压力容器的，中标单位应在交付同时提交当地法定专业检定部门出具的检定合格证书给采购人，检定费用由中标单位负担。</w:t>
            </w:r>
          </w:p>
          <w:p>
            <w:pPr>
              <w:pStyle w:val="null3"/>
            </w:pPr>
            <w:r>
              <w:rPr/>
              <w:t>二、包装、运输、保管及保险，（一）所有标的为交付前6个月内原制造商制造的全新合格产品，整体无污染，无侵权行为、表面无划损、无任何缺陷隐患，在中国境内可依常规安全合法使用。货物的包装必须是制造商原厂包装，其包装均应有良好的防湿、防锈、防潮、防雨、防腐及防碰撞的措施。凡由于包装不良造成的损失和由此产生的费用均由中标单位承担。 （二）包装标准为原厂制造商未启封全新包装，具出厂合格证，序列号、包装箱号与出厂批号一致，并可追索查阅。所有随货物的附件应齐全。 （三）中标单位负责将货物货到现场过程中的全部运输，包括装卸车、货物现场的搬运。 （四）各种货物必须提供装箱清单，按装箱清单验收货物。 （五）货物在现场的保管由中标单位负责，直至项目安装、验收完毕。 （六）货物在货物安装调试验收合格前的保险由中标单位负责，中标单位负责其派出的现场服务人员人身意外保险。 （七）货物至采购人指定的使用现场的包装、保险及发运等环节和费用均由中标单位负责。</w:t>
            </w:r>
          </w:p>
          <w:p>
            <w:pPr>
              <w:pStyle w:val="null3"/>
            </w:pPr>
            <w:r>
              <w:rPr/>
              <w:t>三、验收要求，★验收要求： （一）货物特性：货物为近6个月原制造商制造的全新产品，无污染，无侵权行为、表面无划损、无任何缺陷隐患，在中国境内可依规安全合法使用。 （二）验收方案：验收小组按国家和采购人有关规定、规范进行验收，必要时邀请相关的专业人员或机构参与验收，验收所需要的一切费用由中标单位承担。因货物质量问题发生争议时，由本地质量技术监督部门鉴定。货物符合质量技术标准的，鉴定费由采购人承担；否则鉴定费由中标单位承担。 （三）验收标准依次序对照适用标准为： ①符合中华人民共和国国家安全质量标准、环保标准或行业标准；②符合招标文件和响应承诺中采购人认可的合理最佳配置、参数及各项要求； ③货物来源国家官方标准。 上述标准必须是有关官方机构发布的最新版本的标准。 （四）技术资料 ①交货时，应同时交付产品使用手册、质量检验证书（合格证）等相关资料。 ②交付验收后，应提供验收报告。 （五）验收结果确认：验收完毕由采购人、相关部门及中标单位在验收报告上签名确认。 （六）凡列入《中华人民共和国实施强制性产品认证的产品目录》 的产品在验收时中标单位必须出具CCC认证证书复印件，并在产品外部加施认证标志作为验收依据之一。 （七）验收人员： ①采购人（项目负责人）； ②中标单位（法定代表人或授权代表）； ③其他相关人员。 具体参与人员以采购人最终确认为准。</w:t>
            </w:r>
          </w:p>
          <w:p>
            <w:pPr>
              <w:pStyle w:val="null3"/>
            </w:pPr>
            <w:r>
              <w:rPr/>
              <w:t>四、其他，付款方式补充，发票的收款方、出具发票方、合同乙方均必须与中标单位名称一致。</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（一）报价方式为广东省佛山市三水区新城医院目的地交付验收价。 （二）报价视为已包含货物及零配件的购置、运输装卸、安装调试、验收费用、保险、培训辅导、开放接口费用、质保期售后服务、全额含税发票、雇员费用、合同实施过程中的应预见或不可预见费用等。 （三）本项目只接受不高于采购金额控制范围的投标报价，如投标人投标报价高于采购金额控制范围的，视为无效投标。 （四）采购金额控制范围说明：如项目有设定分项最高限价，采购金额控制范围指分项最高限价；如项目没有设定分项最高限价，采购金额控制范围指预算金额。</w:t>
            </w:r>
          </w:p>
        </w:tc>
      </w:tr>
      <w:tr>
        <w:tc>
          <w:tcPr>
            <w:tcW w:type="dxa" w:w="2076"/>
          </w:tcPr>
          <w:p/>
        </w:tc>
        <w:tc>
          <w:tcPr>
            <w:tcW w:type="dxa" w:w="2076"/>
          </w:tcPr>
          <w:p>
            <w:pPr>
              <w:pStyle w:val="null3"/>
              <w:jc w:val="center"/>
            </w:pPr>
            <w:r>
              <w:rPr/>
              <w:t>2</w:t>
            </w:r>
          </w:p>
        </w:tc>
        <w:tc>
          <w:tcPr>
            <w:tcW w:type="dxa" w:w="2076"/>
          </w:tcPr>
          <w:p>
            <w:pPr>
              <w:pStyle w:val="null3"/>
              <w:jc w:val="left"/>
            </w:pPr>
            <w:r>
              <w:rPr/>
              <w:t>项目产品要求</w:t>
            </w:r>
          </w:p>
        </w:tc>
        <w:tc>
          <w:tcPr>
            <w:tcW w:type="dxa" w:w="2076"/>
          </w:tcPr>
          <w:p>
            <w:pPr>
              <w:pStyle w:val="null3"/>
              <w:jc w:val="left"/>
            </w:pPr>
            <w:r>
              <w:rPr/>
              <w:t>（一）★如果项目标的属于《计量法》规定的强检计量器具的或属于压力容器的，中标单位应在交付同时提交当地法定专业检定部门出具的检定合格证书给采购人，检定费用由中标单位负担。 （二）★属医疗器械管理的货物须在《医疗器械注册证》有效期内生产。 （三）所有标的为交付前 6个月内原制造商制造的全新合格产品，整体无污染，无侵权行为、表面无划损、无任何缺陷隐患，在中国境内可依常规安全合法使用。</w:t>
            </w:r>
          </w:p>
        </w:tc>
      </w:tr>
      <w:tr>
        <w:tc>
          <w:tcPr>
            <w:tcW w:type="dxa" w:w="2076"/>
          </w:tcPr>
          <w:p/>
        </w:tc>
        <w:tc>
          <w:tcPr>
            <w:tcW w:type="dxa" w:w="2076"/>
          </w:tcPr>
          <w:p>
            <w:pPr>
              <w:pStyle w:val="null3"/>
              <w:jc w:val="center"/>
            </w:pPr>
            <w:r>
              <w:rPr/>
              <w:t>3</w:t>
            </w:r>
          </w:p>
        </w:tc>
        <w:tc>
          <w:tcPr>
            <w:tcW w:type="dxa" w:w="2076"/>
          </w:tcPr>
          <w:p>
            <w:pPr>
              <w:pStyle w:val="null3"/>
              <w:jc w:val="left"/>
            </w:pPr>
            <w:r>
              <w:rPr/>
              <w:t>产品材料</w:t>
            </w:r>
          </w:p>
        </w:tc>
        <w:tc>
          <w:tcPr>
            <w:tcW w:type="dxa" w:w="2076"/>
          </w:tcPr>
          <w:p>
            <w:pPr>
              <w:pStyle w:val="null3"/>
              <w:jc w:val="left"/>
            </w:pPr>
            <w:r>
              <w:rPr/>
              <w:t>（一）★中国境内制造的产品必须提供出厂合格证。 （二）提供产品技术（使用）说明书、产品质量说明书、技术服务资料。外文资料均需有正式中文译本。 （三）提供完整的厂家原版维修手册、维护软件、开放维修密码。 （四）提供完整的安装软件，以便日后系统重装。 （五）标的中配有备件的，中标单位应随标的向采购人提供一套标准备件包，并列明清单及单价。 （六）提供设备或配件的运行、安装、使用环境要求。</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产品资质</w:t>
            </w:r>
          </w:p>
        </w:tc>
        <w:tc>
          <w:tcPr>
            <w:tcW w:type="dxa" w:w="2076"/>
          </w:tcPr>
          <w:p>
            <w:pPr>
              <w:pStyle w:val="null3"/>
              <w:jc w:val="left"/>
            </w:pPr>
            <w:r>
              <w:rPr/>
              <w:t>如果投标产品隶属医疗器械管理的，须提供产品的医疗器械备案凭证；或提供产品的医疗器械注册证、医疗器械产品注册登记表或医疗器械产品生产制造认可表（若投标人已办理二证合一，则只需提供医疗器械注册证）</w:t>
            </w:r>
          </w:p>
        </w:tc>
      </w:tr>
      <w:tr>
        <w:tc>
          <w:tcPr>
            <w:tcW w:type="dxa" w:w="2076"/>
          </w:tcPr>
          <w:p/>
        </w:tc>
        <w:tc>
          <w:tcPr>
            <w:tcW w:type="dxa" w:w="2076"/>
          </w:tcPr>
          <w:p>
            <w:pPr>
              <w:pStyle w:val="null3"/>
              <w:jc w:val="center"/>
            </w:pPr>
            <w:r>
              <w:rPr/>
              <w:t>5</w:t>
            </w:r>
          </w:p>
        </w:tc>
        <w:tc>
          <w:tcPr>
            <w:tcW w:type="dxa" w:w="2076"/>
          </w:tcPr>
          <w:p>
            <w:pPr>
              <w:pStyle w:val="null3"/>
              <w:jc w:val="left"/>
            </w:pPr>
            <w:r>
              <w:rPr/>
              <w:t>质量保质期及售后服务要求</w:t>
            </w:r>
          </w:p>
        </w:tc>
        <w:tc>
          <w:tcPr>
            <w:tcW w:type="dxa" w:w="2076"/>
          </w:tcPr>
          <w:p>
            <w:pPr>
              <w:pStyle w:val="null3"/>
              <w:jc w:val="left"/>
            </w:pPr>
            <w:r>
              <w:rPr/>
              <w:t>（一）★质量保质期为所有货物自交付验收合格之日起5年，若货物原厂商提供的质量保质期优于投标人提供的质量保证期，以原厂商提供的质量保质期为准。质量保质期内乙方对所供货物实行包修、包换、包退、包维护保养，期满后可同时提供终身维修保养服务。 （二）质量保质期内发生的质量问题，由中标单位负责免费解决（因采购人使用不当或其他人为因素造成的故障除外）。如货物因自身故障致停用时间累计超过20天时，则质保期在状态恢复正常时重新计算或对故障设备予以重新更换。 （三）任何时候，中标单位均不能免除因货物本身的缺陷所应负的责任。 （四）质量保质期内中标单位提供上门免费服务，在质保期内设置每周7天×24小时服务专线和长期的免费技术支持，对采购人的服务通知，中标单位必须在接报后1小时内响应，24小时内到达现场，3天内处理完毕。若故障规定时间内未能处理完毕的，中标单位必须免费提供同等配置的货物予采购人临时使用或采取应急措施解决，不得影响采购人的正常工作业务。如中标单位不按要求在规定或承诺的时间内作出服务响应及相应的售后服务的，中标单位须按人民币2000元/次向采购人支付违约金，如果中标单位一年内不及时响应服务的次数累计达到10次或以上的，采购人有权追究中标单位责任，由此造成采购人全部损失均由中标单位承担。 （五）提供服务热线、货物日常检修、定期巡检、现场支持服务、硬件替换服务等。 （六）中标单位应有长期售后维修服务机构或稳定的维修服务合作伙伴，有完善的售后服务体系，对产品提供终身维修服务。</w:t>
            </w:r>
          </w:p>
        </w:tc>
      </w:tr>
      <w:tr>
        <w:tc>
          <w:tcPr>
            <w:tcW w:type="dxa" w:w="2076"/>
          </w:tcP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一）中标单位交付的标的或提供的服务不符合法律规定、采购文件、投标文件或本合同约定的，采购人有权拒收，无需向中标单位支付任何款项（中标单位已收取的采购人款项应全额退还采购人），并且中标单位须向采购人支付本合同总金额10%的违约金。 （二）中标单位逾期交付合同标的，或者逾期提供相应服务的情况下，从逾期之日起每日按合同总金额2‰的标准向采购人支付违约金；逾期15日以上的，采购人有权解除合同，无需向中标单位支付任何款项（中标单位已收取的采购人款项应全额退还采购人）且中标单位应向采购人支付合同总金额10%的违约金。如违约金不足以弥补采购人损失，中标单位应对采购人损失承担全部赔偿责任，但赔偿金最高额度不超过合同总金额。 （三）在合同项目履约的过程中（供货、现场整理、安装调试、运行使用等），如果因为中标单位的原因造成了采购人损失的，中标单位需要向采购人支付赔偿金，赔偿金的额度视具体损失情况而定，如果因为中标单位原因造成第三方损失的，中标单位需要另行对第三方进行赔偿。 （四）中标单位未能在维保期内尽到服务义务的，采购人有权要求中标单位进行违约赔偿，违约金额依照采购人受影响的时间而定，每日按合同总金额2‰的标准来计算，违约金最高额度不超过合同总金额。 （五）中标单位向采购人支付违约金或赔偿金的方式，可以采取直接支付的方式，也可以采取采购人在应付给中标单位的合同款中做相应扣除的方式。</w:t>
            </w:r>
          </w:p>
        </w:tc>
      </w:tr>
      <w:tr>
        <w:tc>
          <w:tcPr>
            <w:tcW w:type="dxa" w:w="2076"/>
          </w:tcPr>
          <w:p/>
        </w:tc>
        <w:tc>
          <w:tcPr>
            <w:tcW w:type="dxa" w:w="2076"/>
          </w:tcPr>
          <w:p>
            <w:pPr>
              <w:pStyle w:val="null3"/>
              <w:jc w:val="center"/>
            </w:pPr>
            <w:r>
              <w:rPr/>
              <w:t>7</w:t>
            </w:r>
          </w:p>
        </w:tc>
        <w:tc>
          <w:tcPr>
            <w:tcW w:type="dxa" w:w="2076"/>
          </w:tcPr>
          <w:p>
            <w:pPr>
              <w:pStyle w:val="null3"/>
              <w:jc w:val="left"/>
            </w:pPr>
            <w:r>
              <w:rPr/>
              <w:t>知识产权</w:t>
            </w:r>
          </w:p>
        </w:tc>
        <w:tc>
          <w:tcPr>
            <w:tcW w:type="dxa" w:w="2076"/>
          </w:tcPr>
          <w:p>
            <w:pPr>
              <w:pStyle w:val="null3"/>
              <w:jc w:val="left"/>
            </w:pPr>
            <w:r>
              <w:rPr/>
              <w:t>中标单位须保证，所提供货物符合国家有关规范和环保要求及采购人的技术要求。所有货物及服务不得侵犯第三方版权、专利等，如所供货物牵涉知识产权等问题的法律责任由中标单位承担。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彩色多普勒超声诊断仪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2,490,000.00</w:t>
            </w:r>
          </w:p>
        </w:tc>
        <w:tc>
          <w:tcPr>
            <w:tcW w:type="dxa" w:w="831"/>
          </w:tcPr>
          <w:p>
            <w:pPr>
              <w:pStyle w:val="null3"/>
              <w:jc w:val="right"/>
            </w:pPr>
            <w:r>
              <w:rPr/>
              <w:t>2,490,000.00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color w:val="000000"/>
              </w:rPr>
              <w:t>1.设备用途及说明：</w:t>
            </w:r>
          </w:p>
          <w:p>
            <w:pPr>
              <w:pStyle w:val="null3"/>
              <w:jc w:val="both"/>
            </w:pPr>
            <w:r>
              <w:rPr>
                <w:sz w:val="20"/>
                <w:color w:val="000000"/>
              </w:rPr>
              <w:t>妇产科、腹部、胎儿心脏、新生儿、心脏、泌尿科、浅表组织与小器官、颅脑、肌骨、外周血管及科研的高档四维彩色多普勒超声诊断仪，满足产科超声诊断，妇科疑难病例超声诊断，胎儿畸形产前诊断及科研。</w:t>
            </w:r>
          </w:p>
        </w:tc>
      </w:tr>
      <w:tr>
        <w:tc>
          <w:tcPr>
            <w:tcW w:type="dxa" w:w="2076"/>
          </w:tcPr>
          <w:p/>
        </w:tc>
        <w:tc>
          <w:tcPr>
            <w:tcW w:type="dxa" w:w="415"/>
          </w:tcPr>
          <w:p>
            <w:pPr>
              <w:pStyle w:val="null3"/>
            </w:pPr>
            <w:r>
              <w:rPr/>
              <w:t>2</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728"/>
              <w:gridCol w:w="4857"/>
            </w:tblGrid>
            <w:tr>
              <w:tc>
                <w:tcPr>
                  <w:tcW w:type="dxa" w:w="72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2.1</w:t>
                  </w:r>
                </w:p>
              </w:tc>
              <w:tc>
                <w:tcPr>
                  <w:tcW w:type="dxa" w:w="48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color w:val="000000"/>
                    </w:rPr>
                    <w:t>彩色多普勒超声波诊断仪</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主机一体化显示器</w:t>
                  </w:r>
                  <w:r>
                    <w:rPr>
                      <w:sz w:val="20"/>
                      <w:color w:val="000000"/>
                    </w:rPr>
                    <w:t>≥23.8英寸。</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液晶触摸可视化设备</w:t>
                  </w:r>
                  <w:r>
                    <w:rPr>
                      <w:sz w:val="20"/>
                      <w:color w:val="000000"/>
                    </w:rPr>
                    <w:t>≥</w:t>
                  </w:r>
                  <w:r>
                    <w:rPr>
                      <w:sz w:val="20"/>
                    </w:rPr>
                    <w:t>15.6</w:t>
                  </w:r>
                  <w:r>
                    <w:rPr>
                      <w:sz w:val="20"/>
                      <w:color w:val="000000"/>
                    </w:rPr>
                    <w:t>英寸</w:t>
                  </w:r>
                  <w:r>
                    <w:rPr>
                      <w:sz w:val="20"/>
                      <w:color w:val="000000"/>
                    </w:rPr>
                    <w:t>, 可通过触控可视化设备的多点触控进行容积图像的旋转、放大、切割等直观操作,也可以通过触屏上手势划线实现任意切面成像以及多光源调节功能。</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2.1.3</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数字化二维灰阶成像单元。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2.1.4</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数字化彩色多普勒单元。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2.1.5</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数字化能量多普勒成像单元。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2.1.6</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PW脉冲波多普勒成像单元。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2.1.7</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CW连续波多普勒成像单元。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2.1.8</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实时四维成像单元。</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2.1.9</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软件波束形成器技术。</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2.1.10</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color w:val="000000"/>
                    </w:rPr>
                    <w:t>二维凸阵探头及高频线阵探头可以支持</w:t>
                  </w:r>
                  <w:r>
                    <w:rPr>
                      <w:sz w:val="20"/>
                      <w:color w:val="000000"/>
                    </w:rPr>
                    <w:t>CW连续波多普勒成像，便于进行胎儿心脏血流速度测量</w:t>
                  </w:r>
                  <w:r>
                    <w:rPr>
                      <w:sz w:val="20"/>
                      <w:color w:val="000000"/>
                    </w:rPr>
                    <w:t>（投标时提供以上探头的</w:t>
                  </w:r>
                  <w:r>
                    <w:rPr>
                      <w:sz w:val="20"/>
                      <w:color w:val="000000"/>
                    </w:rPr>
                    <w:t>CW测量图）。</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2.1.11</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二维灰阶血流成像技术，采用非多普勒原理，无彩色取样框限制，不需要造影剂，可以对血流进行实时显示，反应血流动力学真实状态。</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2.1.12</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二维立体血流成像技术，二维探头即可呈现立体血流形态，增强血流边界的显示及可视化效果。</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2.1.13</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具有二维高清血流显示技术，全面显示组织器官微血流灌注。</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2.1.14</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组织多普勒成像技术。</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2.1.15</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应变式弹性成像技术。</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2.1.16</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宽景成像技术，支持所有凸阵和线阵探头。</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2.1.17</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80"/>
                    <w:jc w:val="left"/>
                  </w:pPr>
                  <w:r>
                    <w:rPr>
                      <w:sz w:val="20"/>
                      <w:color w:val="000000"/>
                    </w:rPr>
                    <w:t>主机内置</w:t>
                  </w:r>
                  <w:r>
                    <w:rPr>
                      <w:sz w:val="20"/>
                      <w:color w:val="000000"/>
                    </w:rPr>
                    <w:t>ESHRE（欧洲人类生殖与胚胎学学会）与ESGE（欧洲妇科内镜学会）指南</w:t>
                  </w:r>
                  <w:r>
                    <w:rPr>
                      <w:sz w:val="20"/>
                      <w:color w:val="000000"/>
                    </w:rPr>
                    <w:t>推荐的子宫形态分类方法，可以直接根据示意图，判断子宫形态（投标时提供设备具备此功能的机器界面图或产品说明书扫描件）。</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2.1.18</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具备</w:t>
                  </w:r>
                  <w:r>
                    <w:rPr>
                      <w:sz w:val="20"/>
                      <w:color w:val="000000"/>
                    </w:rPr>
                    <w:t>IDEA（国际深度子宫内膜异位症组织）专家共识推荐的标准超声图文评估流程助手，帮助使用者对深度子宫内膜异位症进行标准化评估（投标时提供设备具备此功能的机器界面图或产品说明书扫描件）</w:t>
                  </w:r>
                  <w:r>
                    <w:rPr>
                      <w:sz w:val="20"/>
                      <w:color w:val="000000"/>
                    </w:rPr>
                    <w:t>。</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2.1.19</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支持机械指数和热指数警报设置，可自定义声输出限制并将其设定到系统中，将在扫描时提供超预设警报。</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2.1.20</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内置耦合剂加热功能，提升患者舒适度。</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2.1.21</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具备降低声影的强度专用技术：帮助恢复被声阴影遮挡的组织和边界，提供从近场到远场均匀一致的图像品质。</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2.1.22</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困难条件成像专用技术：扫描困难条件患者，例如高体重指数</w:t>
                  </w:r>
                  <w:r>
                    <w:rPr>
                      <w:sz w:val="20"/>
                      <w:color w:val="000000"/>
                    </w:rPr>
                    <w:t>（</w:t>
                  </w:r>
                  <w:r>
                    <w:rPr>
                      <w:sz w:val="20"/>
                      <w:color w:val="000000"/>
                    </w:rPr>
                    <w:t>BMI），获得更清晰的图像。</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2.1.23</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探头智能响应技术：选取探头后，自动激活，并进入到扫描状态（投标时提供设备具备此功能的图或产品说明书扫描件）</w:t>
                  </w:r>
                  <w:r>
                    <w:rPr>
                      <w:sz w:val="20"/>
                      <w:color w:val="000000"/>
                    </w:rPr>
                    <w:t>。</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2.1.24</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智能胎儿多普勒技术：六种血流预设，随意切换，提升彩色</w:t>
                  </w:r>
                  <w:r>
                    <w:rPr>
                      <w:sz w:val="20"/>
                      <w:color w:val="000000"/>
                    </w:rPr>
                    <w:t>/频谱/测量工作效率（可自定义设置）。</w:t>
                  </w:r>
                </w:p>
              </w:tc>
            </w:tr>
            <w:tr>
              <w:tc>
                <w:tcPr>
                  <w:tcW w:type="dxa" w:w="72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2.1.25</w:t>
                  </w:r>
                </w:p>
              </w:tc>
              <w:tc>
                <w:tcPr>
                  <w:tcW w:type="dxa" w:w="4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用户界面颜色、灯光的个性化设置：轨迹球颜色</w:t>
                  </w:r>
                  <w:r>
                    <w:rPr>
                      <w:sz w:val="20"/>
                      <w:color w:val="000000"/>
                    </w:rPr>
                    <w:t>、用户界面照明、主机周边照明、触摸屏配色方案</w:t>
                  </w:r>
                  <w:r>
                    <w:rPr>
                      <w:sz w:val="20"/>
                      <w:color w:val="000000"/>
                    </w:rPr>
                    <w:t>均可自定义设置。</w:t>
                  </w:r>
                </w:p>
              </w:tc>
            </w:tr>
          </w:tbl>
          <w:p/>
        </w:tc>
      </w:tr>
      <w:tr>
        <w:tc>
          <w:tcPr>
            <w:tcW w:type="dxa" w:w="2076"/>
          </w:tcPr>
          <w:p/>
        </w:tc>
        <w:tc>
          <w:tcPr>
            <w:tcW w:type="dxa" w:w="415"/>
          </w:tcPr>
          <w:p>
            <w:pPr>
              <w:pStyle w:val="null3"/>
            </w:pPr>
            <w:r>
              <w:rPr/>
              <w:t>3</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2.2</w:t>
                  </w:r>
                </w:p>
              </w:tc>
              <w:tc>
                <w:tcPr>
                  <w:tcW w:type="dxa" w:w="4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color w:val="000000"/>
                    </w:rPr>
                    <w:t>容积四维成像技术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2.2.1</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支持灰阶三维</w:t>
                  </w:r>
                  <w:r>
                    <w:rPr>
                      <w:sz w:val="20"/>
                      <w:color w:val="000000"/>
                    </w:rPr>
                    <w:t>/四维成像模式，具有虚拟光源技术，可实现表面成像和透视剪影成像，同时观察组织的外部轮廓和内部结构。</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2.2.2</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断层超声显像技术。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2.2.3</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具有胎儿自动识别技术，可实时自动跟踪胎儿运动并调整容积成像框位置，快速获得胎儿表面容积成像，提高工作效率。</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2.2.4</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卵泡智能容积成像，自动彩色编码显示，并按照体积大小排序及计数。</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2.2.5</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color w:val="000000"/>
                    </w:rPr>
                    <w:t>专用窦卵泡智能容积成像，自动彩色编码显示，并按照体积大小排序及计数（投标时提供设备具备此功能的机器检查图或产品说明书扫描件）。</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2.2.6</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STIC时间空间相关成像技术。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2.2.7</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具有实时四维穿刺引导功能，有穿刺引导线。</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2.2.8</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腔内容积探头具有四维实时对比谐波造影功能，支持阴道子宫输卵管超声造影检查。</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2.2.9</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具备实时空间对比成像技术，对二维图像增加厚度的信息，可以明显提高平面图像的分辨率，增加信息量，提高对组织结构的空间观察。</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2.2.10</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w:t>
                  </w:r>
                  <w:r>
                    <w:rPr>
                      <w:sz w:val="20"/>
                      <w:color w:val="000000"/>
                    </w:rPr>
                    <w:t>智能中枢神经系统检查：人工智能（</w:t>
                  </w:r>
                  <w:r>
                    <w:rPr>
                      <w:sz w:val="20"/>
                      <w:color w:val="000000"/>
                    </w:rPr>
                    <w:t>AI ）工具，基于深度学习算法支持，通过自动寻找成像切面位置，显示3D容积数据中的检查胎儿大脑的推荐切面和测量来帮助提高工作效率。自动识别胎儿颅脑正中矢状面，经丘脑平面，经小脑平面，经侧脑室平面4个标准平面。自动同时测量BPD,HC,OFD,CM 后颅窝池,Cerebellum小脑横径,Vp 侧脑室后脚6组生物指标。（投标时提供设备具备此功能的机器检查图或产品说明书扫描件）。</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2.2.11</w:t>
                  </w:r>
                </w:p>
              </w:tc>
              <w:tc>
                <w:tcPr>
                  <w:tcW w:type="dxa" w:w="4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color w:val="000000"/>
                    </w:rPr>
                    <w:t>智能三维产程监测功能：能够测量胎儿头部进程、旋转和方向，并同时自动产生一个包括了超声波客观数据、手动输入数据在内的产程报告（投标时提供原厂技术白皮书或产品说明书扫描件）。</w:t>
                  </w:r>
                </w:p>
              </w:tc>
            </w:tr>
          </w:tbl>
          <w:p/>
        </w:tc>
      </w:tr>
      <w:tr>
        <w:tc>
          <w:tcPr>
            <w:tcW w:type="dxa" w:w="2076"/>
          </w:tcPr>
          <w:p/>
        </w:tc>
        <w:tc>
          <w:tcPr>
            <w:tcW w:type="dxa" w:w="415"/>
          </w:tcPr>
          <w:p>
            <w:pPr>
              <w:pStyle w:val="null3"/>
            </w:pPr>
            <w:r>
              <w:rPr/>
              <w:t>4</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2.3</w:t>
                  </w:r>
                </w:p>
              </w:tc>
              <w:tc>
                <w:tcPr>
                  <w:tcW w:type="dxa" w:w="4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color w:val="000000"/>
                    </w:rPr>
                    <w:t>Ai智能筛查系列技术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2.3.1</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智能先心病筛查技术：</w:t>
                  </w:r>
                  <w:r>
                    <w:rPr>
                      <w:sz w:val="20"/>
                      <w:color w:val="000000"/>
                    </w:rPr>
                    <w:t>AI-胎心检查导航，通过文字说明、参考图像和正常解剖结构示意图，分步指导如何识别正常解剖结构及扫描流程。AI智能生成四腔心切面、三血管/三血管气管切面以及心轴角度。</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2.3.2</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w:t>
                  </w:r>
                  <w:r>
                    <w:rPr>
                      <w:sz w:val="20"/>
                      <w:color w:val="000000"/>
                    </w:rPr>
                    <w:t>智能盆底检查</w:t>
                  </w:r>
                  <w:r>
                    <w:rPr>
                      <w:sz w:val="20"/>
                      <w:color w:val="000000"/>
                    </w:rPr>
                    <w:t>:基于人工智能（AI），遵循国际规范,自动获得盆底测量，重复性好。自动寻找valsalva和缩肛状态下，最大裂孔平面位置;自动测量肛提肌裂孔的面积、周长、前后径和左右径（投标时提供设备具备此功能的机器检查图或产品说明书扫描件）。</w:t>
                  </w:r>
                </w:p>
              </w:tc>
            </w:tr>
          </w:tbl>
          <w:p/>
        </w:tc>
      </w:tr>
      <w:tr>
        <w:tc>
          <w:tcPr>
            <w:tcW w:type="dxa" w:w="2076"/>
          </w:tcPr>
          <w:p/>
        </w:tc>
        <w:tc>
          <w:tcPr>
            <w:tcW w:type="dxa" w:w="415"/>
          </w:tcPr>
          <w:p>
            <w:pPr>
              <w:pStyle w:val="null3"/>
            </w:pPr>
            <w:r>
              <w:rPr/>
              <w:t>5</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2.4</w:t>
                  </w:r>
                </w:p>
              </w:tc>
              <w:tc>
                <w:tcPr>
                  <w:tcW w:type="dxa" w:w="49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b/>
                      <w:color w:val="000000"/>
                    </w:rPr>
                    <w:t>测量和分析（</w:t>
                  </w:r>
                  <w:r>
                    <w:rPr>
                      <w:sz w:val="20"/>
                      <w:b/>
                      <w:color w:val="000000"/>
                    </w:rPr>
                    <w:t>B型、M型、频谱多普勒、彩色模式）</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2.4.1</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一般测量。</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2.4.2</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多普勒血流测量与分析，具有自动包络功能。</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2.4.3</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妇产，心脏，血管，儿科等测量与分析。</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2.4.4</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胎儿生长指标自动测量功能，包括胎儿双顶径、枕额径、头围、腹围、股骨长、肱骨长。</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2.4.5</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自动</w:t>
                  </w:r>
                  <w:r>
                    <w:rPr>
                      <w:sz w:val="20"/>
                      <w:color w:val="000000"/>
                    </w:rPr>
                    <w:t>NT及自动IT测量技术。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2.4.6</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自动胎心率测量技术。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2.4.7</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不规则体积测量技术，快速测量一个或多个低回声的不规则体的体积。</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2.4.8</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容积能量模式直方图技术，结合不规则体积测量可计算血管指数</w:t>
                  </w:r>
                  <w:r>
                    <w:rPr>
                      <w:sz w:val="20"/>
                      <w:color w:val="000000"/>
                    </w:rPr>
                    <w:t>VI，FI和VFI。</w:t>
                  </w:r>
                </w:p>
              </w:tc>
            </w:tr>
          </w:tbl>
          <w:p/>
        </w:tc>
      </w:tr>
      <w:tr>
        <w:tc>
          <w:tcPr>
            <w:tcW w:type="dxa" w:w="2076"/>
          </w:tcPr>
          <w:p/>
        </w:tc>
        <w:tc>
          <w:tcPr>
            <w:tcW w:type="dxa" w:w="415"/>
          </w:tcPr>
          <w:p>
            <w:pPr>
              <w:pStyle w:val="null3"/>
            </w:pPr>
            <w:r>
              <w:rPr/>
              <w:t>6</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2.5</w:t>
                  </w:r>
                </w:p>
              </w:tc>
              <w:tc>
                <w:tcPr>
                  <w:tcW w:type="dxa" w:w="49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b/>
                      <w:color w:val="000000"/>
                    </w:rPr>
                    <w:t>图像存储、管理及回放重现</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2.5.1</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输入</w:t>
                  </w:r>
                  <w:r>
                    <w:rPr>
                      <w:sz w:val="20"/>
                      <w:color w:val="000000"/>
                    </w:rPr>
                    <w:t>/输出信号：USB, HDMI,S-Video, VGA。</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2.5.2</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连通性：医学数字图像和通信</w:t>
                  </w:r>
                  <w:r>
                    <w:rPr>
                      <w:sz w:val="20"/>
                      <w:color w:val="000000"/>
                    </w:rPr>
                    <w:t>DICOM 3.0。</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2.5.3</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超声图像存档与病案管理系统。</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2.5.4</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回放重现单元。</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2.5.5</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硬盘容量</w:t>
                  </w:r>
                  <w:r>
                    <w:rPr>
                      <w:sz w:val="20"/>
                      <w:color w:val="000000"/>
                    </w:rPr>
                    <w:t>≥1T。</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2.5.6</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一体化剪帖板：</w:t>
                  </w:r>
                  <w:r>
                    <w:rPr>
                      <w:sz w:val="20"/>
                      <w:color w:val="000000"/>
                    </w:rPr>
                    <w:t>(在屏幕上)可以存储和回放动态及静态图像。</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2.5.7</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支持一键式输出</w:t>
                  </w:r>
                  <w:r>
                    <w:rPr>
                      <w:sz w:val="20"/>
                      <w:color w:val="000000"/>
                    </w:rPr>
                    <w:t>3D打印格式，包括STL、OBJ、PLY、3MF、XYZ格式（投标时提供原厂技术白皮书或产品说明书扫描件）。</w:t>
                  </w:r>
                </w:p>
              </w:tc>
            </w:tr>
          </w:tbl>
          <w:p/>
        </w:tc>
      </w:tr>
      <w:tr>
        <w:tc>
          <w:tcPr>
            <w:tcW w:type="dxa" w:w="2076"/>
          </w:tcPr>
          <w:p/>
        </w:tc>
        <w:tc>
          <w:tcPr>
            <w:tcW w:type="dxa" w:w="415"/>
          </w:tcPr>
          <w:p>
            <w:pPr>
              <w:pStyle w:val="null3"/>
            </w:pPr>
            <w:r>
              <w:rPr/>
              <w:t>7</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b/>
                      <w:color w:val="000000"/>
                    </w:rPr>
                    <w:t>2.6</w:t>
                  </w:r>
                </w:p>
              </w:tc>
              <w:tc>
                <w:tcPr>
                  <w:tcW w:type="dxa" w:w="49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b/>
                      <w:color w:val="000000"/>
                    </w:rPr>
                    <w:t>技术参数要求</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color w:val="000000"/>
                    </w:rPr>
                    <w:t>2.6.1</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color w:val="000000"/>
                    </w:rPr>
                    <w:t>监视器不小于23.8英寸高分辨率监视器。</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color w:val="000000"/>
                    </w:rPr>
                    <w:t>2.6.2</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color w:val="000000"/>
                    </w:rPr>
                    <w:t>操作控制台，可单键电动垂直调节高度，并可左右转动、前后移动和锁定。</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color w:val="000000"/>
                    </w:rPr>
                    <w:t>2.6.3</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color w:val="000000"/>
                    </w:rPr>
                    <w:t>探头接口：≥4个，探头接口为无针式接口。</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color w:val="000000"/>
                    </w:rPr>
                    <w:t>2.6.4</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color w:val="000000"/>
                    </w:rPr>
                    <w:t>不小于15英寸多点触控触摸屏。</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9"/>
                      <w:color w:val="000000"/>
                    </w:rPr>
                    <w:t>2.6.5</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9"/>
                      <w:color w:val="000000"/>
                    </w:rPr>
                    <w:t>超声功率输出调节：B/M、PWD、Color Doppler输出功率可调。</w:t>
                  </w:r>
                </w:p>
              </w:tc>
            </w:tr>
          </w:tbl>
          <w:p/>
        </w:tc>
      </w:tr>
      <w:tr>
        <w:tc>
          <w:tcPr>
            <w:tcW w:type="dxa" w:w="2076"/>
          </w:tcPr>
          <w:p/>
        </w:tc>
        <w:tc>
          <w:tcPr>
            <w:tcW w:type="dxa" w:w="415"/>
          </w:tcPr>
          <w:p>
            <w:pPr>
              <w:pStyle w:val="null3"/>
            </w:pPr>
            <w:r>
              <w:rPr/>
              <w:t>8</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81"/>
              <w:gridCol w:w="4916"/>
            </w:tblGrid>
            <w:tr>
              <w:tc>
                <w:tcPr>
                  <w:tcW w:type="dxa" w:w="68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2.7</w:t>
                  </w:r>
                </w:p>
              </w:tc>
              <w:tc>
                <w:tcPr>
                  <w:tcW w:type="dxa" w:w="49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b/>
                      <w:color w:val="000000"/>
                    </w:rPr>
                    <w:t>探头</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2.7.1</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频率：超宽频、变频探头，工作频率可显示，变频探头中心频率可选择</w:t>
                  </w:r>
                  <w:r>
                    <w:rPr>
                      <w:sz w:val="20"/>
                      <w:color w:val="000000"/>
                    </w:rPr>
                    <w:t>≥3种，多普勒频率≥3种。</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2.7.4</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腔内容积凸阵探头：超声频率</w:t>
                  </w:r>
                  <w:r>
                    <w:rPr>
                      <w:sz w:val="20"/>
                      <w:color w:val="000000"/>
                    </w:rPr>
                    <w:t>4.0 — 9.0 MHz。</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2.7.5</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腔内容积凸阵探头：阵元数</w:t>
                  </w:r>
                  <w:r>
                    <w:rPr>
                      <w:sz w:val="20"/>
                      <w:color w:val="000000"/>
                    </w:rPr>
                    <w:t>≥192，成像角度≥185°（投标时提供原厂技术白皮书或产品说明书扫描件）。</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2.7.6</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腹部二维凸阵探头：超声频率</w:t>
                  </w:r>
                  <w:r>
                    <w:rPr>
                      <w:sz w:val="20"/>
                      <w:color w:val="000000"/>
                    </w:rPr>
                    <w:t>2.0 — 5.0 MHz。</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2.7.7</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腹部二维凸阵探头：阵元数</w:t>
                  </w:r>
                  <w:r>
                    <w:rPr>
                      <w:sz w:val="20"/>
                      <w:color w:val="000000"/>
                    </w:rPr>
                    <w:t>≥192，成像角度≥112°（</w:t>
                  </w:r>
                  <w:r>
                    <w:rPr>
                      <w:sz w:val="20"/>
                      <w:color w:val="000000"/>
                    </w:rPr>
                    <w:t>投标时提供原厂技术白皮书或产品说明书扫描件</w:t>
                  </w:r>
                  <w:r>
                    <w:rPr>
                      <w:sz w:val="20"/>
                      <w:color w:val="000000"/>
                    </w:rPr>
                    <w:t>）。</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2.7.8</w:t>
                  </w:r>
                </w:p>
              </w:tc>
              <w:tc>
                <w:tcPr>
                  <w:tcW w:type="dxa" w:w="49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线阵探头：超声频率</w:t>
                  </w:r>
                  <w:r>
                    <w:rPr>
                      <w:sz w:val="20"/>
                      <w:color w:val="000000"/>
                    </w:rPr>
                    <w:t>3.0 —8.0 MHz。</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2.7.9</w:t>
                  </w:r>
                </w:p>
              </w:tc>
              <w:tc>
                <w:tcPr>
                  <w:tcW w:type="dxa" w:w="4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腹部容积探头：超声频率</w:t>
                  </w:r>
                  <w:r>
                    <w:rPr>
                      <w:sz w:val="20"/>
                      <w:color w:val="000000"/>
                    </w:rPr>
                    <w:t>2.0 —8.0 MHz。</w:t>
                  </w:r>
                </w:p>
              </w:tc>
            </w:tr>
            <w:tr>
              <w:tc>
                <w:tcPr>
                  <w:tcW w:type="dxa" w:w="6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2.7.10</w:t>
                  </w:r>
                </w:p>
              </w:tc>
              <w:tc>
                <w:tcPr>
                  <w:tcW w:type="dxa" w:w="4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腔内二维探头：超声频率</w:t>
                  </w:r>
                  <w:r>
                    <w:rPr>
                      <w:sz w:val="20"/>
                      <w:color w:val="000000"/>
                    </w:rPr>
                    <w:t>5.0 —9.0 MHz。</w:t>
                  </w:r>
                </w:p>
              </w:tc>
            </w:tr>
          </w:tbl>
          <w:p/>
        </w:tc>
      </w:tr>
      <w:tr>
        <w:tc>
          <w:tcPr>
            <w:tcW w:type="dxa" w:w="2076"/>
          </w:tcPr>
          <w:p/>
        </w:tc>
        <w:tc>
          <w:tcPr>
            <w:tcW w:type="dxa" w:w="415"/>
          </w:tcPr>
          <w:p>
            <w:pPr>
              <w:pStyle w:val="null3"/>
            </w:pPr>
            <w:r>
              <w:rPr/>
              <w:t>9</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2.8</w:t>
                  </w:r>
                </w:p>
              </w:tc>
              <w:tc>
                <w:tcPr>
                  <w:tcW w:type="dxa" w:w="4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color w:val="000000"/>
                    </w:rPr>
                    <w:t>二维灰阶及容积成像主要参数</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2.8.1</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凸阵探头，全视野，</w:t>
                  </w:r>
                  <w:r>
                    <w:rPr>
                      <w:sz w:val="20"/>
                      <w:color w:val="000000"/>
                    </w:rPr>
                    <w:t>17cm深度时，在最高线密度下，二维帧频≥30帧/秒。</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2.8.2</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凸阵容积探头，全视野，</w:t>
                  </w:r>
                  <w:r>
                    <w:rPr>
                      <w:sz w:val="20"/>
                    </w:rPr>
                    <w:t>17cm深度时，四维成像帧频≥30帧/秒。</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2.8.3</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数字集成化智能</w:t>
                  </w:r>
                  <w:r>
                    <w:rPr>
                      <w:sz w:val="20"/>
                      <w:color w:val="000000"/>
                    </w:rPr>
                    <w:t>TGC分段≥8段。</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2.8.4</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线阵探头阵元数不小于</w:t>
                  </w:r>
                  <w:r>
                    <w:rPr>
                      <w:sz w:val="20"/>
                      <w:color w:val="000000"/>
                    </w:rPr>
                    <w:t>1000阵元数（投标时提供原厂技术白皮书或产品说明书扫描件，同时附该探头扫查界面图）。</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2.8.5</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w:t>
                  </w:r>
                  <w:r>
                    <w:rPr>
                      <w:sz w:val="20"/>
                      <w:color w:val="000000"/>
                    </w:rPr>
                    <w:t>二维成像扫描深度</w:t>
                  </w:r>
                  <w:r>
                    <w:rPr>
                      <w:sz w:val="20"/>
                      <w:color w:val="000000"/>
                    </w:rPr>
                    <w:t>≥46cm（投标时提供原厂技术白皮书或产品说明书扫描件，同时附该设备满足此功能的扫查图）。</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2.8.6</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回放重现：灰阶图像回放</w:t>
                  </w:r>
                  <w:r>
                    <w:rPr>
                      <w:sz w:val="20"/>
                      <w:color w:val="000000"/>
                    </w:rPr>
                    <w:t>≥4000幅，四维图像回放≥400容积帧。</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2.8.7</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系统动态范围</w:t>
                  </w:r>
                  <w:r>
                    <w:rPr>
                      <w:sz w:val="20"/>
                      <w:color w:val="000000"/>
                    </w:rPr>
                    <w:t>≥400dB （投标时提供原厂技术白皮书或产品说明书扫描件）。</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2.8.8</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预设条件</w:t>
                  </w:r>
                  <w:r>
                    <w:rPr>
                      <w:sz w:val="20"/>
                      <w:color w:val="000000"/>
                    </w:rPr>
                    <w:t>针对不同的检查脏器，预置最佳化图像的检查条件，减少操作时的调节，及常用所需的外部调节及组合调节。</w:t>
                  </w:r>
                </w:p>
              </w:tc>
            </w:tr>
          </w:tbl>
          <w:p/>
        </w:tc>
      </w:tr>
      <w:tr>
        <w:tc>
          <w:tcPr>
            <w:tcW w:type="dxa" w:w="2076"/>
          </w:tcPr>
          <w:p/>
        </w:tc>
        <w:tc>
          <w:tcPr>
            <w:tcW w:type="dxa" w:w="415"/>
          </w:tcPr>
          <w:p>
            <w:pPr>
              <w:pStyle w:val="null3"/>
            </w:pPr>
            <w:r>
              <w:rPr/>
              <w:t>10</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2"/>
              <w:gridCol w:w="4975"/>
            </w:tblGrid>
            <w:tr>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2.9</w:t>
                  </w:r>
                </w:p>
              </w:tc>
              <w:tc>
                <w:tcPr>
                  <w:tcW w:type="dxa" w:w="4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color w:val="000000"/>
                    </w:rPr>
                    <w:t>频谱多普勒</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2.9.1</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方式：</w:t>
                  </w:r>
                  <w:r>
                    <w:rPr>
                      <w:sz w:val="20"/>
                      <w:color w:val="000000"/>
                    </w:rPr>
                    <w:t>PW，CW。</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2.9.2</w:t>
                  </w:r>
                </w:p>
              </w:tc>
              <w:tc>
                <w:tcPr>
                  <w:tcW w:type="dxa" w:w="4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多普勒发射频率可视可调，中心频率明确显示。</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2.9.3</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PWD：血流速度≥10m/s；CWD：血流速度≥21m/s。</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2.9.4</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最低测量速度：</w:t>
                  </w:r>
                  <w:r>
                    <w:rPr>
                      <w:sz w:val="20"/>
                      <w:color w:val="000000"/>
                    </w:rPr>
                    <w:t>≤10mm/s。</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2.9.5</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零位移动：</w:t>
                  </w:r>
                  <w:r>
                    <w:rPr>
                      <w:sz w:val="20"/>
                      <w:color w:val="000000"/>
                    </w:rPr>
                    <w:t>≥10级。</w:t>
                  </w: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2.9.6</w:t>
                  </w:r>
                </w:p>
              </w:tc>
              <w:tc>
                <w:tcPr>
                  <w:tcW w:type="dxa" w:w="49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PWD取样宽度：0.1-20mm, 分级可调。</w:t>
                  </w:r>
                </w:p>
              </w:tc>
            </w:tr>
          </w:tbl>
          <w:p/>
        </w:tc>
      </w:tr>
      <w:tr>
        <w:tc>
          <w:tcPr>
            <w:tcW w:type="dxa" w:w="2076"/>
          </w:tcPr>
          <w:p/>
        </w:tc>
        <w:tc>
          <w:tcPr>
            <w:tcW w:type="dxa" w:w="415"/>
          </w:tcPr>
          <w:p>
            <w:pPr>
              <w:pStyle w:val="null3"/>
            </w:pPr>
            <w:r>
              <w:rPr/>
              <w:t>11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04"/>
              <w:gridCol w:w="4893"/>
            </w:tblGrid>
            <w:tr>
              <w:tc>
                <w:tcPr>
                  <w:tcW w:type="dxa" w:w="7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b/>
                      <w:color w:val="000000"/>
                    </w:rPr>
                    <w:t>2.10</w:t>
                  </w:r>
                </w:p>
              </w:tc>
              <w:tc>
                <w:tcPr>
                  <w:tcW w:type="dxa" w:w="48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b/>
                      <w:color w:val="000000"/>
                    </w:rPr>
                    <w:t>彩色多普勒</w:t>
                  </w:r>
                </w:p>
              </w:tc>
            </w:tr>
            <w:tr>
              <w:tc>
                <w:tcPr>
                  <w:tcW w:type="dxa" w:w="7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2.10.1</w:t>
                  </w:r>
                </w:p>
              </w:tc>
              <w:tc>
                <w:tcPr>
                  <w:tcW w:type="dxa" w:w="48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显示方式：能量显示，速度显示、二维立体血流显示。</w:t>
                  </w:r>
                </w:p>
              </w:tc>
            </w:tr>
            <w:tr>
              <w:tc>
                <w:tcPr>
                  <w:tcW w:type="dxa" w:w="7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2.10.2</w:t>
                  </w:r>
                </w:p>
              </w:tc>
              <w:tc>
                <w:tcPr>
                  <w:tcW w:type="dxa" w:w="48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凸阵探头，全视野，</w:t>
                  </w:r>
                  <w:r>
                    <w:rPr>
                      <w:sz w:val="20"/>
                      <w:color w:val="000000"/>
                    </w:rPr>
                    <w:t>17cm深度时，在最高线密度下，彩色帧频≥10帧/秒。</w:t>
                  </w:r>
                </w:p>
              </w:tc>
            </w:tr>
            <w:tr>
              <w:tc>
                <w:tcPr>
                  <w:tcW w:type="dxa" w:w="7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rPr>
                    <w:t>2.10.3</w:t>
                  </w:r>
                </w:p>
              </w:tc>
              <w:tc>
                <w:tcPr>
                  <w:tcW w:type="dxa" w:w="48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rPr>
                    <w:t>凸阵容积探头，全视野，</w:t>
                  </w:r>
                  <w:r>
                    <w:rPr>
                      <w:sz w:val="20"/>
                    </w:rPr>
                    <w:t>17cm深度时，四维彩色成像帧频≥9帧/秒。</w:t>
                  </w:r>
                </w:p>
              </w:tc>
            </w:tr>
            <w:tr>
              <w:tc>
                <w:tcPr>
                  <w:tcW w:type="dxa" w:w="7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2.10.4</w:t>
                  </w:r>
                </w:p>
              </w:tc>
              <w:tc>
                <w:tcPr>
                  <w:tcW w:type="dxa" w:w="48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彩色显示速度：最低平均血流测量速度</w:t>
                  </w:r>
                  <w:r>
                    <w:rPr>
                      <w:sz w:val="20"/>
                      <w:color w:val="000000"/>
                    </w:rPr>
                    <w:t>≤5mm/s（非噪声信号）。</w:t>
                  </w:r>
                </w:p>
              </w:tc>
            </w:tr>
            <w:tr>
              <w:tc>
                <w:tcPr>
                  <w:tcW w:type="dxa" w:w="7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2.10.5</w:t>
                  </w:r>
                </w:p>
              </w:tc>
              <w:tc>
                <w:tcPr>
                  <w:tcW w:type="dxa" w:w="48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彩色增强功能：彩色多普勒能量图，方向性能量图。</w:t>
                  </w:r>
                </w:p>
              </w:tc>
            </w:tr>
          </w:tbl>
          <w:p/>
        </w:tc>
      </w:tr>
      <w:tr>
        <w:tc>
          <w:tcPr>
            <w:tcW w:type="dxa" w:w="2076"/>
          </w:tcPr>
          <w:p/>
        </w:tc>
        <w:tc>
          <w:tcPr>
            <w:tcW w:type="dxa" w:w="415"/>
          </w:tcPr>
          <w:p>
            <w:pPr>
              <w:pStyle w:val="null3"/>
            </w:pPr>
            <w:r>
              <w:rPr/>
              <w:t>12</w:t>
            </w:r>
          </w:p>
        </w:tc>
        <w:tc>
          <w:tcPr>
            <w:tcW w:type="dxa" w:w="5814"/>
          </w:tcPr>
          <w:p>
            <w:pPr>
              <w:pStyle w:val="null3"/>
              <w:jc w:val="both"/>
            </w:pPr>
            <w:r>
              <w:rPr>
                <w:sz w:val="20"/>
                <w:b/>
                <w:color w:val="000000"/>
              </w:rPr>
              <w:t>3.</w:t>
            </w:r>
            <w:r>
              <w:rPr>
                <w:sz w:val="20"/>
                <w:b/>
                <w:color w:val="000000"/>
              </w:rPr>
              <w:t>配置</w:t>
            </w:r>
          </w:p>
          <w:p>
            <w:pPr>
              <w:pStyle w:val="null3"/>
              <w:jc w:val="both"/>
            </w:pPr>
            <w:r>
              <w:rPr/>
              <w:t xml:space="preserve"> </w:t>
            </w:r>
          </w:p>
          <w:tbl>
            <w:tblPr>
              <w:tblBorders>
                <w:top w:val="none" w:color="000000" w:sz="4"/>
                <w:left w:val="none" w:color="000000" w:sz="4"/>
                <w:bottom w:val="none" w:color="000000" w:sz="4"/>
                <w:right w:val="none" w:color="000000" w:sz="4"/>
                <w:insideH w:val="none"/>
                <w:insideV w:val="none"/>
              </w:tblBorders>
            </w:tblPr>
            <w:tblGrid>
              <w:gridCol w:w="2212"/>
              <w:gridCol w:w="1520"/>
              <w:gridCol w:w="1866"/>
            </w:tblGrid>
            <w:tr>
              <w:tc>
                <w:tcPr>
                  <w:tcW w:type="dxa" w:w="2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名称</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r>
            <w:tr>
              <w:tc>
                <w:tcPr>
                  <w:tcW w:type="dxa" w:w="2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r>
              <w:tc>
                <w:tcPr>
                  <w:tcW w:type="dxa" w:w="2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腹部单晶凸阵探头</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r>
            <w:tr>
              <w:tc>
                <w:tcPr>
                  <w:tcW w:type="dxa" w:w="2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腹部容积探头</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r>
              <w:tc>
                <w:tcPr>
                  <w:tcW w:type="dxa" w:w="2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线阵探头</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bl>
          <w:p/>
        </w:tc>
      </w:tr>
      <w:tr>
        <w:tc>
          <w:tcPr>
            <w:tcW w:type="dxa" w:w="2076"/>
          </w:tcPr>
          <w:p/>
        </w:tc>
        <w:tc>
          <w:tcPr>
            <w:tcW w:type="dxa" w:w="415"/>
          </w:tcPr>
          <w:p>
            <w:pPr>
              <w:pStyle w:val="null3"/>
            </w:pPr>
            <w:r>
              <w:rPr/>
              <w:t>13</w:t>
            </w:r>
          </w:p>
        </w:tc>
        <w:tc>
          <w:tcPr>
            <w:tcW w:type="dxa" w:w="5814"/>
          </w:tcPr>
          <w:p>
            <w:pPr>
              <w:pStyle w:val="null3"/>
              <w:jc w:val="both"/>
            </w:pPr>
            <w:r>
              <w:rPr>
                <w:sz w:val="21"/>
                <w:b/>
              </w:rPr>
              <w:t>备注：以上技术条款要求仅作为技术要求的客观描述，无限制性或指向性，投标方案必须满足或优于。</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佛山市三水区新城医院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实际缴纳招标代理服务费=计算得出的招标代理服务费×90%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行业划分标准：工业。从业人员1000人以下或營业收入40000万元以下的为中小微型企业。其中，从业人员300人及以上，且營业收入2000万元及以上的为中型企业；从业人员20人及以上，且營业收入300万元及以上的为小型企业；从业人员20人以下或營业收入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佛山市禅城区季华六路17号绿地金融中心T3-16楼1603</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政府采购监督管理机构名称：佛山市三水区财政局</w:t>
      </w:r>
    </w:p>
    <w:p>
      <w:pPr>
        <w:pStyle w:val="null3"/>
      </w:pPr>
      <w:r>
        <w:rPr/>
        <w:t>地 址：佛山市三水区西南街道康乐路2号</w:t>
      </w:r>
    </w:p>
    <w:p>
      <w:pPr>
        <w:pStyle w:val="null3"/>
      </w:pPr>
      <w:r>
        <w:rPr/>
        <w:t>电 话：0757-86165825</w:t>
      </w:r>
    </w:p>
    <w:p>
      <w:pPr>
        <w:pStyle w:val="null3"/>
      </w:pPr>
      <w:r>
        <w:rPr/>
        <w:t>邮 编：528100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三水区新城医院建设项目-医疗设备采购安装（第三十二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采购包1（佛山市三水区新城医院建设项目-医疗设备采购安装（第三十二批））：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采购包1（佛山市三水区新城医院建设项目-医疗设备采购安装（第三十二批））：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提供《政府采购供应商资格信用承诺函》作为证明材料；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意一项证明材料：①提供《政府采购供应商资格信用承诺函》；②提供2023年度或2024年度的财务状况报告，财务状况报告须由第三方会计师事务所出具，并能清晰显示第三方会计师事务所的印章和注册会计师签字盖章，且能反映审计结论；③提供基本开户银行出具的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须提供下列任一项证明材料：①提供《政府采购供应商资格信用承诺函》；②提供“具备履行合同所必需的设备和专业技术能力”的承诺函（格式自拟）。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须提供下列任意一项证明材料：①提供《政府采购供应商资格信用承诺函》；②提供投标函。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失信主体或严重失信主体名单”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特定资格要求：【适用于投标人为所投产品经营企业】①所投产品为第三类医疗器械，须具有《医疗器械经营许可证》；②所投产品为第二类医疗器械，须具有《第二类医疗器械经营备案凭证》或承诺供货前取得《第二类医疗器械经营备案凭证》；③所投产品为第一类医疗器械或不属于医疗器械，无需提供证明材料。 【适用于投标人为所投产品生产企业】①所投产品为第二类、第三类医疗器械，须具有《医疗器械生产许可证》；②所投产品为第一类医疗器械，须具有《第一类医疗器械生产备案凭证》或承诺供货前取得《第一类医疗器械生产备案凭证》；③所投产品不属于医疗器械，无需提供证明材料。（如国家另有规定，从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1）本采购包不属于专门面向中小企业采购的项目。对于小微企业、监狱企业、残疾人福利性单位等参与本项目所享受的优惠政策，详见本项目采购文件。（2）本项目为货物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涉及多个采购标的且由不同制造商制造或者由不同供应商承建（承接）的，应当逐一填报每个采购标的的制造商信息。（5）供应商应按要求完整填写《中小企业声明函》的所有信息，填写说明详见本项目采购公告附件“货物类项目中小企业声明函模板（填写说明）”。</w:t>
            </w:r>
          </w:p>
        </w:tc>
      </w:tr>
    </w:tbl>
    <w:p>
      <w:pPr>
        <w:pStyle w:val="null3"/>
        <w:ind w:firstLine="480"/>
      </w:pPr>
      <w:r>
        <w:rPr/>
        <w:t>表二符合性审查表：</w:t>
      </w:r>
    </w:p>
    <w:p>
      <w:pPr>
        <w:pStyle w:val="null3"/>
      </w:pPr>
      <w:r>
        <w:rPr/>
        <w:t>采购包1（佛山市三水区新城医院建设项目-医疗设备采购安装（第三十二批））：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投标文件签署、盖章</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未超过本采购包最高限价且符合招标文件要求的。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采购包1(佛山市三水区新城医院建设项目-医疗设备采购安装（第三十二批）):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带“▲”号技术参数响应程度 (24.0分)</w:t>
            </w:r>
          </w:p>
        </w:tc>
        <w:tc>
          <w:tcPr>
            <w:tcW w:type="dxa" w:w="5076"/>
          </w:tcPr>
          <w:p>
            <w:pPr>
              <w:pStyle w:val="null3"/>
              <w:jc w:val="left"/>
            </w:pPr>
            <w:r>
              <w:rPr/>
              <w:t>根据投标人对招标文件采购需求中带“▲”号技术参数（共计6项）的响应程度进行评审：满足或优于需求的，每提供一项，得4分，最高得24分。 注：1、采购需求中要求提供相关证明材料的须按要求提供证明材料，不提供不得分。 2、带“▲”号技术参数须每条参数单独放置一个单元格，逐一响应并写清楚该条参数的偏离情况，不接受某一设备整体写偏离情况。否则视为该整体响应的参数均不得分。</w:t>
            </w:r>
          </w:p>
        </w:tc>
      </w:tr>
      <w:tr>
        <w:tc>
          <w:tcPr>
            <w:tcW w:type="dxa" w:w="922"/>
            <w:gridSpan w:val="2"/>
            <w:vMerge/>
          </w:tcPr>
          <w:p/>
        </w:tc>
        <w:tc>
          <w:tcPr>
            <w:tcW w:type="dxa" w:w="2307"/>
          </w:tcPr>
          <w:p>
            <w:pPr>
              <w:pStyle w:val="null3"/>
              <w:jc w:val="left"/>
            </w:pPr>
            <w:r>
              <w:rPr/>
              <w:t>技术参数（除带“▲”号及“★”的技术参数）响应程度 (10.0分)</w:t>
            </w:r>
          </w:p>
        </w:tc>
        <w:tc>
          <w:tcPr>
            <w:tcW w:type="dxa" w:w="5076"/>
          </w:tcPr>
          <w:p>
            <w:pPr>
              <w:pStyle w:val="null3"/>
              <w:jc w:val="left"/>
            </w:pPr>
            <w:r>
              <w:rPr/>
              <w:t>根据投标人对采购标的“具体技术(参数)要求”中10个部分（2.1、2.2、2.3、2.4、2.5、2.6、2.7、2.8、2.9、2.10）的响应程度进行评审：每个部分中全部一般参数全部满足的，得1分，最高得10分，每个部分中有任意一项参数不满足，该部分整体不得分。 注：1、如采购需求中有明确提供的证明资料，则以用户需求书中要求的为准，无或未按要求提供证明材料的不得分； 2、如用户需求书中无明确证明材料的，以投标人投标文件中的《技术和服务要求响应表》中的投标实际参数填写内容为准。</w:t>
            </w:r>
          </w:p>
        </w:tc>
      </w:tr>
      <w:tr>
        <w:tc>
          <w:tcPr>
            <w:tcW w:type="dxa" w:w="922"/>
            <w:gridSpan w:val="2"/>
            <w:vMerge/>
          </w:tcPr>
          <w:p/>
        </w:tc>
        <w:tc>
          <w:tcPr>
            <w:tcW w:type="dxa" w:w="2307"/>
          </w:tcPr>
          <w:p>
            <w:pPr>
              <w:pStyle w:val="null3"/>
              <w:jc w:val="left"/>
            </w:pPr>
            <w:r>
              <w:rPr/>
              <w:t>实施方案 (7.0分)</w:t>
            </w:r>
          </w:p>
        </w:tc>
        <w:tc>
          <w:tcPr>
            <w:tcW w:type="dxa" w:w="5076"/>
          </w:tcPr>
          <w:p>
            <w:pPr>
              <w:pStyle w:val="null3"/>
              <w:jc w:val="left"/>
            </w:pPr>
            <w:r>
              <w:rPr/>
              <w:t>根据投标人提供的实施方案（包括但不限于交货进度计划、安装调试技术力量投入及安排、设备保养）进行评审： 1、方案内容齐全，符合项目实际情况，方案科学、可行性高的，得7分； 2、方案内容缺失不超过1项，或方案较科学、可行性尚可的，得4.5分； 3、方案内容缺失较多，或描述简单，或缺乏可行性的，得2分； 4、其他或不提供不得分。</w:t>
            </w:r>
          </w:p>
        </w:tc>
      </w:tr>
      <w:tr>
        <w:tc>
          <w:tcPr>
            <w:tcW w:type="dxa" w:w="922"/>
            <w:gridSpan w:val="2"/>
            <w:vMerge/>
          </w:tcPr>
          <w:p/>
        </w:tc>
        <w:tc>
          <w:tcPr>
            <w:tcW w:type="dxa" w:w="2307"/>
          </w:tcPr>
          <w:p>
            <w:pPr>
              <w:pStyle w:val="null3"/>
              <w:jc w:val="left"/>
            </w:pPr>
            <w:r>
              <w:rPr/>
              <w:t>技术培训方案 (7.0分)</w:t>
            </w:r>
          </w:p>
        </w:tc>
        <w:tc>
          <w:tcPr>
            <w:tcW w:type="dxa" w:w="5076"/>
          </w:tcPr>
          <w:p>
            <w:pPr>
              <w:pStyle w:val="null3"/>
              <w:jc w:val="left"/>
            </w:pPr>
            <w:r>
              <w:rPr/>
              <w:t>根据投标人提供的技术培训方案（包括但不限于以下内容：①培训人员、时间的安排②培训的方式内容③培训的组织形式、程序、注意事项）进行评审： 1、方案内容齐全，符合项目实际情况，方案科学、详细，得7分； 2、方案内容缺失不超过1项，或方案较科学、较详细，得4.5分； 3、方案内容缺失较多，或描述简单，或缺乏可行性，得2分； 4、其他或不提供不得分。</w:t>
            </w:r>
          </w:p>
        </w:tc>
      </w:tr>
      <w:tr>
        <w:tc>
          <w:tcPr>
            <w:tcW w:type="dxa" w:w="922"/>
            <w:gridSpan w:val="2"/>
            <w:vMerge/>
          </w:tcPr>
          <w:p/>
        </w:tc>
        <w:tc>
          <w:tcPr>
            <w:tcW w:type="dxa" w:w="2307"/>
          </w:tcPr>
          <w:p>
            <w:pPr>
              <w:pStyle w:val="null3"/>
              <w:jc w:val="left"/>
            </w:pPr>
            <w:r>
              <w:rPr/>
              <w:t>质量保证措施 (7.0分)</w:t>
            </w:r>
          </w:p>
        </w:tc>
        <w:tc>
          <w:tcPr>
            <w:tcW w:type="dxa" w:w="5076"/>
          </w:tcPr>
          <w:p>
            <w:pPr>
              <w:pStyle w:val="null3"/>
              <w:jc w:val="left"/>
            </w:pPr>
            <w:r>
              <w:rPr/>
              <w:t>根据投标人所投产品的质量保证措施（包括但不限于货物生产、质检、出厂、运输、交货等环节）进行评审： 1、方案内容齐全，符合项目实际情况，方案科学、可行性高的，得7分； 2、方案内容缺失不超过1项，或方案较科学、可行性尚可的，得4.5分； 3、方案内容缺失较多，或描述简单，或缺乏可行性的，得2分；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投标人自2022年1月1日（以合同签订时间为准）至今具有同类项目业绩的，每提供一个得2分，最高4分，不提供不得分。 注：须同时提供合同及验收报告（验收合格或通过）复印件作为证明材料。</w:t>
            </w:r>
          </w:p>
        </w:tc>
      </w:tr>
      <w:tr>
        <w:tc>
          <w:tcPr>
            <w:tcW w:type="dxa" w:w="922"/>
            <w:gridSpan w:val="2"/>
            <w:vMerge/>
          </w:tcPr>
          <w:p/>
        </w:tc>
        <w:tc>
          <w:tcPr>
            <w:tcW w:type="dxa" w:w="2307"/>
          </w:tcPr>
          <w:p>
            <w:pPr>
              <w:pStyle w:val="null3"/>
              <w:jc w:val="left"/>
            </w:pPr>
            <w:r>
              <w:rPr/>
              <w:t>商务响应 (6.0分)</w:t>
            </w:r>
          </w:p>
        </w:tc>
        <w:tc>
          <w:tcPr>
            <w:tcW w:type="dxa" w:w="5076"/>
          </w:tcPr>
          <w:p>
            <w:pPr>
              <w:pStyle w:val="null3"/>
              <w:jc w:val="left"/>
            </w:pPr>
            <w:r>
              <w:rPr/>
              <w:t>根据投标人对招标文件采购需求其他商务需求（除带“★”的技术参数外）的响应程度进行评审：共计4项（“交付与检验”、“项目产品要求”、“产品材料”、“包装、运输、保管及保险”）每一项全部满足或优于的，得1.5分，最高的6分。 注：以投标人投标文件中的《商务要求响应表》中的响应的情况为准。如需求中如要求提供证明材料的，须按要求提供，否则不得分。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根据投标人提供的售后服务方案（包括但不限于后续使用成本、制造商质保承诺、售后服务响应时间、维修处理速度、培训计划）进行评分： 1、方案内容齐全，符合项目实际情况，方案科学、可行性高的，得5分； 2、内容缺失不超过1项，或方案较科学、可行性尚可的，得3分； 3、方案内容缺失较多，或描述简单，或缺乏可行性的，得1分； 4、其他或不提供不得分。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佛山市三水区新城医院采购项目</w:t>
      </w:r>
    </w:p>
    <w:p>
      <w:pPr>
        <w:pStyle w:val="null3"/>
        <w:spacing w:before="150" w:after="150"/>
        <w:jc w:val="center"/>
      </w:pPr>
      <w:r>
        <w:rPr>
          <w:sz w:val="44"/>
          <w:b/>
        </w:rPr>
        <w:t>合同书</w:t>
      </w:r>
    </w:p>
    <w:p>
      <w:pPr>
        <w:pStyle w:val="null3"/>
        <w:spacing w:before="150" w:after="150"/>
        <w:jc w:val="center"/>
      </w:pPr>
      <w:r>
        <w:rPr>
          <w:sz w:val="28"/>
        </w:rPr>
        <w:t>项目名称：</w:t>
      </w:r>
      <w:r>
        <w:rPr>
          <w:sz w:val="28"/>
        </w:rPr>
        <w:t>佛山市三水区新城医院建设项目-医疗设备采购安装（第三十二批）</w:t>
      </w:r>
    </w:p>
    <w:p>
      <w:pPr>
        <w:pStyle w:val="null3"/>
        <w:spacing w:before="150" w:after="150"/>
      </w:pPr>
      <w:r>
        <w:rPr>
          <w:sz w:val="28"/>
        </w:rPr>
        <w:t>项目编号：GDZC-25GZ094</w:t>
      </w:r>
    </w:p>
    <w:p>
      <w:pPr>
        <w:pStyle w:val="null3"/>
        <w:spacing w:before="150" w:after="150"/>
        <w:ind w:firstLine="390"/>
      </w:pPr>
      <w:r>
        <w:rPr>
          <w:sz w:val="28"/>
        </w:rPr>
        <w:t>合同编号：</w:t>
      </w:r>
    </w:p>
    <w:p>
      <w:pPr>
        <w:pStyle w:val="null3"/>
        <w:spacing w:before="150" w:after="150"/>
        <w:ind w:firstLine="840"/>
      </w:pPr>
      <w:r>
        <w:rPr>
          <w:sz w:val="28"/>
          <w:b/>
        </w:rPr>
        <w:t>甲</w:t>
      </w:r>
      <w:r>
        <w:rPr>
          <w:sz w:val="28"/>
          <w:b/>
        </w:rPr>
        <w:t xml:space="preserve">   </w:t>
      </w:r>
      <w:r>
        <w:rPr>
          <w:sz w:val="28"/>
          <w:b/>
        </w:rPr>
        <w:t>方</w:t>
      </w:r>
      <w:r>
        <w:rPr>
          <w:sz w:val="28"/>
        </w:rPr>
        <w:t>：</w:t>
      </w:r>
      <w:r>
        <w:rPr>
          <w:sz w:val="28"/>
          <w:b/>
          <w:u w:val="single"/>
        </w:rPr>
        <w:t xml:space="preserve"> </w:t>
      </w:r>
      <w:r>
        <w:rPr>
          <w:sz w:val="28"/>
          <w:b/>
          <w:u w:val="single"/>
        </w:rPr>
        <w:t>佛山市三水区新城医院</w:t>
      </w:r>
    </w:p>
    <w:p>
      <w:pPr>
        <w:pStyle w:val="null3"/>
        <w:spacing w:before="150" w:after="150"/>
      </w:pPr>
      <w:r>
        <w:rPr>
          <w:sz w:val="28"/>
          <w:b/>
        </w:rPr>
        <w:t>乙</w:t>
      </w:r>
      <w:r>
        <w:rPr>
          <w:sz w:val="28"/>
          <w:b/>
        </w:rPr>
        <w:t xml:space="preserve">   </w:t>
      </w:r>
      <w:r>
        <w:rPr>
          <w:sz w:val="28"/>
          <w:b/>
        </w:rPr>
        <w:t>方：</w:t>
      </w:r>
      <w:r>
        <w:rPr>
          <w:sz w:val="28"/>
          <w:b/>
          <w:u w:val="single"/>
        </w:rPr>
        <w:t xml:space="preserve">               </w:t>
      </w:r>
      <w:r>
        <w:rPr>
          <w:sz w:val="28"/>
          <w:b/>
          <w:u w:val="single"/>
        </w:rPr>
        <w:t>有限公司</w:t>
      </w:r>
    </w:p>
    <w:p>
      <w:pPr>
        <w:pStyle w:val="null3"/>
        <w:spacing w:before="150" w:after="150"/>
        <w:jc w:val="left"/>
      </w:pPr>
      <w:r>
        <w:rPr/>
        <w:t xml:space="preserve"> </w:t>
      </w:r>
    </w:p>
    <w:p>
      <w:pPr>
        <w:pStyle w:val="null3"/>
        <w:spacing w:before="150" w:after="150"/>
        <w:jc w:val="left"/>
      </w:pPr>
      <w:r>
        <w:rPr>
          <w:sz w:val="21"/>
          <w:b/>
        </w:rPr>
        <w:t>甲方：</w:t>
      </w:r>
      <w:r>
        <w:rPr>
          <w:sz w:val="21"/>
          <w:b/>
          <w:u w:val="single"/>
        </w:rPr>
        <w:t>佛山市三水区新城医院</w:t>
      </w:r>
    </w:p>
    <w:p>
      <w:pPr>
        <w:pStyle w:val="null3"/>
        <w:spacing w:before="150" w:after="150"/>
        <w:jc w:val="both"/>
      </w:pPr>
      <w:r>
        <w:rPr>
          <w:sz w:val="21"/>
          <w:b/>
        </w:rPr>
        <w:t>乙方</w:t>
      </w:r>
      <w:r>
        <w:rPr>
          <w:sz w:val="21"/>
        </w:rPr>
        <w:t>：</w:t>
      </w:r>
      <w:r>
        <w:rPr>
          <w:sz w:val="21"/>
          <w:b/>
          <w:u w:val="single"/>
        </w:rPr>
        <w:t>XXXXXXXXXX有限公司</w:t>
      </w:r>
    </w:p>
    <w:p>
      <w:pPr>
        <w:pStyle w:val="null3"/>
        <w:spacing w:before="150" w:after="150"/>
        <w:ind w:firstLine="480"/>
        <w:jc w:val="both"/>
      </w:pPr>
      <w:r>
        <w:rPr>
          <w:sz w:val="21"/>
        </w:rPr>
        <w:t>根据《中华人民共和国政府采购法》、《中华人民共和国政府采购法实施条例》、《中华人民共和国民法典》等相关法律法规规定，结合项目采购文件及乙方投标响应承诺，甲乙双方本着平等互利和诚实信用的原则，就医疗设备或配件的采购事宜协商一致同意签订本合同如下。</w:t>
      </w:r>
    </w:p>
    <w:p>
      <w:pPr>
        <w:pStyle w:val="null3"/>
        <w:spacing w:before="150" w:after="150"/>
        <w:jc w:val="both"/>
      </w:pPr>
      <w:r>
        <w:rPr>
          <w:sz w:val="21"/>
          <w:b/>
        </w:rPr>
        <w:t>第一条</w:t>
      </w:r>
      <w:r>
        <w:rPr>
          <w:sz w:val="21"/>
          <w:b/>
        </w:rPr>
        <w:t xml:space="preserve">  </w:t>
      </w:r>
      <w:r>
        <w:rPr>
          <w:sz w:val="21"/>
          <w:b/>
        </w:rPr>
        <w:t>项目信息</w:t>
      </w:r>
    </w:p>
    <w:p>
      <w:pPr>
        <w:pStyle w:val="null3"/>
        <w:spacing w:before="150" w:after="150"/>
        <w:jc w:val="both"/>
      </w:pPr>
      <w:r>
        <w:rPr>
          <w:sz w:val="21"/>
        </w:rPr>
        <w:t>项目名称：佛山市三水区新城医院采购</w:t>
      </w:r>
      <w:r>
        <w:rPr>
          <w:sz w:val="21"/>
        </w:rPr>
        <w:t>XXXXXXXX</w:t>
      </w:r>
    </w:p>
    <w:p>
      <w:pPr>
        <w:pStyle w:val="null3"/>
        <w:spacing w:before="150" w:after="150"/>
        <w:jc w:val="both"/>
      </w:pPr>
      <w:r>
        <w:rPr>
          <w:sz w:val="21"/>
        </w:rPr>
        <w:t>项目编号：</w:t>
      </w:r>
    </w:p>
    <w:p>
      <w:pPr>
        <w:pStyle w:val="null3"/>
        <w:spacing w:before="150" w:after="150"/>
        <w:jc w:val="both"/>
      </w:pPr>
      <w:r>
        <w:rPr>
          <w:sz w:val="21"/>
          <w:b/>
        </w:rPr>
        <w:t>第二条</w:t>
      </w:r>
      <w:r>
        <w:rPr>
          <w:sz w:val="21"/>
          <w:b/>
        </w:rPr>
        <w:t xml:space="preserve">  </w:t>
      </w:r>
      <w:r>
        <w:rPr>
          <w:sz w:val="21"/>
          <w:b/>
        </w:rPr>
        <w:t>项目标的采购清单</w:t>
      </w:r>
    </w:p>
    <w:tbl>
      <w:tblPr>
        <w:tblW w:w="0" w:type="auto"/>
        <w:tblBorders>
          <w:top w:val="none" w:color="000000" w:sz="4"/>
          <w:left w:val="none" w:color="000000" w:sz="4"/>
          <w:bottom w:val="none" w:color="000000" w:sz="4"/>
          <w:right w:val="none" w:color="000000" w:sz="4"/>
          <w:insideH w:val="none"/>
          <w:insideV w:val="none"/>
        </w:tblBorders>
      </w:tblPr>
      <w:tblGrid>
        <w:gridCol w:w="438"/>
        <w:gridCol w:w="1125"/>
        <w:gridCol w:w="731"/>
        <w:gridCol w:w="1096"/>
        <w:gridCol w:w="541"/>
        <w:gridCol w:w="438"/>
        <w:gridCol w:w="438"/>
        <w:gridCol w:w="1374"/>
        <w:gridCol w:w="1374"/>
        <w:gridCol w:w="687"/>
      </w:tblGrid>
      <w:tr>
        <w:tc>
          <w:tcPr>
            <w:tcW w:type="dxa" w:w="43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序号</w:t>
            </w:r>
          </w:p>
        </w:tc>
        <w:tc>
          <w:tcPr>
            <w:tcW w:type="dxa" w:w="112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名称</w:t>
            </w:r>
          </w:p>
        </w:tc>
        <w:tc>
          <w:tcPr>
            <w:tcW w:type="dxa" w:w="73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品牌</w:t>
            </w:r>
          </w:p>
        </w:tc>
        <w:tc>
          <w:tcPr>
            <w:tcW w:type="dxa" w:w="109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规格型号</w:t>
            </w:r>
          </w:p>
        </w:tc>
        <w:tc>
          <w:tcPr>
            <w:tcW w:type="dxa" w:w="54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产地</w:t>
            </w:r>
          </w:p>
        </w:tc>
        <w:tc>
          <w:tcPr>
            <w:tcW w:type="dxa" w:w="4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单位</w:t>
            </w:r>
          </w:p>
        </w:tc>
        <w:tc>
          <w:tcPr>
            <w:tcW w:type="dxa" w:w="4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数量</w:t>
            </w:r>
          </w:p>
        </w:tc>
        <w:tc>
          <w:tcPr>
            <w:tcW w:type="dxa" w:w="13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单价</w:t>
            </w:r>
          </w:p>
          <w:p>
            <w:pPr>
              <w:pStyle w:val="null3"/>
              <w:spacing w:before="150" w:after="150"/>
              <w:jc w:val="center"/>
            </w:pPr>
            <w:r>
              <w:rPr>
                <w:sz w:val="21"/>
                <w:b/>
              </w:rPr>
              <w:t>（元）</w:t>
            </w:r>
          </w:p>
        </w:tc>
        <w:tc>
          <w:tcPr>
            <w:tcW w:type="dxa" w:w="137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合计</w:t>
            </w:r>
          </w:p>
          <w:p>
            <w:pPr>
              <w:pStyle w:val="null3"/>
              <w:spacing w:before="150" w:after="150"/>
              <w:jc w:val="center"/>
            </w:pPr>
            <w:r>
              <w:rPr>
                <w:sz w:val="21"/>
                <w:b/>
              </w:rPr>
              <w:t>（元）</w:t>
            </w:r>
          </w:p>
        </w:tc>
        <w:tc>
          <w:tcPr>
            <w:tcW w:type="dxa" w:w="68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spacing w:before="150" w:after="150"/>
              <w:jc w:val="center"/>
            </w:pPr>
            <w:r>
              <w:rPr>
                <w:sz w:val="21"/>
                <w:b/>
              </w:rPr>
              <w:t>备注</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sz w:val="21"/>
              </w:rPr>
              <w:t>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42"/>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总金额大写：人民币</w:t>
            </w:r>
            <w:r>
              <w:rPr>
                <w:sz w:val="21"/>
                <w:u w:val="single"/>
              </w:rPr>
              <w:t>XXXXXX</w:t>
            </w:r>
            <w:r>
              <w:rPr>
                <w:sz w:val="21"/>
              </w:rPr>
              <w:t>元整</w:t>
            </w:r>
            <w:r>
              <w:rPr>
                <w:sz w:val="21"/>
              </w:rPr>
              <w:t>小写：</w:t>
            </w:r>
            <w:r>
              <w:rPr>
                <w:sz w:val="21"/>
              </w:rPr>
              <w:t>¥</w:t>
            </w:r>
            <w:r>
              <w:rPr>
                <w:sz w:val="21"/>
                <w:u w:val="single"/>
              </w:rPr>
              <w:t>XXXXXXX.00</w:t>
            </w:r>
            <w:r>
              <w:rPr>
                <w:sz w:val="21"/>
              </w:rPr>
              <w:t>元</w:t>
            </w:r>
          </w:p>
        </w:tc>
      </w:tr>
      <w:tr>
        <w:tc>
          <w:tcPr>
            <w:tcW w:type="dxa" w:w="8242"/>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both"/>
            </w:pPr>
            <w:r>
              <w:rPr>
                <w:sz w:val="21"/>
              </w:rPr>
              <w:t>说明：详细配置清单及评审有关承诺列在合同附页，并加盖骑缝章。</w:t>
            </w:r>
          </w:p>
        </w:tc>
      </w:tr>
    </w:tbl>
    <w:p>
      <w:pPr>
        <w:pStyle w:val="null3"/>
        <w:spacing w:before="150" w:after="150"/>
        <w:jc w:val="both"/>
      </w:pPr>
      <w:r>
        <w:rPr>
          <w:sz w:val="21"/>
          <w:b/>
        </w:rPr>
        <w:t>第三条</w:t>
      </w:r>
      <w:r>
        <w:rPr>
          <w:sz w:val="21"/>
          <w:b/>
        </w:rPr>
        <w:t xml:space="preserve">  </w:t>
      </w:r>
      <w:r>
        <w:rPr>
          <w:sz w:val="21"/>
          <w:b/>
        </w:rPr>
        <w:t>项目标的主要内容</w:t>
      </w:r>
    </w:p>
    <w:p>
      <w:pPr>
        <w:pStyle w:val="null3"/>
        <w:spacing w:before="150" w:after="150"/>
        <w:jc w:val="both"/>
      </w:pPr>
      <w:r>
        <w:rPr>
          <w:sz w:val="21"/>
          <w:b/>
        </w:rPr>
        <w:t>1.</w:t>
      </w:r>
      <w:r>
        <w:rPr>
          <w:sz w:val="21"/>
        </w:rPr>
        <w:t>项目标的包括主体货物和配备件、随机工具及其用户手册、保修手册、有关单证资料、验收资料等，乙方应在交付设备或配件的同时交付上述资料给甲方，其中使用操作及安全须知等重要资料若非中文的，应附有中文说明。</w:t>
      </w:r>
    </w:p>
    <w:p>
      <w:pPr>
        <w:pStyle w:val="null3"/>
        <w:spacing w:before="150" w:after="150"/>
        <w:jc w:val="both"/>
      </w:pPr>
      <w:r>
        <w:rPr>
          <w:sz w:val="21"/>
          <w:b/>
        </w:rPr>
        <w:t>2.</w:t>
      </w:r>
      <w:r>
        <w:rPr>
          <w:sz w:val="21"/>
        </w:rPr>
        <w:t>乙方提供的货物必须符合国家有关规范和环保要求的规定及甲方采购文件的主要技术要求。</w:t>
      </w:r>
    </w:p>
    <w:p>
      <w:pPr>
        <w:pStyle w:val="null3"/>
        <w:spacing w:before="150" w:after="150"/>
        <w:jc w:val="both"/>
      </w:pPr>
      <w:r>
        <w:rPr>
          <w:sz w:val="21"/>
          <w:b/>
        </w:rPr>
        <w:t>3.</w:t>
      </w:r>
      <w:r>
        <w:rPr>
          <w:sz w:val="21"/>
        </w:rPr>
        <w:t>本合同相关的附件、承诺函等资料，随本合同附后，系本合同的组成部分。</w:t>
      </w:r>
    </w:p>
    <w:p>
      <w:pPr>
        <w:pStyle w:val="null3"/>
        <w:spacing w:before="150" w:after="150"/>
        <w:jc w:val="both"/>
      </w:pPr>
      <w:r>
        <w:rPr>
          <w:sz w:val="21"/>
          <w:b/>
        </w:rPr>
        <w:t>第四条</w:t>
      </w:r>
      <w:r>
        <w:rPr>
          <w:sz w:val="21"/>
          <w:b/>
        </w:rPr>
        <w:t xml:space="preserve">  </w:t>
      </w:r>
      <w:r>
        <w:rPr>
          <w:sz w:val="21"/>
          <w:b/>
        </w:rPr>
        <w:t>合同金额</w:t>
      </w:r>
    </w:p>
    <w:p>
      <w:pPr>
        <w:pStyle w:val="null3"/>
        <w:spacing w:before="150" w:after="150"/>
        <w:jc w:val="both"/>
      </w:pPr>
      <w:r>
        <w:rPr>
          <w:sz w:val="21"/>
          <w:b/>
        </w:rPr>
        <w:t>1.</w:t>
      </w:r>
      <w:r>
        <w:rPr>
          <w:sz w:val="21"/>
        </w:rPr>
        <w:t>合同总金额人民币小写：</w:t>
      </w:r>
      <w:r>
        <w:rPr>
          <w:sz w:val="21"/>
        </w:rPr>
        <w:t>¥</w:t>
      </w:r>
      <w:r>
        <w:rPr>
          <w:sz w:val="21"/>
          <w:u w:val="single"/>
        </w:rPr>
        <w:t>XXXXXXXXX.00</w:t>
      </w:r>
      <w:r>
        <w:rPr>
          <w:sz w:val="21"/>
        </w:rPr>
        <w:t>元，大写：人民币</w:t>
      </w:r>
      <w:r>
        <w:rPr>
          <w:sz w:val="21"/>
          <w:u w:val="single"/>
        </w:rPr>
        <w:t>XXXXX</w:t>
      </w:r>
      <w:r>
        <w:rPr>
          <w:sz w:val="21"/>
        </w:rPr>
        <w:t>元整。</w:t>
      </w:r>
    </w:p>
    <w:p>
      <w:pPr>
        <w:pStyle w:val="null3"/>
        <w:spacing w:before="150" w:after="150"/>
        <w:jc w:val="both"/>
      </w:pPr>
      <w:r>
        <w:rPr>
          <w:sz w:val="21"/>
          <w:b/>
        </w:rPr>
        <w:t>2.</w:t>
      </w:r>
      <w:r>
        <w:rPr>
          <w:sz w:val="21"/>
        </w:rPr>
        <w:t>合同总金额固定不变，包含但不限于货物及零配件的购置、运输装卸、安装调试、验收费用、保险、培训辅导、开放接口费用、质保期售后服务、全额含税发票、雇员费用、合同实施过程中的应预见或不可预见费用等。</w:t>
      </w:r>
    </w:p>
    <w:p>
      <w:pPr>
        <w:pStyle w:val="null3"/>
        <w:spacing w:before="150" w:after="150"/>
        <w:jc w:val="both"/>
      </w:pPr>
      <w:r>
        <w:rPr>
          <w:sz w:val="21"/>
          <w:b/>
        </w:rPr>
        <w:t>第五条</w:t>
      </w:r>
      <w:r>
        <w:rPr>
          <w:sz w:val="21"/>
          <w:b/>
        </w:rPr>
        <w:t xml:space="preserve">  </w:t>
      </w:r>
      <w:r>
        <w:rPr>
          <w:sz w:val="21"/>
          <w:b/>
        </w:rPr>
        <w:t>付款方式</w:t>
      </w:r>
    </w:p>
    <w:p>
      <w:pPr>
        <w:pStyle w:val="null3"/>
        <w:spacing w:before="150" w:after="150"/>
        <w:jc w:val="both"/>
      </w:pPr>
      <w:r>
        <w:rPr>
          <w:sz w:val="21"/>
          <w:b/>
        </w:rPr>
        <w:t>1.</w:t>
      </w:r>
      <w:r>
        <w:rPr>
          <w:sz w:val="21"/>
        </w:rPr>
        <w:t>本合同生效之日起</w:t>
      </w:r>
      <w:r>
        <w:rPr>
          <w:sz w:val="21"/>
        </w:rPr>
        <w:t>10个工作日内，乙方向甲方提供具备资质的第三方机构开具的合同10%总价的履约保函（有效期不少于1年）。</w:t>
      </w:r>
    </w:p>
    <w:p>
      <w:pPr>
        <w:pStyle w:val="null3"/>
        <w:spacing w:before="150" w:after="150"/>
        <w:jc w:val="both"/>
      </w:pPr>
      <w:r>
        <w:rPr>
          <w:sz w:val="21"/>
          <w:b/>
        </w:rPr>
        <w:t>2.</w:t>
      </w:r>
      <w:r>
        <w:rPr>
          <w:sz w:val="21"/>
        </w:rPr>
        <w:t>甲方在收到履约保函后，乙方再向甲方提供有效的合同总金额发票。甲方在收到后</w:t>
      </w:r>
      <w:r>
        <w:rPr>
          <w:sz w:val="21"/>
        </w:rPr>
        <w:t>60天内向乙方支付本合同总金额80%的款项。</w:t>
      </w:r>
    </w:p>
    <w:p>
      <w:pPr>
        <w:pStyle w:val="null3"/>
        <w:spacing w:before="150" w:after="150"/>
        <w:jc w:val="both"/>
      </w:pPr>
      <w:r>
        <w:rPr>
          <w:sz w:val="21"/>
          <w:b/>
        </w:rPr>
        <w:t>3.</w:t>
      </w:r>
      <w:r>
        <w:rPr>
          <w:sz w:val="21"/>
        </w:rPr>
        <w:t>本合同货物全部安装、调试、培训、验收合格（以双方签订验收报告为准）后，甲方应在</w:t>
      </w:r>
      <w:r>
        <w:rPr>
          <w:sz w:val="21"/>
        </w:rPr>
        <w:t>60天内向乙方支付余下合同总金额20%的款项。</w:t>
      </w:r>
    </w:p>
    <w:p>
      <w:pPr>
        <w:pStyle w:val="null3"/>
        <w:spacing w:before="150" w:after="150"/>
        <w:jc w:val="both"/>
      </w:pPr>
      <w:r>
        <w:rPr>
          <w:sz w:val="21"/>
          <w:b/>
        </w:rPr>
        <w:t>4.</w:t>
      </w:r>
      <w:r>
        <w:rPr>
          <w:sz w:val="21"/>
        </w:rPr>
        <w:t>如乙方未有违约行为，验收合格后，甲方在</w:t>
      </w:r>
      <w:r>
        <w:rPr>
          <w:sz w:val="21"/>
        </w:rPr>
        <w:t>60天内，退还履约保函给乙方。</w:t>
      </w:r>
    </w:p>
    <w:p>
      <w:pPr>
        <w:pStyle w:val="null3"/>
        <w:spacing w:before="150" w:after="150"/>
        <w:jc w:val="both"/>
      </w:pPr>
      <w:r>
        <w:rPr>
          <w:sz w:val="21"/>
          <w:b/>
        </w:rPr>
        <w:t>5.</w:t>
      </w:r>
      <w:r>
        <w:rPr>
          <w:sz w:val="21"/>
        </w:rPr>
        <w:t>如乙方存在有违约行为，验收合格后，甲方在</w:t>
      </w:r>
      <w:r>
        <w:rPr>
          <w:sz w:val="21"/>
        </w:rPr>
        <w:t>60天内，退还履约保函给乙方，并按照本合同中 “违约责任”的条款，经过双方确认后，扣除乙方相应的违约金后，再向乙方支付余下的合同款。</w:t>
      </w:r>
    </w:p>
    <w:p>
      <w:pPr>
        <w:pStyle w:val="null3"/>
        <w:spacing w:before="150" w:after="150"/>
        <w:jc w:val="both"/>
      </w:pPr>
      <w:r>
        <w:rPr>
          <w:sz w:val="21"/>
          <w:b/>
        </w:rPr>
        <w:t>第六条</w:t>
      </w:r>
      <w:r>
        <w:rPr>
          <w:sz w:val="21"/>
          <w:b/>
        </w:rPr>
        <w:t xml:space="preserve">  </w:t>
      </w:r>
      <w:r>
        <w:rPr>
          <w:sz w:val="21"/>
          <w:b/>
        </w:rPr>
        <w:t>付款要求</w:t>
      </w:r>
    </w:p>
    <w:p>
      <w:pPr>
        <w:pStyle w:val="null3"/>
        <w:spacing w:before="150" w:after="150"/>
        <w:jc w:val="both"/>
      </w:pPr>
      <w:r>
        <w:rPr>
          <w:sz w:val="21"/>
        </w:rPr>
        <w:t>1.乙方每次提交支付申请前， 须向甲方提供真实有效的发票。</w:t>
      </w:r>
    </w:p>
    <w:p>
      <w:pPr>
        <w:pStyle w:val="null3"/>
        <w:spacing w:before="150" w:after="150"/>
        <w:jc w:val="both"/>
      </w:pPr>
      <w:r>
        <w:rPr>
          <w:sz w:val="21"/>
        </w:rPr>
        <w:t>2.款项以转账方式转入乙方的银行账户。</w:t>
      </w:r>
    </w:p>
    <w:p>
      <w:pPr>
        <w:pStyle w:val="null3"/>
        <w:spacing w:before="150" w:after="150"/>
        <w:jc w:val="both"/>
      </w:pPr>
      <w:r>
        <w:rPr>
          <w:sz w:val="21"/>
        </w:rPr>
        <w:t>3.收款方、出具发票方、合同方均必须与中标认名称一致。</w:t>
      </w:r>
    </w:p>
    <w:p>
      <w:pPr>
        <w:pStyle w:val="null3"/>
        <w:spacing w:before="150" w:after="150"/>
        <w:jc w:val="both"/>
      </w:pPr>
      <w:r>
        <w:rPr>
          <w:sz w:val="21"/>
        </w:rPr>
        <w:t>4.上述款项均不计算利息。乙方应严格按税收政策， 在收取款项时，向甲方提供税款缴纳凭证。</w:t>
      </w:r>
    </w:p>
    <w:p>
      <w:pPr>
        <w:pStyle w:val="null3"/>
        <w:spacing w:before="150" w:after="150"/>
        <w:jc w:val="both"/>
      </w:pPr>
      <w:r>
        <w:rPr>
          <w:sz w:val="21"/>
        </w:rPr>
        <w:t>5.因甲方使用的是财政资金，甲方在规定时间内向政府采购支付部门提出办理财政支付申请手续即视为甲方已经按期支付。</w:t>
      </w:r>
    </w:p>
    <w:p>
      <w:pPr>
        <w:pStyle w:val="null3"/>
        <w:spacing w:before="150" w:after="150"/>
        <w:jc w:val="both"/>
      </w:pPr>
      <w:r>
        <w:rPr>
          <w:sz w:val="21"/>
          <w:b/>
        </w:rPr>
        <w:t>第七条</w:t>
      </w:r>
      <w:r>
        <w:rPr>
          <w:sz w:val="21"/>
          <w:b/>
        </w:rPr>
        <w:t xml:space="preserve">  </w:t>
      </w:r>
      <w:r>
        <w:rPr>
          <w:sz w:val="21"/>
          <w:b/>
        </w:rPr>
        <w:t>项目交付及验收地点、交付期限</w:t>
      </w:r>
    </w:p>
    <w:p>
      <w:pPr>
        <w:pStyle w:val="null3"/>
        <w:spacing w:before="150" w:after="150"/>
        <w:jc w:val="both"/>
      </w:pPr>
      <w:r>
        <w:rPr>
          <w:sz w:val="21"/>
          <w:b/>
        </w:rPr>
        <w:t>1.</w:t>
      </w:r>
      <w:r>
        <w:rPr>
          <w:sz w:val="21"/>
        </w:rPr>
        <w:t>项目交付及验收地点：</w:t>
      </w:r>
      <w:r>
        <w:rPr>
          <w:sz w:val="21"/>
        </w:rPr>
        <w:t>佛山市三水区新城医院，具体地点为甲方指定区域，交货方式为免费送货上门并安装调试。</w:t>
      </w:r>
    </w:p>
    <w:p>
      <w:pPr>
        <w:pStyle w:val="null3"/>
        <w:spacing w:before="150" w:after="150"/>
        <w:jc w:val="both"/>
      </w:pPr>
      <w:r>
        <w:rPr>
          <w:sz w:val="21"/>
          <w:b/>
        </w:rPr>
        <w:t>2.</w:t>
      </w:r>
      <w:r>
        <w:rPr>
          <w:sz w:val="21"/>
        </w:rPr>
        <w:t>项目交付期限：</w:t>
      </w:r>
      <w:r>
        <w:rPr>
          <w:sz w:val="21"/>
        </w:rPr>
        <w:t>合同签订生效后</w:t>
      </w:r>
      <w:r>
        <w:rPr>
          <w:sz w:val="21"/>
          <w:u w:val="single"/>
        </w:rPr>
        <w:t>XX</w:t>
      </w:r>
      <w:r>
        <w:rPr>
          <w:sz w:val="21"/>
        </w:rPr>
        <w:t>个日历天内完成供货、安装调试、验收及交付甲方正常使用并为甲方免费提供操作培训。</w:t>
      </w:r>
    </w:p>
    <w:p>
      <w:pPr>
        <w:pStyle w:val="null3"/>
        <w:spacing w:before="150" w:after="150"/>
        <w:jc w:val="both"/>
      </w:pPr>
      <w:r>
        <w:rPr>
          <w:sz w:val="21"/>
          <w:b/>
        </w:rPr>
        <w:t>第八条</w:t>
      </w:r>
      <w:r>
        <w:rPr>
          <w:sz w:val="21"/>
          <w:b/>
        </w:rPr>
        <w:t xml:space="preserve">  </w:t>
      </w:r>
      <w:r>
        <w:rPr>
          <w:sz w:val="21"/>
          <w:b/>
        </w:rPr>
        <w:t>交付与验收</w:t>
      </w:r>
    </w:p>
    <w:p>
      <w:pPr>
        <w:pStyle w:val="null3"/>
        <w:spacing w:before="150" w:after="150"/>
        <w:jc w:val="both"/>
      </w:pPr>
      <w:r>
        <w:rPr>
          <w:sz w:val="21"/>
          <w:b/>
        </w:rPr>
        <w:t>1.</w:t>
      </w:r>
      <w:r>
        <w:rPr>
          <w:sz w:val="21"/>
        </w:rPr>
        <w:t>乙方须为完成交付验收提供必需的一切条件及相关费用。</w:t>
      </w:r>
    </w:p>
    <w:p>
      <w:pPr>
        <w:pStyle w:val="null3"/>
        <w:spacing w:before="150" w:after="150"/>
        <w:jc w:val="both"/>
      </w:pPr>
      <w:r>
        <w:rPr>
          <w:sz w:val="21"/>
          <w:b/>
        </w:rPr>
        <w:t>2.</w:t>
      </w:r>
      <w:r>
        <w:rPr>
          <w:sz w:val="21"/>
        </w:rPr>
        <w:t>到货检验：在货物到达甲方指定地点后，乙方应在</w:t>
      </w:r>
      <w:r>
        <w:rPr>
          <w:sz w:val="21"/>
        </w:rPr>
        <w:t>2个工作日内派工程技术人员到达现场检验或根据甲方实际需要和甲方商议决定到场检验时间。乙方的人员应在甲方技术人员在场的情况下清点货物。如出现货物短缺、损坏或存在缺陷，乙方应在甲方限定的时间内补齐或更换全新合格品，否则甲方有权退货和有权取消合同，由此造成的双方所有损失均由乙方负责。</w:t>
      </w:r>
    </w:p>
    <w:p>
      <w:pPr>
        <w:pStyle w:val="null3"/>
        <w:spacing w:before="150" w:after="150"/>
        <w:jc w:val="both"/>
      </w:pPr>
      <w:r>
        <w:rPr>
          <w:sz w:val="21"/>
          <w:b/>
        </w:rPr>
        <w:t>3.</w:t>
      </w:r>
      <w:r>
        <w:rPr>
          <w:sz w:val="21"/>
        </w:rPr>
        <w:t>安装调试检验：到货检验通过后，在甲方技术人员在场的情况下组织安装、调试，安装调试后达到验收交付的条件。验收交付前的保管安全责任由乙方承担，甲方可无偿提供必要的临时仓储场所，但不承担保管安全责任。</w:t>
      </w:r>
    </w:p>
    <w:p>
      <w:pPr>
        <w:pStyle w:val="null3"/>
        <w:spacing w:before="150" w:after="150"/>
        <w:jc w:val="both"/>
      </w:pPr>
      <w:r>
        <w:rPr>
          <w:sz w:val="21"/>
          <w:b/>
        </w:rPr>
        <w:t>4.</w:t>
      </w:r>
      <w:r>
        <w:rPr>
          <w:sz w:val="21"/>
        </w:rPr>
        <w:t>安装调试完成且达到验收交付条件后</w:t>
      </w:r>
      <w:r>
        <w:rPr>
          <w:sz w:val="21"/>
        </w:rPr>
        <w:t>10个工作日内由乙方、甲方或法定专业质检部门共同验收并出具验收报告。</w:t>
      </w:r>
    </w:p>
    <w:p>
      <w:pPr>
        <w:pStyle w:val="null3"/>
        <w:spacing w:before="150" w:after="150"/>
        <w:jc w:val="both"/>
      </w:pPr>
      <w:r>
        <w:rPr>
          <w:sz w:val="21"/>
          <w:b/>
        </w:rPr>
        <w:t>5.</w:t>
      </w:r>
      <w:r>
        <w:rPr>
          <w:sz w:val="21"/>
        </w:rPr>
        <w:t>如果项目标的属于《计量法》规定的强检计量器具的或属于压力容器的，乙方应在交付同时提交当地法定专业检定部门出具的检定合格证书给甲方，检定费用由乙方负担。</w:t>
      </w:r>
    </w:p>
    <w:p>
      <w:pPr>
        <w:pStyle w:val="null3"/>
        <w:spacing w:before="150" w:after="150"/>
        <w:jc w:val="both"/>
      </w:pPr>
      <w:r>
        <w:rPr>
          <w:sz w:val="21"/>
          <w:b/>
        </w:rPr>
        <w:t>第九条</w:t>
      </w:r>
      <w:r>
        <w:rPr>
          <w:sz w:val="21"/>
          <w:b/>
        </w:rPr>
        <w:t xml:space="preserve">  </w:t>
      </w:r>
      <w:r>
        <w:rPr>
          <w:sz w:val="21"/>
          <w:b/>
        </w:rPr>
        <w:t>包装、运输、保管及保险</w:t>
      </w:r>
    </w:p>
    <w:p>
      <w:pPr>
        <w:pStyle w:val="null3"/>
        <w:spacing w:before="150" w:after="150"/>
        <w:jc w:val="both"/>
      </w:pPr>
      <w:r>
        <w:rPr>
          <w:sz w:val="21"/>
        </w:rPr>
        <w:t>1.货物的包装必须是制造商原厂包装，其包装均应有良好的防湿、防锈、防潮、防雨、防腐及防碰撞的措施。凡由于包装不良造成的损失和由此产生的费用均由乙方承担。</w:t>
      </w:r>
    </w:p>
    <w:p>
      <w:pPr>
        <w:pStyle w:val="null3"/>
        <w:spacing w:before="150" w:after="150"/>
        <w:jc w:val="both"/>
      </w:pPr>
      <w:r>
        <w:rPr>
          <w:sz w:val="21"/>
        </w:rPr>
        <w:t>2.乙方负责将货物货到现场过程中的全部运输，包括装卸车、货物现场的搬运。</w:t>
      </w:r>
    </w:p>
    <w:p>
      <w:pPr>
        <w:pStyle w:val="null3"/>
        <w:spacing w:before="150" w:after="150"/>
        <w:jc w:val="both"/>
      </w:pPr>
      <w:r>
        <w:rPr>
          <w:sz w:val="21"/>
        </w:rPr>
        <w:t>3.各种货物必须提供装箱清单，按装箱清单验收货物。</w:t>
      </w:r>
    </w:p>
    <w:p>
      <w:pPr>
        <w:pStyle w:val="null3"/>
        <w:spacing w:before="150" w:after="150"/>
        <w:jc w:val="both"/>
      </w:pPr>
      <w:r>
        <w:rPr>
          <w:sz w:val="21"/>
        </w:rPr>
        <w:t>4.货物在现场的保管由乙方负责，直至项目安装、验收完毕。</w:t>
      </w:r>
    </w:p>
    <w:p>
      <w:pPr>
        <w:pStyle w:val="null3"/>
        <w:spacing w:before="150" w:after="150"/>
        <w:jc w:val="both"/>
      </w:pPr>
      <w:r>
        <w:rPr>
          <w:sz w:val="21"/>
        </w:rPr>
        <w:t>5.货物在货物安装调试验收合格前的保险由乙方负责，乙方负责其派出的现场服务人员人身意外保险。</w:t>
      </w:r>
    </w:p>
    <w:p>
      <w:pPr>
        <w:pStyle w:val="null3"/>
        <w:spacing w:before="150" w:after="150"/>
        <w:jc w:val="both"/>
      </w:pPr>
      <w:r>
        <w:rPr>
          <w:sz w:val="21"/>
        </w:rPr>
        <w:t>6.货物至甲方指定的使用现场的包装、保险及发运等环节和费用均由乙方负责。</w:t>
      </w:r>
    </w:p>
    <w:p>
      <w:pPr>
        <w:pStyle w:val="null3"/>
        <w:spacing w:before="150" w:after="150"/>
        <w:jc w:val="both"/>
      </w:pPr>
      <w:r>
        <w:rPr>
          <w:sz w:val="21"/>
          <w:b/>
        </w:rPr>
        <w:t>第十条</w:t>
      </w:r>
      <w:r>
        <w:rPr>
          <w:sz w:val="21"/>
          <w:b/>
        </w:rPr>
        <w:t xml:space="preserve">  </w:t>
      </w:r>
      <w:r>
        <w:rPr>
          <w:sz w:val="21"/>
          <w:b/>
        </w:rPr>
        <w:t>项目验收依次序对照执行标准</w:t>
      </w:r>
    </w:p>
    <w:p>
      <w:pPr>
        <w:pStyle w:val="null3"/>
        <w:spacing w:before="150" w:after="150"/>
        <w:jc w:val="both"/>
      </w:pPr>
      <w:r>
        <w:rPr>
          <w:sz w:val="21"/>
        </w:rPr>
        <w:t>1.货物特性：货物为近</w:t>
      </w:r>
      <w:r>
        <w:rPr>
          <w:sz w:val="21"/>
          <w:u w:val="single"/>
        </w:rPr>
        <w:t>6个月</w:t>
      </w:r>
      <w:r>
        <w:rPr>
          <w:sz w:val="21"/>
        </w:rPr>
        <w:t>原制造商制造的全新产品，无污染，无侵权行为、表面无划损、无任何缺陷隐患，在中国境内可依规安全合法使用。</w:t>
      </w:r>
    </w:p>
    <w:p>
      <w:pPr>
        <w:pStyle w:val="null3"/>
        <w:spacing w:before="150" w:after="150"/>
        <w:jc w:val="both"/>
      </w:pPr>
      <w:r>
        <w:rPr>
          <w:sz w:val="21"/>
        </w:rPr>
        <w:t>2.验收方案：验收小组按国家和甲方有关规定、规范进行验收，必要时邀请相关的专业人员或机构参与验收,验收所需要的一切费用由乙方承担。因货物质量问题发生争议时，由本地质量技术监督部门鉴定。货物符合质量技术标准的，鉴定费由甲方承担；否则鉴定费由乙方承担。</w:t>
      </w:r>
    </w:p>
    <w:p>
      <w:pPr>
        <w:pStyle w:val="null3"/>
        <w:spacing w:before="150" w:after="150"/>
        <w:jc w:val="both"/>
      </w:pPr>
      <w:r>
        <w:rPr>
          <w:sz w:val="21"/>
        </w:rPr>
        <w:t>3.验收标准依次序对照适用标准为:①符合中华人民共和国国家安全质量标准、环保标准或行业标准；②符合招标文件和响应承诺中甲方认可的合理最佳配置、参数及各项要求；③货物来源国家官方标准。上述标准必须是有关官方机构发布的最新版本的标准。</w:t>
      </w:r>
    </w:p>
    <w:p>
      <w:pPr>
        <w:pStyle w:val="null3"/>
        <w:spacing w:before="150" w:after="150"/>
        <w:jc w:val="both"/>
      </w:pPr>
      <w:r>
        <w:rPr>
          <w:sz w:val="21"/>
        </w:rPr>
        <w:t>4.技术资料①交货时，应同时交付产品使用手册、质量检验证书(合格证)等相关资料。②交付验收后，应提供验收报告。</w:t>
      </w:r>
    </w:p>
    <w:p>
      <w:pPr>
        <w:pStyle w:val="null3"/>
        <w:spacing w:before="150" w:after="150"/>
        <w:jc w:val="both"/>
      </w:pPr>
      <w:r>
        <w:rPr>
          <w:sz w:val="21"/>
        </w:rPr>
        <w:t>5.验收结果确认：验收完毕由甲方、相关部门及乙方在验收报告上签名确认。</w:t>
      </w:r>
    </w:p>
    <w:p>
      <w:pPr>
        <w:pStyle w:val="null3"/>
        <w:spacing w:before="150" w:after="150"/>
        <w:jc w:val="both"/>
      </w:pPr>
      <w:r>
        <w:rPr>
          <w:sz w:val="21"/>
        </w:rPr>
        <w:t>6.凡列入《中华人民共和国实施强制性产品认证的产品目录》的产品在验收时乙方必须出具CCC认证证书复印件，并在产品外部加施认证标志作为验收依据之一。</w:t>
      </w:r>
    </w:p>
    <w:p>
      <w:pPr>
        <w:pStyle w:val="null3"/>
        <w:spacing w:before="150" w:after="150"/>
        <w:jc w:val="both"/>
      </w:pPr>
      <w:r>
        <w:rPr>
          <w:sz w:val="21"/>
        </w:rPr>
        <w:t>7.验收人员:①甲方(项目负责人)；②乙方(法定代表人或授权代表)；③其他相关人员。 具体参与人员以甲方最终确认为准。</w:t>
      </w:r>
    </w:p>
    <w:p>
      <w:pPr>
        <w:pStyle w:val="null3"/>
        <w:spacing w:before="150" w:after="150"/>
        <w:jc w:val="both"/>
      </w:pPr>
      <w:r>
        <w:rPr>
          <w:sz w:val="21"/>
          <w:b/>
        </w:rPr>
        <w:t>第十一条</w:t>
      </w:r>
      <w:r>
        <w:rPr>
          <w:sz w:val="21"/>
          <w:b/>
        </w:rPr>
        <w:t xml:space="preserve">  </w:t>
      </w:r>
      <w:r>
        <w:rPr>
          <w:sz w:val="21"/>
          <w:b/>
        </w:rPr>
        <w:t>质量保质期及售后服务要求</w:t>
      </w:r>
    </w:p>
    <w:p>
      <w:pPr>
        <w:pStyle w:val="null3"/>
        <w:spacing w:before="150" w:after="150"/>
        <w:jc w:val="both"/>
      </w:pPr>
      <w:r>
        <w:rPr>
          <w:sz w:val="21"/>
          <w:b/>
        </w:rPr>
        <w:t>1.</w:t>
      </w:r>
      <w:r>
        <w:rPr>
          <w:sz w:val="21"/>
        </w:rPr>
        <w:t>乙方保证设有稳定可靠的售后服务机构或同类合作机构，可提供每周</w:t>
      </w:r>
      <w:r>
        <w:rPr>
          <w:sz w:val="21"/>
        </w:rPr>
        <w:t>7天×24小时热线服务和长期的免费技术支持。</w:t>
      </w:r>
    </w:p>
    <w:p>
      <w:pPr>
        <w:pStyle w:val="null3"/>
        <w:spacing w:before="150" w:after="150"/>
        <w:jc w:val="both"/>
      </w:pPr>
      <w:r>
        <w:rPr>
          <w:sz w:val="21"/>
        </w:rPr>
        <w:t>（</w:t>
      </w:r>
      <w:r>
        <w:rPr>
          <w:sz w:val="21"/>
        </w:rPr>
        <w:t>1）乙方售后服务机构名称：</w:t>
      </w:r>
    </w:p>
    <w:p>
      <w:pPr>
        <w:pStyle w:val="null3"/>
        <w:spacing w:before="150" w:after="150"/>
        <w:ind w:firstLine="218"/>
        <w:jc w:val="both"/>
      </w:pPr>
      <w:r>
        <w:rPr>
          <w:sz w:val="21"/>
        </w:rPr>
        <w:t>地址：</w:t>
      </w:r>
    </w:p>
    <w:p>
      <w:pPr>
        <w:pStyle w:val="null3"/>
        <w:spacing w:before="150" w:after="150"/>
        <w:ind w:firstLine="218"/>
        <w:jc w:val="both"/>
      </w:pPr>
      <w:r>
        <w:rPr>
          <w:sz w:val="21"/>
        </w:rPr>
        <w:t>联系人：，联系电话和手机：。</w:t>
      </w:r>
    </w:p>
    <w:p>
      <w:pPr>
        <w:pStyle w:val="null3"/>
        <w:spacing w:before="150" w:after="150"/>
        <w:jc w:val="both"/>
      </w:pPr>
      <w:r>
        <w:rPr>
          <w:sz w:val="21"/>
        </w:rPr>
        <w:t>（</w:t>
      </w:r>
      <w:r>
        <w:rPr>
          <w:sz w:val="21"/>
        </w:rPr>
        <w:t>2）设备或配件厂家售后服务机构名称：</w:t>
      </w:r>
    </w:p>
    <w:p>
      <w:pPr>
        <w:pStyle w:val="null3"/>
        <w:spacing w:before="150" w:after="150"/>
        <w:ind w:left="630"/>
        <w:jc w:val="both"/>
      </w:pPr>
      <w:r>
        <w:rPr>
          <w:sz w:val="21"/>
        </w:rPr>
        <w:t>1)</w:t>
      </w:r>
      <w:r>
        <w:rPr>
          <w:sz w:val="21"/>
          <w:color w:val="000000"/>
        </w:rPr>
        <w:t>（</w:t>
      </w:r>
      <w:r>
        <w:rPr>
          <w:sz w:val="21"/>
        </w:rPr>
        <w:t>设备</w:t>
      </w:r>
      <w:r>
        <w:rPr>
          <w:sz w:val="21"/>
        </w:rPr>
        <w:t>1）：</w:t>
      </w:r>
    </w:p>
    <w:p>
      <w:pPr>
        <w:pStyle w:val="null3"/>
        <w:spacing w:before="150" w:after="150"/>
        <w:ind w:left="630"/>
        <w:jc w:val="both"/>
      </w:pPr>
      <w:r>
        <w:rPr>
          <w:sz w:val="21"/>
        </w:rPr>
        <w:t>机构名称：</w:t>
      </w:r>
    </w:p>
    <w:p>
      <w:pPr>
        <w:pStyle w:val="null3"/>
        <w:spacing w:before="150" w:after="150"/>
        <w:ind w:left="630"/>
        <w:jc w:val="both"/>
      </w:pPr>
      <w:r>
        <w:rPr>
          <w:sz w:val="21"/>
        </w:rPr>
        <w:t>地址：</w:t>
      </w:r>
    </w:p>
    <w:p>
      <w:pPr>
        <w:pStyle w:val="null3"/>
        <w:spacing w:before="150" w:after="150"/>
        <w:ind w:left="630"/>
        <w:jc w:val="left"/>
      </w:pPr>
      <w:r>
        <w:rPr>
          <w:sz w:val="21"/>
        </w:rPr>
        <w:t>联系人：</w:t>
      </w:r>
      <w:r>
        <w:rPr>
          <w:sz w:val="21"/>
        </w:rPr>
        <w:t>，联系方式：。</w:t>
      </w:r>
    </w:p>
    <w:p>
      <w:pPr>
        <w:pStyle w:val="null3"/>
        <w:spacing w:before="150" w:after="150"/>
        <w:ind w:left="630"/>
        <w:jc w:val="both"/>
      </w:pPr>
      <w:r>
        <w:rPr>
          <w:sz w:val="21"/>
        </w:rPr>
        <w:t>2)</w:t>
      </w:r>
      <w:r>
        <w:rPr>
          <w:sz w:val="21"/>
          <w:color w:val="000000"/>
        </w:rPr>
        <w:t>（</w:t>
      </w:r>
      <w:r>
        <w:rPr>
          <w:sz w:val="21"/>
        </w:rPr>
        <w:t>设备</w:t>
      </w:r>
      <w:r>
        <w:rPr>
          <w:sz w:val="21"/>
        </w:rPr>
        <w:t>2）：</w:t>
      </w:r>
    </w:p>
    <w:p>
      <w:pPr>
        <w:pStyle w:val="null3"/>
        <w:spacing w:before="150" w:after="150"/>
        <w:ind w:left="630"/>
        <w:jc w:val="both"/>
      </w:pPr>
      <w:r>
        <w:rPr>
          <w:sz w:val="21"/>
        </w:rPr>
        <w:t>机构名称：</w:t>
      </w:r>
    </w:p>
    <w:p>
      <w:pPr>
        <w:pStyle w:val="null3"/>
        <w:spacing w:before="150" w:after="150"/>
        <w:ind w:left="630"/>
        <w:jc w:val="both"/>
      </w:pPr>
      <w:r>
        <w:rPr>
          <w:sz w:val="21"/>
        </w:rPr>
        <w:t>地址：</w:t>
      </w:r>
    </w:p>
    <w:p>
      <w:pPr>
        <w:pStyle w:val="null3"/>
        <w:spacing w:before="150" w:after="150"/>
        <w:ind w:left="630"/>
        <w:jc w:val="left"/>
      </w:pPr>
      <w:r>
        <w:rPr>
          <w:sz w:val="21"/>
        </w:rPr>
        <w:t>联系人：</w:t>
      </w:r>
      <w:r>
        <w:rPr>
          <w:sz w:val="21"/>
        </w:rPr>
        <w:t>，联系方式：。</w:t>
      </w:r>
    </w:p>
    <w:p>
      <w:pPr>
        <w:pStyle w:val="null3"/>
        <w:spacing w:before="150" w:after="150"/>
        <w:ind w:left="630"/>
        <w:jc w:val="left"/>
      </w:pPr>
      <w:r>
        <w:rPr>
          <w:sz w:val="21"/>
        </w:rPr>
        <w:t>3）</w:t>
      </w:r>
      <w:r>
        <w:rPr>
          <w:sz w:val="21"/>
        </w:rPr>
        <w:t>……</w:t>
      </w:r>
    </w:p>
    <w:p>
      <w:pPr>
        <w:pStyle w:val="null3"/>
        <w:spacing w:before="150" w:after="150"/>
        <w:jc w:val="both"/>
      </w:pPr>
      <w:r>
        <w:rPr>
          <w:sz w:val="21"/>
          <w:b/>
        </w:rPr>
        <w:t>2.</w:t>
      </w:r>
      <w:r>
        <w:rPr>
          <w:sz w:val="21"/>
        </w:rPr>
        <w:t>乙方接到甲方的售后服务通知应</w:t>
      </w:r>
      <w:r>
        <w:rPr>
          <w:sz w:val="21"/>
        </w:rPr>
        <w:t>1小时内响应，24小时内到达现场，3天内处理完毕</w:t>
      </w:r>
      <w:r>
        <w:rPr>
          <w:sz w:val="21"/>
        </w:rPr>
        <w:t>。如</w:t>
      </w:r>
      <w:r>
        <w:rPr>
          <w:sz w:val="21"/>
        </w:rPr>
        <w:t>48小时内未处理完毕，乙方须提供相同等次备用设备或配件予甲方临时使用或采取其他应急措施不影响甲方的正常业务运行。</w:t>
      </w:r>
    </w:p>
    <w:p>
      <w:pPr>
        <w:pStyle w:val="null3"/>
        <w:spacing w:before="150" w:after="150"/>
        <w:jc w:val="both"/>
      </w:pPr>
      <w:r>
        <w:rPr>
          <w:sz w:val="21"/>
        </w:rPr>
        <w:t>3.质量保证期（简称“质保期”）从设备验收合格（双方签署验收报告）之日起计算：</w:t>
      </w:r>
    </w:p>
    <w:p>
      <w:pPr>
        <w:pStyle w:val="null3"/>
        <w:spacing w:before="150" w:after="150"/>
        <w:ind w:firstLine="105"/>
        <w:jc w:val="both"/>
      </w:pPr>
      <w:r>
        <w:rPr>
          <w:sz w:val="21"/>
        </w:rPr>
        <w:t>(1)（设备1）质保期年，相关配件质保期年；</w:t>
      </w:r>
    </w:p>
    <w:p>
      <w:pPr>
        <w:pStyle w:val="null3"/>
        <w:spacing w:before="150" w:after="150"/>
        <w:ind w:firstLine="105"/>
        <w:jc w:val="both"/>
      </w:pPr>
      <w:r>
        <w:rPr>
          <w:sz w:val="21"/>
        </w:rPr>
        <w:t>(2)（设备2）质保期年，相关配件质保期年；</w:t>
      </w:r>
    </w:p>
    <w:p>
      <w:pPr>
        <w:pStyle w:val="null3"/>
        <w:spacing w:before="150" w:after="150"/>
        <w:ind w:firstLine="105"/>
        <w:jc w:val="both"/>
      </w:pPr>
      <w:r>
        <w:rPr>
          <w:sz w:val="21"/>
        </w:rPr>
        <w:t xml:space="preserve"> </w:t>
      </w:r>
      <w:r>
        <w:rPr>
          <w:sz w:val="21"/>
        </w:rPr>
        <w:t>(3)</w:t>
      </w:r>
      <w:r>
        <w:rPr>
          <w:sz w:val="21"/>
        </w:rPr>
        <w:t>…………</w:t>
      </w:r>
    </w:p>
    <w:p>
      <w:pPr>
        <w:pStyle w:val="null3"/>
        <w:spacing w:before="150" w:after="150"/>
        <w:jc w:val="both"/>
      </w:pPr>
      <w:r>
        <w:rPr>
          <w:sz w:val="21"/>
        </w:rPr>
        <w:t>生产厂家承诺质保期的期限不应短于本项目要求的设备经甲方验收合格后起算的期限，如短于本项目要求的质保期，剩余期限由乙方提供质量保证服务。</w:t>
      </w:r>
    </w:p>
    <w:p>
      <w:pPr>
        <w:pStyle w:val="null3"/>
        <w:spacing w:before="150" w:after="150"/>
        <w:jc w:val="both"/>
      </w:pPr>
      <w:r>
        <w:rPr>
          <w:sz w:val="21"/>
        </w:rPr>
        <w:t>4.质量保质期为所有货物自交付验收合格之日起计算，若货物原厂商提供的质量保质期优于投标人提供的质量保证期，以原厂商提供的质量保质期为准。质量保质期内乙方对所供货物实行包修、包换、包退、包维护保养期满后可同时提供终身维修保养服务。</w:t>
      </w:r>
    </w:p>
    <w:p>
      <w:pPr>
        <w:pStyle w:val="null3"/>
        <w:spacing w:before="150" w:after="150"/>
        <w:jc w:val="both"/>
      </w:pPr>
      <w:r>
        <w:rPr>
          <w:sz w:val="21"/>
        </w:rPr>
        <w:t>5.质量保质期内发生的质量问题，由乙方负责免费解决(因甲方使用不当或其他人为因素造成的故障除外)。如货物因自身故障致停用时间累计超过20天时，则质保期在状态恢复正常时重新计算或对故障设备予以重新更换。</w:t>
      </w:r>
    </w:p>
    <w:p>
      <w:pPr>
        <w:pStyle w:val="null3"/>
        <w:spacing w:before="150" w:after="150"/>
        <w:jc w:val="both"/>
      </w:pPr>
      <w:r>
        <w:rPr>
          <w:sz w:val="21"/>
        </w:rPr>
        <w:t>6.任何时候，乙方均不能免除因货物本身的缺陷所应负的责任。</w:t>
      </w:r>
    </w:p>
    <w:p>
      <w:pPr>
        <w:pStyle w:val="null3"/>
        <w:spacing w:before="150" w:after="150"/>
        <w:jc w:val="both"/>
      </w:pPr>
      <w:r>
        <w:rPr>
          <w:sz w:val="21"/>
        </w:rPr>
        <w:t>7.质量保质期内乙方提供上门免费服务，在质保期内设置每周7天X24 小时服务专线和长期的免费技术支持，对甲方的服务通知，乙方必须在接报后1小时内响应，24小时内到达现场，3天内处理完毕。若故障规定时间内未能处理完毕的,乙方必须免费提供同等配置的货物予甲方临时使用或采取应急措施解决，不得影响甲方的正常工作业务。如乙方不按要求在规定或承诺的时间内作出服务响应及相应的售后服务的，乙方须按人民币 2000元/次向甲方支付违约金，如果乙方一年内不及时响应服务的次数累计达到10次或以上的，甲方有权追究乙方责任，由此造成甲方全部损失均由乙方承担。</w:t>
      </w:r>
    </w:p>
    <w:p>
      <w:pPr>
        <w:pStyle w:val="null3"/>
        <w:spacing w:before="150" w:after="150"/>
        <w:jc w:val="both"/>
      </w:pPr>
      <w:r>
        <w:rPr>
          <w:sz w:val="21"/>
        </w:rPr>
        <w:t>8.提供服务热线、货物日常检修、定期巡检、现场支持服务、硬件替换服务等。</w:t>
      </w:r>
    </w:p>
    <w:p>
      <w:pPr>
        <w:pStyle w:val="null3"/>
        <w:spacing w:before="150" w:after="150"/>
        <w:jc w:val="both"/>
      </w:pPr>
      <w:r>
        <w:rPr>
          <w:sz w:val="21"/>
        </w:rPr>
        <w:t>9.乙方应有长期售后维修服务机构或稳定的维修服务合作伙伴，有完善的售后服务体系，对产品提供终身维修服务。</w:t>
      </w:r>
    </w:p>
    <w:p>
      <w:pPr>
        <w:pStyle w:val="null3"/>
        <w:spacing w:before="150" w:after="150"/>
        <w:jc w:val="both"/>
      </w:pPr>
      <w:r>
        <w:rPr>
          <w:sz w:val="21"/>
          <w:b/>
        </w:rPr>
        <w:t>第十二条</w:t>
      </w:r>
      <w:r>
        <w:rPr>
          <w:sz w:val="21"/>
          <w:b/>
        </w:rPr>
        <w:t xml:space="preserve">  </w:t>
      </w:r>
      <w:r>
        <w:rPr>
          <w:sz w:val="21"/>
          <w:b/>
        </w:rPr>
        <w:t>项目产品要求</w:t>
      </w:r>
    </w:p>
    <w:p>
      <w:pPr>
        <w:pStyle w:val="null3"/>
        <w:spacing w:before="150" w:after="150"/>
        <w:jc w:val="both"/>
      </w:pPr>
      <w:r>
        <w:rPr>
          <w:sz w:val="21"/>
        </w:rPr>
        <w:t>1.如果项目标的属于《计量法》规定的强检计量器具的或属于压力容器的，中标单位应在交付同时提交当地法定专业检定部门出具的检定合格证书给甲方，检定费用由中标单位负担。</w:t>
      </w:r>
    </w:p>
    <w:p>
      <w:pPr>
        <w:pStyle w:val="null3"/>
        <w:spacing w:before="150" w:after="150"/>
        <w:jc w:val="both"/>
      </w:pPr>
      <w:r>
        <w:rPr>
          <w:sz w:val="21"/>
        </w:rPr>
        <w:t>2.属医疗器械管理的货物须在《医疗器械注册证》有效期内生产。</w:t>
      </w:r>
    </w:p>
    <w:p>
      <w:pPr>
        <w:pStyle w:val="null3"/>
        <w:spacing w:before="150" w:after="150"/>
        <w:jc w:val="both"/>
      </w:pPr>
      <w:r>
        <w:rPr>
          <w:sz w:val="21"/>
        </w:rPr>
        <w:t>3.所有标的为交付前6个月内原制造商制造的全新合格产品，整体无污染，无侵权行为、表面无划损、无任何缺陷隐患，在中国境内可依常规安全合法使用。</w:t>
      </w:r>
    </w:p>
    <w:p>
      <w:pPr>
        <w:pStyle w:val="null3"/>
        <w:spacing w:before="150" w:after="150"/>
        <w:jc w:val="both"/>
      </w:pPr>
      <w:r>
        <w:rPr>
          <w:sz w:val="21"/>
        </w:rPr>
        <w:t>4.包装标准为原厂制造商未启封全新包装，具出厂合格证，序列号、包装箱号与出厂批号一致，并可追索查阅。所有随货物的附件必须齐全。</w:t>
      </w:r>
    </w:p>
    <w:p>
      <w:pPr>
        <w:pStyle w:val="null3"/>
        <w:spacing w:before="150" w:after="150"/>
        <w:jc w:val="both"/>
      </w:pPr>
      <w:r>
        <w:rPr>
          <w:sz w:val="21"/>
          <w:b/>
        </w:rPr>
        <w:t>第十三条</w:t>
      </w:r>
      <w:r>
        <w:rPr>
          <w:sz w:val="21"/>
          <w:b/>
        </w:rPr>
        <w:t xml:space="preserve">  </w:t>
      </w:r>
      <w:r>
        <w:rPr>
          <w:sz w:val="21"/>
          <w:b/>
        </w:rPr>
        <w:t>知识产权的归属</w:t>
      </w:r>
    </w:p>
    <w:p>
      <w:pPr>
        <w:pStyle w:val="null3"/>
        <w:spacing w:before="150" w:after="150"/>
        <w:jc w:val="both"/>
      </w:pPr>
      <w:r>
        <w:rPr>
          <w:sz w:val="21"/>
        </w:rPr>
        <w:t>1.乙方</w:t>
      </w:r>
      <w:r>
        <w:rPr>
          <w:sz w:val="21"/>
        </w:rPr>
        <w:t>必须保证，甲方在中华人民共和国境内使用本项目货物、资料、技术、服务或其任何一部分时，享有不受限制的无偿使用权，如有第三方向甲方提出侵犯其专利权、商标权或其它知识产权的主张，该责任应由乙方承担。</w:t>
      </w:r>
    </w:p>
    <w:p>
      <w:pPr>
        <w:pStyle w:val="null3"/>
        <w:spacing w:before="150" w:after="150"/>
        <w:jc w:val="both"/>
      </w:pPr>
      <w:r>
        <w:rPr>
          <w:sz w:val="21"/>
        </w:rPr>
        <w:t>2.甲方在履行合同过程中提供给乙方的全图纸、文件和其他含有数据和信息的资料，其知识产权属于甲方。</w:t>
      </w:r>
    </w:p>
    <w:p>
      <w:pPr>
        <w:pStyle w:val="null3"/>
        <w:spacing w:before="150" w:after="150"/>
        <w:jc w:val="both"/>
      </w:pPr>
      <w:r>
        <w:rPr>
          <w:sz w:val="21"/>
        </w:rPr>
        <w:t>3.如果甲方收到任何第三方有关知识产权的主张、索赔或诉讼，乙方在收到甲方通知后，应以甲方名义并在甲方的协助下，自负费用处理与第三方的索赔或诉讼，并赔偿甲方因此发生的费用和遭受的损失。如果乙方拒绝处理前述索赔或诉讼或在收到甲方通知后28日内未作表示，甲方可以自己的名义进行这些索赔或诉讼，因此发生的费用和遭受的损失均应由乙方承担。</w:t>
      </w:r>
    </w:p>
    <w:p>
      <w:pPr>
        <w:pStyle w:val="null3"/>
        <w:spacing w:before="150" w:after="150"/>
        <w:jc w:val="both"/>
      </w:pPr>
      <w:r>
        <w:rPr>
          <w:sz w:val="21"/>
          <w:b/>
        </w:rPr>
        <w:t>第十四条</w:t>
      </w:r>
      <w:r>
        <w:rPr>
          <w:sz w:val="21"/>
          <w:b/>
        </w:rPr>
        <w:t xml:space="preserve">  </w:t>
      </w:r>
      <w:r>
        <w:rPr>
          <w:sz w:val="21"/>
          <w:b/>
        </w:rPr>
        <w:t>违约责任</w:t>
      </w:r>
    </w:p>
    <w:p>
      <w:pPr>
        <w:pStyle w:val="null3"/>
        <w:spacing w:before="150" w:after="150"/>
        <w:jc w:val="both"/>
      </w:pPr>
      <w:r>
        <w:rPr>
          <w:sz w:val="21"/>
        </w:rPr>
        <w:t>1.中标单位交付的标的或提供的服务不符合法律规定、采购文件、投标文件或本合同约定的，甲方有权拒收，无需向中标单位支付任何款项（中标单位已收取的甲方款项应全额退还甲方），并且中标单位须向甲方支付本合同总金额10%的违约金。</w:t>
      </w:r>
    </w:p>
    <w:p>
      <w:pPr>
        <w:pStyle w:val="null3"/>
        <w:spacing w:before="150" w:after="150"/>
        <w:jc w:val="both"/>
      </w:pPr>
      <w:r>
        <w:rPr>
          <w:sz w:val="21"/>
        </w:rPr>
        <w:t>2.中标单位逾期交付合同标的，或者逾期提供相应服务的情况下，从逾期之日起每日按合同总金额2‰的标准向甲方支付违约金；逾期15日以上的，甲方有权解除合同，无需向中标单位支付任何款项（中标单位已收取的甲方款项应全额退还甲方）且中标单位应向甲方支付合同总金额10%的违约金。如违约金不足以弥补甲方损失，中标单位应对甲方损失承担全部赔偿责任，但赔偿金最高额度不超过合同总金额。</w:t>
      </w:r>
    </w:p>
    <w:p>
      <w:pPr>
        <w:pStyle w:val="null3"/>
        <w:spacing w:before="150" w:after="150"/>
        <w:jc w:val="both"/>
      </w:pPr>
      <w:r>
        <w:rPr>
          <w:sz w:val="21"/>
        </w:rPr>
        <w:t>3.在合同项目履约的过程中（供货、现场整理、安装调试、运行使用等），如果因为中标单位的原因造成了甲方损失的，中标单位需要向甲方支付赔偿金，赔偿金的额度视具体损失情况而定，如果因为中标单位原因造成第三方损失的，中标单位需要另行对第三方进行赔偿。</w:t>
      </w:r>
    </w:p>
    <w:p>
      <w:pPr>
        <w:pStyle w:val="null3"/>
        <w:spacing w:before="150" w:after="150"/>
        <w:jc w:val="both"/>
      </w:pPr>
      <w:r>
        <w:rPr>
          <w:sz w:val="21"/>
        </w:rPr>
        <w:t>4.中标单位未能在维保期内尽到服务义务的，甲方有权要求中标单位进行违约赔偿，违约金额依照甲方受影响的时间而定，每日按合同总金额2‰的标准来计算，违约金最高额度不超过合同总金额。</w:t>
      </w:r>
    </w:p>
    <w:p>
      <w:pPr>
        <w:pStyle w:val="null3"/>
        <w:spacing w:before="150" w:after="150"/>
        <w:jc w:val="both"/>
      </w:pPr>
      <w:r>
        <w:rPr>
          <w:sz w:val="21"/>
        </w:rPr>
        <w:t>5.中标单位向甲方支付违约金或赔偿金的方式，可以采取直接支付的方式，也可以采取甲方在应付给中标单位的合同款中做相应扣除的方式。</w:t>
      </w:r>
    </w:p>
    <w:p>
      <w:pPr>
        <w:pStyle w:val="null3"/>
        <w:spacing w:before="150" w:after="150"/>
        <w:jc w:val="both"/>
      </w:pPr>
      <w:r>
        <w:rPr>
          <w:sz w:val="21"/>
          <w:b/>
        </w:rPr>
        <w:t>第十五条</w:t>
      </w:r>
      <w:r>
        <w:rPr>
          <w:sz w:val="21"/>
          <w:b/>
        </w:rPr>
        <w:t xml:space="preserve">  </w:t>
      </w:r>
      <w:r>
        <w:rPr>
          <w:sz w:val="21"/>
          <w:b/>
        </w:rPr>
        <w:t>培训服务</w:t>
      </w:r>
    </w:p>
    <w:p>
      <w:pPr>
        <w:pStyle w:val="null3"/>
        <w:spacing w:before="150" w:after="150"/>
        <w:jc w:val="both"/>
      </w:pPr>
      <w:r>
        <w:rPr>
          <w:sz w:val="21"/>
        </w:rPr>
        <w:t>1、乙方应设有稳定可靠的培训机构或培训基地。</w:t>
      </w:r>
    </w:p>
    <w:p>
      <w:pPr>
        <w:pStyle w:val="null3"/>
        <w:spacing w:before="150" w:after="150"/>
        <w:jc w:val="both"/>
      </w:pPr>
      <w:r>
        <w:rPr>
          <w:sz w:val="21"/>
        </w:rPr>
        <w:t>2、如无特别说明，乙方应安排熟悉本项目设备的专业技术人员在甲方指定的地点（一般为医院内）向甲方不少于2名的设备操作人员提供完备、全面的产品使用培训，确保甲方的设备操作人员能够对设备、系统有足够的了解，能够独立进行日常操作、管理和维护。培训期间所产生的费用已包含在合同总价中，甲方不再另行支付。</w:t>
      </w:r>
    </w:p>
    <w:p>
      <w:pPr>
        <w:pStyle w:val="null3"/>
        <w:spacing w:before="150" w:after="150"/>
        <w:jc w:val="both"/>
      </w:pPr>
      <w:r>
        <w:rPr>
          <w:sz w:val="21"/>
        </w:rPr>
        <w:t>3、培训资料：乙方必须为所有被培训人员提供培训用文字资料和讲义等相关用品。所有的资料必须是中文书写。</w:t>
      </w:r>
    </w:p>
    <w:p>
      <w:pPr>
        <w:pStyle w:val="null3"/>
        <w:spacing w:before="150" w:after="150"/>
        <w:jc w:val="both"/>
      </w:pPr>
      <w:r>
        <w:rPr>
          <w:sz w:val="21"/>
          <w:b/>
        </w:rPr>
        <w:t>第十六条</w:t>
      </w:r>
      <w:r>
        <w:rPr>
          <w:sz w:val="21"/>
          <w:b/>
        </w:rPr>
        <w:t xml:space="preserve">  </w:t>
      </w:r>
      <w:r>
        <w:rPr>
          <w:sz w:val="21"/>
          <w:b/>
        </w:rPr>
        <w:t>产品资质</w:t>
      </w:r>
    </w:p>
    <w:p>
      <w:pPr>
        <w:pStyle w:val="null3"/>
        <w:spacing w:before="150" w:after="150"/>
        <w:jc w:val="both"/>
      </w:pPr>
      <w:r>
        <w:rPr>
          <w:sz w:val="21"/>
        </w:rPr>
        <w:t>如果投标产品隶属医疗器械管理的，须提供产品的医疗器械备案凭证；或提供产品的医疗器械注册证、医疗器械产品注册登记表或医疗器械产品生产制造认可表（若投标人已办理二证合一，则只需提供医疗器械注册证）。</w:t>
      </w:r>
    </w:p>
    <w:p>
      <w:pPr>
        <w:pStyle w:val="null3"/>
        <w:spacing w:before="150" w:after="150"/>
        <w:jc w:val="both"/>
      </w:pPr>
      <w:r>
        <w:rPr>
          <w:sz w:val="21"/>
          <w:b/>
        </w:rPr>
        <w:t>第十七条</w:t>
      </w:r>
      <w:r>
        <w:rPr>
          <w:sz w:val="21"/>
          <w:b/>
        </w:rPr>
        <w:t xml:space="preserve">  </w:t>
      </w:r>
      <w:r>
        <w:rPr>
          <w:sz w:val="21"/>
          <w:b/>
        </w:rPr>
        <w:t>乙方须提供的资料</w:t>
      </w:r>
    </w:p>
    <w:p>
      <w:pPr>
        <w:pStyle w:val="null3"/>
        <w:spacing w:before="150" w:after="150"/>
        <w:jc w:val="both"/>
      </w:pPr>
      <w:r>
        <w:rPr>
          <w:sz w:val="21"/>
          <w:b/>
        </w:rPr>
        <w:t>1.</w:t>
      </w:r>
      <w:r>
        <w:rPr>
          <w:sz w:val="21"/>
        </w:rPr>
        <w:t>进口产品必须提供原产地证明和中国商检证明及合法进货渠道全套单证。</w:t>
      </w:r>
    </w:p>
    <w:p>
      <w:pPr>
        <w:pStyle w:val="null3"/>
        <w:spacing w:before="150" w:after="150"/>
        <w:jc w:val="both"/>
      </w:pPr>
      <w:r>
        <w:rPr>
          <w:sz w:val="21"/>
          <w:b/>
        </w:rPr>
        <w:t>2.</w:t>
      </w:r>
      <w:r>
        <w:rPr>
          <w:sz w:val="21"/>
        </w:rPr>
        <w:t>中国境内制造的产品必须提供出厂合格证。</w:t>
      </w:r>
    </w:p>
    <w:p>
      <w:pPr>
        <w:pStyle w:val="null3"/>
        <w:spacing w:before="150" w:after="150"/>
        <w:jc w:val="both"/>
      </w:pPr>
      <w:r>
        <w:rPr>
          <w:sz w:val="21"/>
          <w:b/>
        </w:rPr>
        <w:t>3.</w:t>
      </w:r>
      <w:r>
        <w:rPr>
          <w:sz w:val="21"/>
        </w:rPr>
        <w:t>提供产品技术（使用）说明书、产品质量说明书、技术服务资料。外文资料均需有正式中文译本。</w:t>
      </w:r>
    </w:p>
    <w:p>
      <w:pPr>
        <w:pStyle w:val="null3"/>
        <w:spacing w:before="150" w:after="150"/>
        <w:jc w:val="both"/>
      </w:pPr>
      <w:r>
        <w:rPr>
          <w:sz w:val="21"/>
          <w:b/>
        </w:rPr>
        <w:t>4.</w:t>
      </w:r>
      <w:r>
        <w:rPr>
          <w:sz w:val="21"/>
        </w:rPr>
        <w:t>提供完整的厂家原版维修手册、维护软件、开放维修密码。</w:t>
      </w:r>
    </w:p>
    <w:p>
      <w:pPr>
        <w:pStyle w:val="null3"/>
        <w:spacing w:before="150" w:after="150"/>
        <w:jc w:val="both"/>
      </w:pPr>
      <w:r>
        <w:rPr>
          <w:sz w:val="21"/>
          <w:b/>
        </w:rPr>
        <w:t>5.</w:t>
      </w:r>
      <w:r>
        <w:rPr>
          <w:sz w:val="21"/>
        </w:rPr>
        <w:t>提供完整的安装软件，以便日后系统重装。</w:t>
      </w:r>
    </w:p>
    <w:p>
      <w:pPr>
        <w:pStyle w:val="null3"/>
        <w:spacing w:before="150" w:after="150"/>
        <w:jc w:val="both"/>
      </w:pPr>
      <w:r>
        <w:rPr>
          <w:sz w:val="21"/>
          <w:b/>
        </w:rPr>
        <w:t>6.</w:t>
      </w:r>
      <w:r>
        <w:rPr>
          <w:sz w:val="21"/>
        </w:rPr>
        <w:t>标的中配有备件的，乙方应随标的向甲方提供一套标准备件包，并列明清单及单价。</w:t>
      </w:r>
    </w:p>
    <w:p>
      <w:pPr>
        <w:pStyle w:val="null3"/>
        <w:spacing w:before="150" w:after="150"/>
        <w:jc w:val="both"/>
      </w:pPr>
      <w:r>
        <w:rPr>
          <w:sz w:val="21"/>
          <w:b/>
        </w:rPr>
        <w:t>7.</w:t>
      </w:r>
      <w:r>
        <w:rPr>
          <w:sz w:val="21"/>
        </w:rPr>
        <w:t>提供设备或配件的运行、安装、使用环境要求。</w:t>
      </w:r>
    </w:p>
    <w:p>
      <w:pPr>
        <w:pStyle w:val="null3"/>
        <w:spacing w:before="150" w:after="150"/>
        <w:jc w:val="both"/>
      </w:pPr>
      <w:r>
        <w:rPr>
          <w:sz w:val="21"/>
          <w:b/>
        </w:rPr>
        <w:t>第十八条</w:t>
      </w:r>
      <w:r>
        <w:rPr>
          <w:sz w:val="21"/>
          <w:b/>
        </w:rPr>
        <w:t xml:space="preserve">  </w:t>
      </w:r>
      <w:r>
        <w:rPr>
          <w:sz w:val="21"/>
          <w:b/>
        </w:rPr>
        <w:t>关于政府采购质押融资贷款</w:t>
      </w:r>
    </w:p>
    <w:p>
      <w:pPr>
        <w:pStyle w:val="null3"/>
        <w:spacing w:before="150" w:after="150"/>
        <w:jc w:val="both"/>
      </w:pPr>
      <w:r>
        <w:rPr>
          <w:sz w:val="21"/>
          <w:b/>
        </w:rPr>
        <w:t>1.</w:t>
      </w:r>
      <w:r>
        <w:rPr>
          <w:sz w:val="21"/>
        </w:rPr>
        <w:t>乙方是否已申请政府采购质押融资贷款（在</w:t>
      </w:r>
      <w:r>
        <w:rPr>
          <w:sz w:val="21"/>
        </w:rPr>
        <w:t>□打√表示）：□是 ☑否。</w:t>
      </w:r>
    </w:p>
    <w:p>
      <w:pPr>
        <w:pStyle w:val="null3"/>
        <w:spacing w:before="150" w:after="150"/>
        <w:jc w:val="both"/>
      </w:pPr>
      <w:r>
        <w:rPr>
          <w:sz w:val="21"/>
          <w:b/>
        </w:rPr>
        <w:t>2.</w:t>
      </w:r>
      <w:r>
        <w:rPr>
          <w:sz w:val="21"/>
        </w:rPr>
        <w:t>融资银行及联系人、联系方式：</w:t>
      </w:r>
      <w:r>
        <w:rPr>
          <w:sz w:val="21"/>
          <w:u w:val="single"/>
        </w:rPr>
        <w:t xml:space="preserve">     </w:t>
      </w:r>
      <w:r>
        <w:rPr>
          <w:sz w:val="21"/>
          <w:u w:val="single"/>
        </w:rPr>
        <w:t xml:space="preserve">/        </w:t>
      </w:r>
      <w:r>
        <w:rPr>
          <w:sz w:val="21"/>
        </w:rPr>
        <w:t>。</w:t>
      </w:r>
    </w:p>
    <w:p>
      <w:pPr>
        <w:pStyle w:val="null3"/>
        <w:spacing w:before="150" w:after="150"/>
        <w:ind w:firstLine="480"/>
        <w:jc w:val="both"/>
      </w:pPr>
      <w:r>
        <w:rPr>
          <w:sz w:val="21"/>
        </w:rPr>
        <w:t>融资回款账户</w:t>
      </w:r>
      <w:r>
        <w:rPr>
          <w:sz w:val="21"/>
          <w:u w:val="single"/>
        </w:rPr>
        <w:t>：</w:t>
      </w:r>
      <w:r>
        <w:rPr>
          <w:sz w:val="21"/>
          <w:u w:val="single"/>
        </w:rPr>
        <w:t xml:space="preserve">     </w:t>
      </w:r>
      <w:r>
        <w:rPr>
          <w:sz w:val="21"/>
          <w:u w:val="single"/>
        </w:rPr>
        <w:t xml:space="preserve">/        </w:t>
      </w:r>
    </w:p>
    <w:p>
      <w:pPr>
        <w:pStyle w:val="null3"/>
        <w:spacing w:before="150" w:after="150"/>
        <w:ind w:firstLine="480"/>
        <w:jc w:val="both"/>
      </w:pPr>
      <w:r>
        <w:rPr>
          <w:sz w:val="21"/>
        </w:rPr>
        <w:t>开户行：</w:t>
      </w:r>
      <w:r>
        <w:rPr>
          <w:sz w:val="21"/>
          <w:u w:val="single"/>
        </w:rPr>
        <w:t xml:space="preserve">     </w:t>
      </w:r>
      <w:r>
        <w:rPr>
          <w:sz w:val="21"/>
          <w:u w:val="single"/>
        </w:rPr>
        <w:t xml:space="preserve">/        </w:t>
      </w:r>
    </w:p>
    <w:p>
      <w:pPr>
        <w:pStyle w:val="null3"/>
        <w:spacing w:before="150" w:after="150"/>
        <w:jc w:val="both"/>
      </w:pPr>
      <w:r>
        <w:rPr>
          <w:sz w:val="21"/>
          <w:b/>
        </w:rPr>
        <w:t>3.</w:t>
      </w:r>
      <w:r>
        <w:rPr>
          <w:sz w:val="21"/>
        </w:rPr>
        <w:t>若乙方已申请政府采购质押融资贷款，其在本合同中登记的银行帐号为融资银行的唯一收款账号，未获得融资银行同意，乙方不得变更收款账号。</w:t>
      </w:r>
    </w:p>
    <w:p>
      <w:pPr>
        <w:pStyle w:val="null3"/>
        <w:spacing w:before="150" w:after="150"/>
        <w:jc w:val="both"/>
      </w:pPr>
      <w:r>
        <w:rPr>
          <w:sz w:val="21"/>
          <w:b/>
        </w:rPr>
        <w:t>第十九条</w:t>
      </w:r>
      <w:r>
        <w:rPr>
          <w:sz w:val="21"/>
          <w:b/>
        </w:rPr>
        <w:t xml:space="preserve">  </w:t>
      </w:r>
      <w:r>
        <w:rPr>
          <w:sz w:val="21"/>
          <w:b/>
        </w:rPr>
        <w:t>提出异议的时间和方法</w:t>
      </w:r>
    </w:p>
    <w:p>
      <w:pPr>
        <w:pStyle w:val="null3"/>
        <w:spacing w:before="150" w:after="150"/>
        <w:jc w:val="both"/>
      </w:pPr>
      <w:r>
        <w:rPr>
          <w:sz w:val="21"/>
          <w:b/>
        </w:rPr>
        <w:t>1.</w:t>
      </w:r>
      <w:r>
        <w:rPr>
          <w:sz w:val="21"/>
        </w:rPr>
        <w:t>甲方对标的的型号、规格、质量有异议的，应在尽到妥善保管义务的同时，在验收合格之日起</w:t>
      </w:r>
      <w:r>
        <w:rPr>
          <w:sz w:val="21"/>
        </w:rPr>
        <w:t>60天内向乙方提出书面异议。</w:t>
      </w:r>
    </w:p>
    <w:p>
      <w:pPr>
        <w:pStyle w:val="null3"/>
        <w:spacing w:before="150" w:after="150"/>
        <w:jc w:val="both"/>
      </w:pPr>
      <w:r>
        <w:rPr>
          <w:sz w:val="21"/>
          <w:b/>
        </w:rPr>
        <w:t>2.</w:t>
      </w:r>
      <w:r>
        <w:rPr>
          <w:sz w:val="21"/>
        </w:rPr>
        <w:t>乙方在接到甲方书面异议之日起</w:t>
      </w:r>
      <w:r>
        <w:rPr>
          <w:sz w:val="21"/>
        </w:rPr>
        <w:t>2天内负责处理并函复甲方处理情况，否则，视为默认同意甲方提出的异议和处理意见。</w:t>
      </w:r>
    </w:p>
    <w:p>
      <w:pPr>
        <w:pStyle w:val="null3"/>
        <w:spacing w:before="150" w:after="150"/>
        <w:jc w:val="both"/>
      </w:pPr>
      <w:r>
        <w:rPr>
          <w:sz w:val="21"/>
          <w:b/>
        </w:rPr>
        <w:t>3.</w:t>
      </w:r>
      <w:r>
        <w:rPr>
          <w:sz w:val="21"/>
        </w:rPr>
        <w:t>甲方所提出的异议系由于违章操作或保管、保养不善等人为造成货物损毁的，乙方充分举证后有权不予接受。</w:t>
      </w:r>
    </w:p>
    <w:p>
      <w:pPr>
        <w:pStyle w:val="null3"/>
        <w:spacing w:before="150" w:after="150"/>
        <w:jc w:val="both"/>
      </w:pPr>
      <w:r>
        <w:rPr>
          <w:sz w:val="21"/>
          <w:b/>
        </w:rPr>
        <w:t>第二十条</w:t>
      </w:r>
      <w:r>
        <w:rPr>
          <w:sz w:val="21"/>
          <w:b/>
        </w:rPr>
        <w:t xml:space="preserve">  </w:t>
      </w:r>
      <w:r>
        <w:rPr>
          <w:sz w:val="21"/>
          <w:b/>
        </w:rPr>
        <w:t>争议的解决</w:t>
      </w:r>
    </w:p>
    <w:p>
      <w:pPr>
        <w:pStyle w:val="null3"/>
        <w:spacing w:before="150" w:after="150"/>
        <w:jc w:val="both"/>
      </w:pPr>
      <w:r>
        <w:rPr>
          <w:sz w:val="21"/>
          <w:b/>
        </w:rPr>
        <w:t>1.</w:t>
      </w:r>
      <w:r>
        <w:rPr>
          <w:sz w:val="21"/>
        </w:rPr>
        <w:t>合同履行过程中发生的任何争议，双方先友好协商解决，协商不成的，可向甲方所在地有管辖权的人民法院提起诉讼。对货物质量的检查鉴定，统一由佛山市质量技术监督局辖属的相关检测机构进行终局鉴定，鉴定结果符合质量技术标准时，鉴定费由委托方承担；反之，鉴定费由乙方承担。</w:t>
      </w:r>
    </w:p>
    <w:p>
      <w:pPr>
        <w:pStyle w:val="null3"/>
        <w:spacing w:before="150" w:after="150"/>
        <w:jc w:val="both"/>
      </w:pPr>
      <w:r>
        <w:rPr>
          <w:sz w:val="21"/>
          <w:b/>
        </w:rPr>
        <w:t>2.</w:t>
      </w:r>
      <w:r>
        <w:rPr>
          <w:sz w:val="21"/>
        </w:rPr>
        <w:t>法院审理期间，除提交法院审理的事项外，合同其它事项和条款仍应继续履行。</w:t>
      </w:r>
    </w:p>
    <w:p>
      <w:pPr>
        <w:pStyle w:val="null3"/>
        <w:spacing w:before="150" w:after="150"/>
        <w:jc w:val="both"/>
      </w:pPr>
      <w:r>
        <w:rPr>
          <w:sz w:val="21"/>
          <w:b/>
        </w:rPr>
        <w:t>第二十一条</w:t>
      </w:r>
      <w:r>
        <w:rPr>
          <w:sz w:val="21"/>
          <w:b/>
        </w:rPr>
        <w:t xml:space="preserve">  </w:t>
      </w:r>
      <w:r>
        <w:rPr>
          <w:sz w:val="21"/>
          <w:b/>
        </w:rPr>
        <w:t>不可抗力</w:t>
      </w:r>
    </w:p>
    <w:p>
      <w:pPr>
        <w:pStyle w:val="null3"/>
        <w:spacing w:before="150" w:after="150"/>
        <w:ind w:firstLine="480"/>
        <w:jc w:val="both"/>
      </w:pPr>
      <w:r>
        <w:rPr>
          <w:sz w:val="21"/>
        </w:rPr>
        <w:t>任何一方由于不可抗力原因不能履行合同时，应在不可抗力事件结束后</w:t>
      </w:r>
      <w:r>
        <w:rPr>
          <w:sz w:val="21"/>
        </w:rPr>
        <w:t>1天内向对方通报，尽可能减轻对方的损失。在取得有关机构的不可抗力证明或对方谅解确认后，可以延期履行或修订合同，并根据情况可部分或全部免于承担违约责任。</w:t>
      </w:r>
    </w:p>
    <w:p>
      <w:pPr>
        <w:pStyle w:val="null3"/>
        <w:spacing w:before="150" w:after="150"/>
        <w:jc w:val="both"/>
      </w:pPr>
      <w:r>
        <w:rPr>
          <w:sz w:val="21"/>
          <w:b/>
        </w:rPr>
        <w:t>第二十二条</w:t>
      </w:r>
      <w:r>
        <w:rPr>
          <w:sz w:val="21"/>
          <w:b/>
        </w:rPr>
        <w:t xml:space="preserve">  </w:t>
      </w:r>
      <w:r>
        <w:rPr>
          <w:sz w:val="21"/>
          <w:b/>
        </w:rPr>
        <w:t>税费</w:t>
      </w:r>
    </w:p>
    <w:p>
      <w:pPr>
        <w:pStyle w:val="null3"/>
        <w:spacing w:before="150" w:after="150"/>
        <w:jc w:val="both"/>
      </w:pPr>
      <w:r>
        <w:rPr>
          <w:sz w:val="21"/>
          <w:b/>
        </w:rPr>
        <w:t>1.</w:t>
      </w:r>
      <w:r>
        <w:rPr>
          <w:sz w:val="21"/>
        </w:rPr>
        <w:t>中国政府根据现行税法所征收的一切税费均由各缴税责任方独立承担。</w:t>
      </w:r>
    </w:p>
    <w:p>
      <w:pPr>
        <w:pStyle w:val="null3"/>
        <w:spacing w:before="150" w:after="150"/>
        <w:jc w:val="both"/>
      </w:pPr>
      <w:r>
        <w:rPr>
          <w:sz w:val="21"/>
          <w:b/>
        </w:rPr>
        <w:t>2.</w:t>
      </w:r>
      <w:r>
        <w:rPr>
          <w:sz w:val="21"/>
        </w:rPr>
        <w:t>在中国境外发生的与本合同相关的一切税费及不可预见费均由乙方负担。</w:t>
      </w:r>
    </w:p>
    <w:p>
      <w:pPr>
        <w:pStyle w:val="null3"/>
        <w:spacing w:before="150" w:after="150"/>
        <w:jc w:val="both"/>
      </w:pPr>
      <w:r>
        <w:rPr>
          <w:sz w:val="21"/>
          <w:b/>
        </w:rPr>
        <w:t>第二十三条</w:t>
      </w:r>
      <w:r>
        <w:rPr>
          <w:sz w:val="21"/>
          <w:b/>
        </w:rPr>
        <w:t xml:space="preserve">  </w:t>
      </w:r>
      <w:r>
        <w:rPr>
          <w:sz w:val="21"/>
          <w:b/>
        </w:rPr>
        <w:t>合同生效与合同备案</w:t>
      </w:r>
    </w:p>
    <w:p>
      <w:pPr>
        <w:pStyle w:val="null3"/>
        <w:spacing w:before="150" w:after="150"/>
        <w:jc w:val="both"/>
      </w:pPr>
      <w:r>
        <w:rPr>
          <w:sz w:val="21"/>
          <w:b/>
        </w:rPr>
        <w:t>1.</w:t>
      </w:r>
      <w:r>
        <w:rPr>
          <w:sz w:val="21"/>
        </w:rPr>
        <w:t>本合同经甲乙双方法人代表或其授权代表签字盖章并经见证方盖章见证之日起生效。</w:t>
      </w:r>
    </w:p>
    <w:p>
      <w:pPr>
        <w:pStyle w:val="null3"/>
        <w:spacing w:before="150" w:after="150"/>
        <w:jc w:val="both"/>
      </w:pPr>
      <w:r>
        <w:rPr>
          <w:sz w:val="21"/>
          <w:b/>
        </w:rPr>
        <w:t>2.</w:t>
      </w:r>
      <w:r>
        <w:rPr>
          <w:sz w:val="21"/>
        </w:rPr>
        <w:t>自采购合同签订生效之日起</w:t>
      </w:r>
      <w:r>
        <w:rPr>
          <w:sz w:val="21"/>
        </w:rPr>
        <w:t>7 个工作日内，由甲方按照有关规定将采购合同副本报同级人民政府财政部门（政府采购管理部门）备案。</w:t>
      </w:r>
    </w:p>
    <w:p>
      <w:pPr>
        <w:pStyle w:val="null3"/>
        <w:spacing w:before="150" w:after="150"/>
        <w:jc w:val="both"/>
      </w:pPr>
      <w:r>
        <w:rPr>
          <w:sz w:val="21"/>
          <w:b/>
        </w:rPr>
        <w:t>第二十四条</w:t>
      </w:r>
      <w:r>
        <w:rPr>
          <w:sz w:val="21"/>
          <w:b/>
        </w:rPr>
        <w:t xml:space="preserve">  </w:t>
      </w:r>
      <w:r>
        <w:rPr>
          <w:sz w:val="21"/>
          <w:b/>
        </w:rPr>
        <w:t>其它</w:t>
      </w:r>
    </w:p>
    <w:p>
      <w:pPr>
        <w:pStyle w:val="null3"/>
        <w:spacing w:before="150" w:after="150"/>
        <w:jc w:val="both"/>
      </w:pPr>
      <w:r>
        <w:rPr>
          <w:sz w:val="21"/>
          <w:b/>
        </w:rPr>
        <w:t>1.</w:t>
      </w:r>
      <w:r>
        <w:rPr>
          <w:sz w:val="21"/>
        </w:rPr>
        <w:t>所有经一方或双方签署确认的文件（包括会议纪要、补充协议、往来信函）、采购文件和投标响应承诺文件、合同附件及《中标通知书》均为本合同不可分割的有效组成部分，与本合同具有同等的法律效力，其生效日期为合同双方及见证方完成签字盖章之日起。</w:t>
      </w:r>
    </w:p>
    <w:p>
      <w:pPr>
        <w:pStyle w:val="null3"/>
        <w:spacing w:before="150" w:after="150"/>
        <w:jc w:val="both"/>
      </w:pPr>
      <w:r>
        <w:rPr>
          <w:sz w:val="21"/>
          <w:b/>
        </w:rPr>
        <w:t>2.</w:t>
      </w:r>
      <w:r>
        <w:rPr>
          <w:sz w:val="21"/>
        </w:rPr>
        <w:t>如一方地址、电话、传真号码有变更，应在变更当日内书面通知对方，否则，应承担相应责任。</w:t>
      </w:r>
    </w:p>
    <w:p>
      <w:pPr>
        <w:pStyle w:val="null3"/>
        <w:spacing w:before="150" w:after="150"/>
        <w:jc w:val="both"/>
      </w:pPr>
      <w:r>
        <w:rPr>
          <w:sz w:val="21"/>
          <w:b/>
        </w:rPr>
        <w:t>3.</w:t>
      </w:r>
      <w:r>
        <w:rPr>
          <w:sz w:val="21"/>
        </w:rPr>
        <w:t>未经甲方书面同意，乙方不得擅自向第三方转让其应履行的合同项下的义务。</w:t>
      </w:r>
    </w:p>
    <w:p>
      <w:pPr>
        <w:pStyle w:val="null3"/>
        <w:spacing w:before="150" w:after="150"/>
        <w:jc w:val="both"/>
      </w:pPr>
      <w:r>
        <w:rPr>
          <w:sz w:val="21"/>
          <w:b/>
        </w:rPr>
        <w:t>4.</w:t>
      </w:r>
      <w:r>
        <w:rPr>
          <w:sz w:val="21"/>
        </w:rPr>
        <w:t>本合同一式六份，甲方执四份、乙方执一份，代理机构执一份。</w:t>
      </w:r>
    </w:p>
    <w:p>
      <w:pPr>
        <w:pStyle w:val="null3"/>
        <w:spacing w:before="150" w:after="150"/>
        <w:jc w:val="both"/>
      </w:pPr>
      <w:r>
        <w:rPr>
          <w:sz w:val="21"/>
          <w:b/>
        </w:rPr>
        <w:t>5.</w:t>
      </w:r>
      <w:r>
        <w:rPr>
          <w:sz w:val="21"/>
        </w:rPr>
        <w:t>本合同共计</w:t>
      </w:r>
      <w:r>
        <w:rPr>
          <w:sz w:val="21"/>
          <w:u w:val="single"/>
        </w:rPr>
        <w:t xml:space="preserve"> </w:t>
      </w:r>
      <w:r>
        <w:rPr>
          <w:sz w:val="21"/>
          <w:u w:val="single"/>
        </w:rPr>
        <w:t xml:space="preserve">XXX </w:t>
      </w:r>
      <w:r>
        <w:rPr>
          <w:sz w:val="21"/>
        </w:rPr>
        <w:t>页（含封面），缺页之合同为无效合同。</w:t>
      </w:r>
    </w:p>
    <w:p>
      <w:pPr>
        <w:pStyle w:val="null3"/>
        <w:spacing w:before="150" w:after="150"/>
        <w:jc w:val="both"/>
      </w:pPr>
      <w:r>
        <w:rPr>
          <w:sz w:val="21"/>
          <w:b/>
        </w:rPr>
        <w:t>6.</w:t>
      </w:r>
      <w:r>
        <w:rPr>
          <w:sz w:val="21"/>
        </w:rPr>
        <w:t>本合同签约履约地点：佛山市三水区人民医院。</w:t>
      </w:r>
    </w:p>
    <w:p>
      <w:pPr>
        <w:pStyle w:val="null3"/>
        <w:spacing w:before="150" w:after="150"/>
        <w:jc w:val="both"/>
      </w:pPr>
      <w:r>
        <w:rPr>
          <w:sz w:val="21"/>
          <w:b/>
        </w:rPr>
        <w:t>7.</w:t>
      </w:r>
      <w:r>
        <w:rPr>
          <w:sz w:val="21"/>
        </w:rPr>
        <w:t>双方均已对以上各条款及附件作充分了解，并明确理解由此而产生的相关权责。</w:t>
      </w:r>
    </w:p>
    <w:p>
      <w:pPr>
        <w:pStyle w:val="null3"/>
        <w:spacing w:before="150" w:after="150"/>
        <w:jc w:val="both"/>
      </w:pPr>
      <w:r>
        <w:rPr>
          <w:sz w:val="21"/>
          <w:b/>
        </w:rPr>
        <w:t>8.</w:t>
      </w:r>
      <w:r>
        <w:rPr>
          <w:sz w:val="21"/>
        </w:rPr>
        <w:t>根据粤财采购〔</w:t>
      </w:r>
      <w:r>
        <w:rPr>
          <w:sz w:val="21"/>
        </w:rPr>
        <w:t>2015</w:t>
      </w:r>
      <w:r>
        <w:rPr>
          <w:sz w:val="21"/>
        </w:rPr>
        <w:t>〕</w:t>
      </w:r>
      <w:r>
        <w:rPr>
          <w:sz w:val="21"/>
        </w:rPr>
        <w:t>11</w:t>
      </w:r>
      <w:r>
        <w:rPr>
          <w:sz w:val="21"/>
        </w:rPr>
        <w:t>号通知的要求，本合同自签订之日起</w:t>
      </w:r>
      <w:r>
        <w:rPr>
          <w:sz w:val="21"/>
        </w:rPr>
        <w:t>2</w:t>
      </w:r>
      <w:r>
        <w:rPr>
          <w:sz w:val="21"/>
        </w:rPr>
        <w:t>个工作日内公开。本合同涉及国家</w:t>
      </w:r>
      <w:r>
        <w:rPr>
          <w:sz w:val="21"/>
        </w:rPr>
        <w:t>秘</w:t>
      </w:r>
      <w:r>
        <w:rPr>
          <w:sz w:val="21"/>
        </w:rPr>
        <w:t>密</w:t>
      </w:r>
      <w:r>
        <w:rPr>
          <w:sz w:val="21"/>
        </w:rPr>
        <w:t>的内容，由甲方依据《保守国家</w:t>
      </w:r>
      <w:r>
        <w:rPr>
          <w:sz w:val="21"/>
        </w:rPr>
        <w:t>秘</w:t>
      </w:r>
      <w:r>
        <w:rPr>
          <w:sz w:val="21"/>
        </w:rPr>
        <w:t>密</w:t>
      </w:r>
      <w:r>
        <w:rPr>
          <w:sz w:val="21"/>
        </w:rPr>
        <w:t>法》等法律制度规定确定。采购合同涉及商业</w:t>
      </w:r>
      <w:r>
        <w:rPr>
          <w:sz w:val="21"/>
        </w:rPr>
        <w:t>秘</w:t>
      </w:r>
      <w:r>
        <w:rPr>
          <w:sz w:val="21"/>
        </w:rPr>
        <w:t>密</w:t>
      </w:r>
      <w:r>
        <w:rPr>
          <w:sz w:val="21"/>
        </w:rPr>
        <w:t>的内容，由甲方依据《反不正当竞争法》《最高人民法院关于适用〈中华人民共和国民事诉讼法〉的解释》（法释〔</w:t>
      </w:r>
      <w:r>
        <w:rPr>
          <w:sz w:val="21"/>
        </w:rPr>
        <w:t>2015</w:t>
      </w:r>
      <w:r>
        <w:rPr>
          <w:sz w:val="21"/>
        </w:rPr>
        <w:t>〕</w:t>
      </w:r>
      <w:r>
        <w:rPr>
          <w:sz w:val="21"/>
        </w:rPr>
        <w:t>5</w:t>
      </w:r>
      <w:r>
        <w:rPr>
          <w:sz w:val="21"/>
        </w:rPr>
        <w:t>号）及最高人民法院关于修改《最高人民法院关于人民法院民事调解工作若干问题的规定》等十九件民事诉讼类司法解释的决定（法释〔</w:t>
      </w:r>
      <w:r>
        <w:rPr>
          <w:sz w:val="21"/>
        </w:rPr>
        <w:t>2020</w:t>
      </w:r>
      <w:r>
        <w:rPr>
          <w:sz w:val="21"/>
        </w:rPr>
        <w:t>〕</w:t>
      </w:r>
      <w:r>
        <w:rPr>
          <w:sz w:val="21"/>
        </w:rPr>
        <w:t>20</w:t>
      </w:r>
      <w:r>
        <w:rPr>
          <w:sz w:val="21"/>
        </w:rPr>
        <w:t>号）等法律制度的规定，与乙方在合同中约定。</w:t>
      </w:r>
      <w:r>
        <w:rPr>
          <w:sz w:val="21"/>
          <w:b/>
        </w:rPr>
        <w:t>其中，合同标的名称、规格型号、单价及合同金额等内容不得作为商业</w:t>
      </w:r>
      <w:r>
        <w:rPr>
          <w:sz w:val="21"/>
          <w:b/>
        </w:rPr>
        <w:t>秘</w:t>
      </w:r>
      <w:r>
        <w:rPr>
          <w:sz w:val="21"/>
          <w:b/>
        </w:rPr>
        <w:t>密</w:t>
      </w:r>
      <w:r>
        <w:rPr>
          <w:sz w:val="21"/>
          <w:b/>
        </w:rPr>
        <w:t>。</w:t>
      </w:r>
    </w:p>
    <w:p>
      <w:pPr>
        <w:pStyle w:val="null3"/>
        <w:spacing w:before="150" w:after="150"/>
        <w:jc w:val="both"/>
      </w:pPr>
      <w:r>
        <w:rPr>
          <w:sz w:val="21"/>
        </w:rPr>
        <w:t xml:space="preserve">    </w:t>
      </w:r>
      <w:r>
        <w:rPr>
          <w:sz w:val="21"/>
        </w:rPr>
        <w:t>甲乙双方约定不公开的内容为：</w:t>
      </w:r>
      <w:r>
        <w:rPr>
          <w:sz w:val="21"/>
          <w:u w:val="single"/>
        </w:rPr>
        <w:t xml:space="preserve">         </w:t>
      </w:r>
      <w:r>
        <w:rPr>
          <w:sz w:val="21"/>
          <w:u w:val="single"/>
        </w:rPr>
        <w:t xml:space="preserve">/        </w:t>
      </w:r>
    </w:p>
    <w:p>
      <w:pPr>
        <w:pStyle w:val="null3"/>
        <w:spacing w:before="150" w:after="150"/>
        <w:jc w:val="both"/>
      </w:pPr>
      <w:r>
        <w:rPr>
          <w:sz w:val="21"/>
          <w:b/>
        </w:rPr>
        <w:t>9.</w:t>
      </w:r>
      <w:r>
        <w:rPr>
          <w:sz w:val="21"/>
        </w:rPr>
        <w:t>合同性质：本合同为中小企业预留合同。</w:t>
      </w:r>
    </w:p>
    <w:p>
      <w:pPr>
        <w:pStyle w:val="null3"/>
        <w:spacing w:before="150" w:after="150"/>
        <w:jc w:val="both"/>
      </w:pPr>
      <w:r>
        <w:rPr>
          <w:sz w:val="21"/>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40"/>
        <w:gridCol w:w="4166"/>
      </w:tblGrid>
      <w:tr>
        <w:tc>
          <w:tcPr>
            <w:tcW w:type="dxa" w:w="4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after="150"/>
              <w:jc w:val="both"/>
            </w:pPr>
            <w:r>
              <w:rPr>
                <w:sz w:val="21"/>
                <w:b/>
              </w:rPr>
              <w:t>甲方（盖章）：</w:t>
            </w:r>
            <w:r>
              <w:rPr>
                <w:sz w:val="21"/>
                <w:u w:val="single"/>
              </w:rPr>
              <w:t>佛山市三水区新城医院</w:t>
            </w:r>
          </w:p>
          <w:p>
            <w:pPr>
              <w:pStyle w:val="null3"/>
              <w:spacing w:before="150" w:after="150"/>
              <w:jc w:val="both"/>
            </w:pPr>
            <w:r>
              <w:rPr>
                <w:sz w:val="21"/>
              </w:rPr>
              <w:t>法人代表或授权代理人（签字）：</w:t>
            </w:r>
          </w:p>
          <w:p>
            <w:pPr>
              <w:pStyle w:val="null3"/>
              <w:spacing w:before="150" w:after="150"/>
              <w:jc w:val="both"/>
            </w:pPr>
            <w:r>
              <w:rPr>
                <w:sz w:val="21"/>
              </w:rPr>
              <w:t>日期：</w:t>
            </w:r>
            <w:r>
              <w:rPr>
                <w:sz w:val="21"/>
              </w:rPr>
              <w:t>20  年   月   日</w:t>
            </w:r>
          </w:p>
        </w:tc>
        <w:tc>
          <w:tcPr>
            <w:tcW w:type="dxa" w:w="4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after="150"/>
              <w:jc w:val="both"/>
            </w:pPr>
            <w:r>
              <w:rPr>
                <w:sz w:val="21"/>
                <w:b/>
              </w:rPr>
              <w:t>乙方（盖章）：</w:t>
            </w:r>
            <w:r>
              <w:rPr>
                <w:sz w:val="21"/>
                <w:b/>
                <w:u w:val="single"/>
              </w:rPr>
              <w:t xml:space="preserve">                </w:t>
            </w:r>
            <w:r>
              <w:rPr>
                <w:sz w:val="21"/>
                <w:b/>
                <w:u w:val="single"/>
              </w:rPr>
              <w:t>有限公司</w:t>
            </w:r>
          </w:p>
          <w:p>
            <w:pPr>
              <w:pStyle w:val="null3"/>
              <w:spacing w:before="150" w:after="150"/>
              <w:jc w:val="both"/>
            </w:pPr>
            <w:r>
              <w:rPr>
                <w:sz w:val="21"/>
              </w:rPr>
              <w:t>法人代表或授权代理人（签字）：</w:t>
            </w:r>
          </w:p>
          <w:p>
            <w:pPr>
              <w:pStyle w:val="null3"/>
              <w:spacing w:before="150" w:after="150"/>
              <w:jc w:val="both"/>
            </w:pPr>
            <w:r>
              <w:rPr>
                <w:sz w:val="21"/>
              </w:rPr>
              <w:t>日期：</w:t>
            </w:r>
            <w:r>
              <w:rPr>
                <w:sz w:val="21"/>
              </w:rPr>
              <w:t>20  年   月   日</w:t>
            </w:r>
          </w:p>
        </w:tc>
      </w:tr>
      <w:tr>
        <w:tc>
          <w:tcPr>
            <w:tcW w:type="dxa" w:w="414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after="150"/>
              <w:jc w:val="both"/>
            </w:pPr>
          </w:p>
        </w:tc>
        <w:tc>
          <w:tcPr>
            <w:tcW w:type="dxa" w:w="416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收款专户如下：</w:t>
            </w:r>
          </w:p>
          <w:p>
            <w:pPr>
              <w:pStyle w:val="null3"/>
              <w:spacing w:before="150" w:after="150"/>
              <w:jc w:val="both"/>
            </w:pPr>
            <w:r>
              <w:rPr>
                <w:sz w:val="21"/>
                <w:b/>
              </w:rPr>
              <w:t>开户名称：</w:t>
            </w:r>
          </w:p>
          <w:p>
            <w:pPr>
              <w:pStyle w:val="null3"/>
              <w:spacing w:before="150" w:after="150"/>
              <w:jc w:val="both"/>
            </w:pPr>
            <w:r>
              <w:rPr>
                <w:sz w:val="21"/>
                <w:b/>
              </w:rPr>
              <w:t>银行账号：</w:t>
            </w:r>
          </w:p>
          <w:p>
            <w:pPr>
              <w:pStyle w:val="null3"/>
              <w:spacing w:before="150" w:after="150"/>
              <w:jc w:val="both"/>
            </w:pPr>
            <w:r>
              <w:rPr>
                <w:sz w:val="21"/>
                <w:b/>
              </w:rPr>
              <w:t>开户银行：</w:t>
            </w:r>
          </w:p>
        </w:tc>
      </w:tr>
    </w:tbl>
    <w:p>
      <w:pPr>
        <w:pStyle w:val="null3"/>
        <w:spacing w:before="150" w:after="150"/>
        <w:jc w:val="both"/>
      </w:pPr>
      <w:r>
        <w:rPr>
          <w:sz w:val="21"/>
        </w:rPr>
        <w:t>代理机构：</w:t>
      </w:r>
    </w:p>
    <w:p>
      <w:pPr>
        <w:pStyle w:val="null3"/>
        <w:spacing w:before="150" w:after="150"/>
        <w:jc w:val="both"/>
      </w:pPr>
      <w:r>
        <w:rPr>
          <w:sz w:val="21"/>
        </w:rPr>
        <w:t>代理机构（盖章）：</w:t>
      </w:r>
    </w:p>
    <w:p>
      <w:pPr>
        <w:pStyle w:val="null3"/>
        <w:spacing w:before="150" w:after="150"/>
        <w:jc w:val="both"/>
      </w:pPr>
      <w:r>
        <w:rPr>
          <w:sz w:val="21"/>
        </w:rPr>
        <w:t>法人代表或授权代理人（签字）：</w:t>
      </w:r>
    </w:p>
    <w:p>
      <w:pPr>
        <w:pStyle w:val="null3"/>
        <w:spacing w:before="150" w:after="150"/>
        <w:jc w:val="both"/>
      </w:pPr>
      <w:r>
        <w:rPr>
          <w:sz w:val="21"/>
        </w:rPr>
        <w:t>日期：</w:t>
      </w:r>
      <w:r>
        <w:rPr>
          <w:sz w:val="21"/>
        </w:rPr>
        <w:t>20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440607-2025-00891</w:t>
      </w:r>
    </w:p>
    <w:p>
      <w:pPr>
        <w:pStyle w:val="null3"/>
        <w:jc w:val="center"/>
        <w:outlineLvl w:val="3"/>
      </w:pPr>
      <w:r>
        <w:rPr>
          <w:sz w:val="24"/>
          <w:b/>
        </w:rPr>
        <w:t>采购项目编号：</w:t>
      </w:r>
      <w:r>
        <w:rPr>
          <w:sz w:val="24"/>
          <w:b/>
        </w:rPr>
        <w:t>GDZC-25GZ094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佛山市三水区新城医院建设项目-医疗设备采购安装（第三十二批）</w:t>
      </w:r>
      <w:r>
        <w:rPr>
          <w:u w:val="single"/>
        </w:rPr>
        <w:t>”</w:t>
      </w:r>
      <w:r>
        <w:rPr/>
        <w:t>项目的招标[采购项目编号为：</w:t>
      </w:r>
      <w:r>
        <w:rPr>
          <w:u w:val="single"/>
        </w:rPr>
        <w:t>GDZC-25GZ094</w:t>
      </w:r>
      <w:r>
        <w:rPr/>
        <w:t>]，我方愿参与投标。</w:t>
      </w:r>
    </w:p>
    <w:p>
      <w:pPr>
        <w:pStyle w:val="null3"/>
        <w:ind w:firstLine="480"/>
      </w:pPr>
      <w:r>
        <w:rPr/>
        <w:t>我方确认收到贵方提供的</w:t>
      </w:r>
      <w:r>
        <w:rPr>
          <w:u w:val="single"/>
        </w:rPr>
        <w:t>“</w:t>
      </w:r>
      <w:r>
        <w:rPr>
          <w:u w:val="single"/>
        </w:rPr>
        <w:t>佛山市三水区新城医院建设项目-医疗设备采购安装（第三十二批）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佛山市三水区新城医院建设项目-医疗设备采购安装（第三十二批）</w:t>
      </w:r>
      <w:r>
        <w:rPr/>
        <w:t>”项目采购[采购项目编号为</w:t>
      </w:r>
      <w:r>
        <w:rPr/>
        <w:t>GDZC-25GZ094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佛山市三水区新城医院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佛山市三水区新城医院建设项目-医疗设备采购安装（第三十二批）</w:t>
      </w:r>
      <w:r>
        <w:rPr/>
        <w:t>招标中获中标（采购项目编号：</w:t>
      </w:r>
      <w:r>
        <w:rPr/>
        <w:t>GDZC-25GZ094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佛山市三水区新城医院建设项目-医疗设备采购安装（第三十二批）</w:t>
      </w:r>
      <w:r>
        <w:rPr/>
        <w:t>”项目（采购项目编号：</w:t>
      </w:r>
      <w:r>
        <w:rPr/>
        <w:t>GDZC-25GZ094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