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1B25D">
      <w:pPr>
        <w:spacing w:line="480" w:lineRule="auto"/>
        <w:rPr>
          <w:rFonts w:hint="eastAsia" w:ascii="华文中宋" w:hAnsi="华文中宋" w:eastAsia="华文中宋"/>
          <w:b/>
          <w:color w:val="auto"/>
          <w:sz w:val="72"/>
        </w:rPr>
      </w:pPr>
      <w:r>
        <w:rPr>
          <w:rFonts w:ascii="宋体" w:hAnsi="宋体" w:cs="宋体"/>
          <w:color w:val="auto"/>
          <w:sz w:val="24"/>
        </w:rPr>
        <w:drawing>
          <wp:inline distT="0" distB="0" distL="114300" distR="114300">
            <wp:extent cx="1334135" cy="1195705"/>
            <wp:effectExtent l="0" t="0" r="18415" b="4445"/>
            <wp:docPr id="3" name="图片 1"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KYQQ}GOZ1{]~8T6VE]_3Y"/>
                    <pic:cNvPicPr>
                      <a:picLocks noChangeAspect="1"/>
                    </pic:cNvPicPr>
                  </pic:nvPicPr>
                  <pic:blipFill>
                    <a:blip r:embed="rId11"/>
                    <a:stretch>
                      <a:fillRect/>
                    </a:stretch>
                  </pic:blipFill>
                  <pic:spPr>
                    <a:xfrm>
                      <a:off x="0" y="0"/>
                      <a:ext cx="1334135" cy="1195705"/>
                    </a:xfrm>
                    <a:prstGeom prst="rect">
                      <a:avLst/>
                    </a:prstGeom>
                    <a:noFill/>
                    <a:ln>
                      <a:noFill/>
                    </a:ln>
                  </pic:spPr>
                </pic:pic>
              </a:graphicData>
            </a:graphic>
          </wp:inline>
        </w:drawing>
      </w:r>
    </w:p>
    <w:p w14:paraId="5715CEB1">
      <w:pPr>
        <w:spacing w:line="480" w:lineRule="auto"/>
        <w:rPr>
          <w:rFonts w:hint="eastAsia" w:ascii="华文中宋" w:hAnsi="华文中宋" w:eastAsia="华文中宋"/>
          <w:b/>
          <w:color w:val="auto"/>
          <w:sz w:val="60"/>
          <w:szCs w:val="22"/>
        </w:rPr>
      </w:pPr>
    </w:p>
    <w:p w14:paraId="0E5767D8">
      <w:pPr>
        <w:snapToGrid w:val="0"/>
        <w:jc w:val="center"/>
        <w:rPr>
          <w:rFonts w:hint="eastAsia" w:ascii="黑体" w:eastAsia="黑体"/>
          <w:b/>
          <w:bCs/>
          <w:color w:val="auto"/>
          <w:sz w:val="72"/>
          <w:szCs w:val="72"/>
        </w:rPr>
      </w:pPr>
      <w:r>
        <w:rPr>
          <w:rFonts w:hint="eastAsia" w:ascii="黑体" w:hAnsi="华文中宋" w:eastAsia="黑体" w:cs="华文中宋"/>
          <w:b/>
          <w:bCs/>
          <w:color w:val="auto"/>
          <w:sz w:val="72"/>
          <w:szCs w:val="72"/>
          <w:lang w:eastAsia="zh-CN"/>
        </w:rPr>
        <w:t>服务</w:t>
      </w:r>
      <w:r>
        <w:rPr>
          <w:rFonts w:hint="eastAsia" w:ascii="黑体" w:hAnsi="华文中宋" w:eastAsia="黑体" w:cs="华文中宋"/>
          <w:b/>
          <w:bCs/>
          <w:color w:val="auto"/>
          <w:sz w:val="72"/>
          <w:szCs w:val="72"/>
        </w:rPr>
        <w:t>采购</w:t>
      </w:r>
    </w:p>
    <w:p w14:paraId="72DE2CF9">
      <w:pPr>
        <w:snapToGrid w:val="0"/>
        <w:spacing w:before="156" w:beforeLines="50"/>
        <w:jc w:val="center"/>
        <w:rPr>
          <w:rFonts w:hint="eastAsia" w:ascii="仿宋_GB2312" w:eastAsia="仿宋_GB2312"/>
          <w:b/>
          <w:bCs/>
          <w:color w:val="auto"/>
          <w:sz w:val="72"/>
          <w:szCs w:val="72"/>
        </w:rPr>
      </w:pPr>
      <w:r>
        <w:rPr>
          <w:rFonts w:hint="eastAsia" w:ascii="黑体" w:hAnsi="华文中宋" w:eastAsia="黑体" w:cs="华文中宋"/>
          <w:b/>
          <w:bCs/>
          <w:color w:val="auto"/>
          <w:sz w:val="72"/>
          <w:szCs w:val="72"/>
        </w:rPr>
        <w:t>公开招标文件</w:t>
      </w:r>
    </w:p>
    <w:p w14:paraId="060F01F8">
      <w:pPr>
        <w:spacing w:line="240" w:lineRule="auto"/>
        <w:rPr>
          <w:rFonts w:ascii="黑体" w:eastAsia="黑体"/>
          <w:b/>
          <w:bCs/>
          <w:color w:val="auto"/>
          <w:sz w:val="44"/>
          <w:szCs w:val="44"/>
        </w:rPr>
      </w:pPr>
    </w:p>
    <w:p w14:paraId="218E532F">
      <w:pPr>
        <w:spacing w:line="240" w:lineRule="auto"/>
        <w:rPr>
          <w:rFonts w:hint="eastAsia" w:ascii="宋体" w:hAnsi="宋体"/>
          <w:color w:val="auto"/>
          <w:sz w:val="24"/>
        </w:rPr>
      </w:pPr>
    </w:p>
    <w:p w14:paraId="77B9534A">
      <w:pPr>
        <w:spacing w:line="240" w:lineRule="auto"/>
        <w:rPr>
          <w:rFonts w:hint="eastAsia" w:ascii="宋体" w:hAnsi="宋体"/>
          <w:color w:val="auto"/>
          <w:sz w:val="24"/>
        </w:rPr>
      </w:pPr>
    </w:p>
    <w:p w14:paraId="1F1DFDA6">
      <w:pPr>
        <w:pStyle w:val="2"/>
        <w:spacing w:line="360" w:lineRule="auto"/>
        <w:ind w:left="0" w:leftChars="0" w:firstLine="1478" w:firstLineChars="462"/>
        <w:rPr>
          <w:rFonts w:hint="eastAsia" w:ascii="仿宋_GB2312" w:eastAsia="仿宋_GB2312"/>
          <w:b/>
          <w:color w:val="auto"/>
          <w:sz w:val="32"/>
          <w:highlight w:val="none"/>
        </w:rPr>
      </w:pPr>
    </w:p>
    <w:p w14:paraId="728A2874">
      <w:pPr>
        <w:pStyle w:val="2"/>
        <w:spacing w:line="360" w:lineRule="auto"/>
        <w:ind w:left="0" w:leftChars="0" w:firstLine="0" w:firstLineChars="0"/>
        <w:jc w:val="center"/>
        <w:rPr>
          <w:rFonts w:hint="eastAsia" w:ascii="仿宋_GB2312" w:eastAsia="仿宋_GB2312"/>
          <w:b/>
          <w:color w:val="auto"/>
          <w:sz w:val="32"/>
          <w:highlight w:val="none"/>
        </w:rPr>
      </w:pPr>
      <w:r>
        <w:rPr>
          <w:rFonts w:hint="eastAsia" w:ascii="仿宋_GB2312" w:eastAsia="仿宋_GB2312"/>
          <w:b/>
          <w:color w:val="auto"/>
          <w:sz w:val="32"/>
          <w:highlight w:val="none"/>
        </w:rPr>
        <w:t>项目编号：</w:t>
      </w:r>
      <w:r>
        <w:rPr>
          <w:rFonts w:hint="eastAsia" w:ascii="仿宋_GB2312" w:eastAsia="仿宋_GB2312"/>
          <w:b/>
          <w:color w:val="auto"/>
          <w:sz w:val="32"/>
          <w:highlight w:val="none"/>
          <w:lang w:eastAsia="zh-CN"/>
        </w:rPr>
        <w:t>JG2025(SS)XZ0008</w:t>
      </w:r>
    </w:p>
    <w:p w14:paraId="1ADD7733">
      <w:pPr>
        <w:pStyle w:val="2"/>
        <w:spacing w:line="360" w:lineRule="auto"/>
        <w:ind w:left="0" w:leftChars="0" w:firstLine="0" w:firstLineChars="0"/>
        <w:jc w:val="center"/>
        <w:rPr>
          <w:rFonts w:hint="eastAsia" w:ascii="仿宋_GB2312" w:eastAsia="仿宋_GB2312"/>
          <w:b/>
          <w:color w:val="auto"/>
          <w:sz w:val="32"/>
          <w:highlight w:val="none"/>
          <w:lang w:eastAsia="zh-CN"/>
        </w:rPr>
      </w:pPr>
      <w:r>
        <w:rPr>
          <w:rFonts w:hint="eastAsia" w:ascii="仿宋_GB2312" w:eastAsia="仿宋_GB2312"/>
          <w:b/>
          <w:color w:val="auto"/>
          <w:sz w:val="32"/>
          <w:highlight w:val="none"/>
        </w:rPr>
        <w:t>项目名称：</w:t>
      </w:r>
      <w:r>
        <w:rPr>
          <w:rFonts w:hint="eastAsia" w:ascii="仿宋_GB2312" w:eastAsia="仿宋_GB2312"/>
          <w:b/>
          <w:color w:val="auto"/>
          <w:sz w:val="32"/>
          <w:highlight w:val="none"/>
          <w:lang w:eastAsia="zh-CN"/>
        </w:rPr>
        <w:t>保安服务采购项目</w:t>
      </w:r>
    </w:p>
    <w:p w14:paraId="2E728AB7">
      <w:pPr>
        <w:snapToGrid w:val="0"/>
        <w:spacing w:line="360" w:lineRule="auto"/>
        <w:rPr>
          <w:rFonts w:hint="eastAsia" w:ascii="仿宋_GB2312" w:eastAsia="仿宋_GB2312"/>
          <w:color w:val="auto"/>
          <w:sz w:val="32"/>
          <w:highlight w:val="none"/>
        </w:rPr>
      </w:pPr>
    </w:p>
    <w:p w14:paraId="52A1BFB4">
      <w:pPr>
        <w:spacing w:line="360" w:lineRule="auto"/>
        <w:ind w:firstLine="1500" w:firstLineChars="500"/>
        <w:rPr>
          <w:rFonts w:hint="eastAsia" w:ascii="黑体" w:hAnsi="华文中宋" w:eastAsia="黑体" w:cs="华文中宋"/>
          <w:color w:val="auto"/>
          <w:sz w:val="30"/>
          <w:szCs w:val="30"/>
          <w:highlight w:val="none"/>
        </w:rPr>
      </w:pPr>
    </w:p>
    <w:p w14:paraId="0C18AF64">
      <w:pPr>
        <w:spacing w:line="360" w:lineRule="auto"/>
        <w:ind w:firstLine="1500" w:firstLineChars="500"/>
        <w:rPr>
          <w:rFonts w:hint="eastAsia" w:ascii="黑体" w:hAnsi="华文中宋" w:eastAsia="黑体" w:cs="华文中宋"/>
          <w:color w:val="auto"/>
          <w:sz w:val="30"/>
          <w:szCs w:val="30"/>
          <w:highlight w:val="none"/>
        </w:rPr>
      </w:pPr>
    </w:p>
    <w:p w14:paraId="2DD80EA8">
      <w:pPr>
        <w:spacing w:line="360" w:lineRule="auto"/>
        <w:ind w:left="0" w:leftChars="0" w:firstLine="0" w:firstLineChars="0"/>
        <w:jc w:val="center"/>
        <w:rPr>
          <w:rFonts w:hint="eastAsia" w:eastAsia="华文中宋"/>
          <w:color w:val="auto"/>
          <w:sz w:val="30"/>
          <w:highlight w:val="none"/>
        </w:rPr>
      </w:pPr>
      <w:r>
        <w:rPr>
          <w:rFonts w:hint="eastAsia" w:ascii="黑体" w:hAnsi="华文中宋" w:eastAsia="黑体" w:cs="华文中宋"/>
          <w:color w:val="auto"/>
          <w:sz w:val="30"/>
          <w:szCs w:val="30"/>
          <w:highlight w:val="none"/>
          <w:lang w:eastAsia="zh-CN"/>
        </w:rPr>
        <w:t>招标人</w:t>
      </w:r>
      <w:r>
        <w:rPr>
          <w:rFonts w:hint="eastAsia" w:ascii="黑体" w:hAnsi="华文中宋" w:eastAsia="黑体" w:cs="华文中宋"/>
          <w:color w:val="auto"/>
          <w:sz w:val="30"/>
          <w:szCs w:val="30"/>
          <w:highlight w:val="none"/>
        </w:rPr>
        <w:t>：</w:t>
      </w:r>
      <w:r>
        <w:rPr>
          <w:rFonts w:hint="eastAsia" w:ascii="黑体" w:hAnsi="华文中宋" w:eastAsia="黑体" w:cs="华文中宋"/>
          <w:color w:val="auto"/>
          <w:sz w:val="30"/>
          <w:szCs w:val="30"/>
          <w:highlight w:val="none"/>
          <w:lang w:eastAsia="zh-CN"/>
        </w:rPr>
        <w:t>佛山市三水云东海创智城产业发展有限公司</w:t>
      </w:r>
    </w:p>
    <w:p w14:paraId="32C05E4A">
      <w:pPr>
        <w:spacing w:line="360" w:lineRule="auto"/>
        <w:ind w:left="0" w:leftChars="0" w:firstLine="0" w:firstLineChars="0"/>
        <w:jc w:val="center"/>
        <w:rPr>
          <w:rFonts w:hint="eastAsia" w:ascii="黑体" w:hAnsi="华文中宋" w:eastAsia="黑体" w:cs="华文中宋"/>
          <w:color w:val="auto"/>
          <w:sz w:val="30"/>
          <w:szCs w:val="30"/>
          <w:highlight w:val="none"/>
        </w:rPr>
      </w:pPr>
      <w:r>
        <w:rPr>
          <w:rFonts w:hint="eastAsia" w:ascii="黑体" w:hAnsi="华文中宋" w:eastAsia="黑体" w:cs="华文中宋"/>
          <w:color w:val="auto"/>
          <w:sz w:val="30"/>
          <w:szCs w:val="30"/>
          <w:highlight w:val="none"/>
          <w:lang w:eastAsia="zh-CN"/>
        </w:rPr>
        <w:t>招标代理机构</w:t>
      </w:r>
      <w:r>
        <w:rPr>
          <w:rFonts w:hint="eastAsia" w:ascii="黑体" w:hAnsi="华文中宋" w:eastAsia="黑体" w:cs="华文中宋"/>
          <w:color w:val="auto"/>
          <w:sz w:val="30"/>
          <w:szCs w:val="30"/>
          <w:highlight w:val="none"/>
        </w:rPr>
        <w:t>：广东中采招标有限公司</w:t>
      </w:r>
    </w:p>
    <w:p w14:paraId="57893314">
      <w:pPr>
        <w:snapToGrid w:val="0"/>
        <w:spacing w:line="360" w:lineRule="auto"/>
        <w:jc w:val="center"/>
        <w:rPr>
          <w:rFonts w:hint="eastAsia" w:ascii="黑体" w:hAnsi="华文中宋" w:eastAsia="黑体" w:cs="华文中宋"/>
          <w:color w:val="auto"/>
          <w:sz w:val="30"/>
          <w:szCs w:val="30"/>
          <w:highlight w:val="none"/>
          <w:lang w:eastAsia="zh-CN"/>
        </w:rPr>
      </w:pPr>
    </w:p>
    <w:p w14:paraId="02A2BDF9">
      <w:pPr>
        <w:snapToGrid w:val="0"/>
        <w:spacing w:line="360" w:lineRule="auto"/>
        <w:jc w:val="center"/>
        <w:rPr>
          <w:rFonts w:hint="eastAsia" w:ascii="黑体" w:hAnsi="华文中宋" w:eastAsia="黑体" w:cs="华文中宋"/>
          <w:color w:val="auto"/>
          <w:sz w:val="30"/>
          <w:szCs w:val="30"/>
          <w:highlight w:val="none"/>
          <w:lang w:eastAsia="zh-CN"/>
        </w:rPr>
      </w:pPr>
    </w:p>
    <w:p w14:paraId="046EB85B">
      <w:pPr>
        <w:snapToGrid w:val="0"/>
        <w:spacing w:line="360" w:lineRule="auto"/>
        <w:jc w:val="center"/>
        <w:rPr>
          <w:rFonts w:ascii="黑体" w:hAnsi="华文中宋" w:eastAsia="黑体" w:cs="华文中宋"/>
          <w:color w:val="auto"/>
          <w:sz w:val="30"/>
          <w:szCs w:val="30"/>
          <w:highlight w:val="none"/>
        </w:rPr>
        <w:sectPr>
          <w:headerReference r:id="rId5" w:type="first"/>
          <w:headerReference r:id="rId3" w:type="default"/>
          <w:headerReference r:id="rId4" w:type="even"/>
          <w:footerReference r:id="rId6" w:type="even"/>
          <w:pgSz w:w="11906" w:h="16838"/>
          <w:pgMar w:top="1440" w:right="1466" w:bottom="1440" w:left="1420" w:header="567"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黑体" w:hAnsi="华文中宋" w:eastAsia="黑体" w:cs="华文中宋"/>
          <w:color w:val="auto"/>
          <w:sz w:val="30"/>
          <w:szCs w:val="30"/>
          <w:highlight w:val="none"/>
          <w:lang w:eastAsia="zh-CN"/>
        </w:rPr>
        <w:t>2025年</w:t>
      </w:r>
      <w:r>
        <w:rPr>
          <w:rFonts w:hint="eastAsia" w:ascii="黑体" w:hAnsi="华文中宋" w:eastAsia="黑体" w:cs="华文中宋"/>
          <w:color w:val="auto"/>
          <w:sz w:val="30"/>
          <w:szCs w:val="30"/>
          <w:highlight w:val="none"/>
          <w:lang w:val="en-US" w:eastAsia="zh-CN"/>
        </w:rPr>
        <w:t>9</w:t>
      </w:r>
      <w:r>
        <w:rPr>
          <w:rFonts w:ascii="黑体" w:hAnsi="华文中宋" w:eastAsia="黑体" w:cs="华文中宋"/>
          <w:color w:val="auto"/>
          <w:sz w:val="30"/>
          <w:szCs w:val="30"/>
          <w:highlight w:val="none"/>
        </w:rPr>
        <w:t>月</w:t>
      </w:r>
    </w:p>
    <w:p w14:paraId="38ED1967">
      <w:pPr>
        <w:autoSpaceDE w:val="0"/>
        <w:autoSpaceDN w:val="0"/>
        <w:adjustRightInd w:val="0"/>
        <w:snapToGrid w:val="0"/>
        <w:spacing w:before="156" w:beforeLines="50" w:after="156" w:afterLines="50"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4205F07B">
      <w:pPr>
        <w:pStyle w:val="16"/>
        <w:tabs>
          <w:tab w:val="right" w:leader="dot" w:pos="9180"/>
          <w:tab w:val="clear" w:pos="9060"/>
        </w:tabs>
        <w:rPr>
          <w:rFonts w:hint="eastAsia" w:ascii="宋体" w:hAnsi="宋体" w:eastAsia="宋体" w:cs="宋体"/>
          <w:b/>
          <w:bCs/>
          <w:color w:val="auto"/>
        </w:rPr>
      </w:pPr>
      <w:r>
        <w:rPr>
          <w:rFonts w:hint="eastAsia" w:ascii="宋体" w:hAnsi="宋体" w:eastAsia="宋体" w:cs="宋体"/>
          <w:b/>
          <w:bCs/>
          <w:color w:val="auto"/>
          <w:szCs w:val="21"/>
        </w:rPr>
        <w:fldChar w:fldCharType="begin"/>
      </w:r>
      <w:r>
        <w:rPr>
          <w:rStyle w:val="26"/>
          <w:rFonts w:hint="eastAsia" w:ascii="宋体" w:hAnsi="宋体" w:eastAsia="宋体" w:cs="宋体"/>
          <w:b/>
          <w:bCs/>
          <w:color w:val="auto"/>
          <w:sz w:val="21"/>
          <w:szCs w:val="21"/>
        </w:rPr>
        <w:instrText xml:space="preserve"> TOC \o "1-1" \h \z \u </w:instrText>
      </w:r>
      <w:r>
        <w:rPr>
          <w:rFonts w:hint="eastAsia" w:ascii="宋体" w:hAnsi="宋体" w:eastAsia="宋体" w:cs="宋体"/>
          <w:b/>
          <w:bCs/>
          <w:color w:val="auto"/>
          <w:szCs w:val="21"/>
        </w:rPr>
        <w:fldChar w:fldCharType="separate"/>
      </w: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_Toc6790 </w:instrText>
      </w:r>
      <w:r>
        <w:rPr>
          <w:rFonts w:hint="eastAsia" w:ascii="宋体" w:hAnsi="宋体" w:eastAsia="宋体" w:cs="宋体"/>
          <w:b/>
          <w:bCs/>
          <w:color w:val="auto"/>
          <w:szCs w:val="21"/>
        </w:rPr>
        <w:fldChar w:fldCharType="separate"/>
      </w:r>
      <w:r>
        <w:rPr>
          <w:rFonts w:hint="eastAsia" w:ascii="宋体" w:hAnsi="宋体" w:eastAsia="宋体" w:cs="宋体"/>
          <w:b/>
          <w:bCs/>
          <w:color w:val="auto"/>
          <w:szCs w:val="28"/>
        </w:rPr>
        <w:t>第一章  投标邀请</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_Toc6790 </w:instrText>
      </w:r>
      <w:r>
        <w:rPr>
          <w:rFonts w:hint="eastAsia" w:ascii="宋体" w:hAnsi="宋体" w:eastAsia="宋体" w:cs="宋体"/>
          <w:b/>
          <w:bCs/>
          <w:color w:val="auto"/>
        </w:rPr>
        <w:fldChar w:fldCharType="separate"/>
      </w:r>
      <w:r>
        <w:rPr>
          <w:rFonts w:hint="eastAsia" w:ascii="宋体" w:hAnsi="宋体" w:eastAsia="宋体" w:cs="宋体"/>
          <w:b/>
          <w:bCs/>
          <w:color w:val="auto"/>
        </w:rPr>
        <w:t>2</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301D0FAF">
      <w:pPr>
        <w:pStyle w:val="16"/>
        <w:tabs>
          <w:tab w:val="right" w:leader="dot" w:pos="9180"/>
          <w:tab w:val="clear" w:pos="9060"/>
        </w:tabs>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_Toc13192 </w:instrText>
      </w:r>
      <w:r>
        <w:rPr>
          <w:rFonts w:hint="eastAsia" w:ascii="宋体" w:hAnsi="宋体" w:eastAsia="宋体" w:cs="宋体"/>
          <w:b/>
          <w:bCs/>
          <w:color w:val="auto"/>
          <w:szCs w:val="21"/>
        </w:rPr>
        <w:fldChar w:fldCharType="separate"/>
      </w:r>
      <w:r>
        <w:rPr>
          <w:rFonts w:hint="eastAsia" w:ascii="宋体" w:hAnsi="宋体" w:eastAsia="宋体" w:cs="宋体"/>
          <w:b/>
          <w:bCs/>
          <w:color w:val="auto"/>
          <w:szCs w:val="28"/>
        </w:rPr>
        <w:t>第二章  投标资料表</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_Toc13192 </w:instrText>
      </w:r>
      <w:r>
        <w:rPr>
          <w:rFonts w:hint="eastAsia" w:ascii="宋体" w:hAnsi="宋体" w:eastAsia="宋体" w:cs="宋体"/>
          <w:b/>
          <w:bCs/>
          <w:color w:val="auto"/>
        </w:rPr>
        <w:fldChar w:fldCharType="separate"/>
      </w:r>
      <w:r>
        <w:rPr>
          <w:rFonts w:hint="eastAsia" w:ascii="宋体" w:hAnsi="宋体" w:eastAsia="宋体" w:cs="宋体"/>
          <w:b/>
          <w:bCs/>
          <w:color w:val="auto"/>
        </w:rPr>
        <w:t>5</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2F2DBE72">
      <w:pPr>
        <w:pStyle w:val="16"/>
        <w:tabs>
          <w:tab w:val="right" w:leader="dot" w:pos="9180"/>
          <w:tab w:val="clear" w:pos="9060"/>
        </w:tabs>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_Toc32628 </w:instrText>
      </w:r>
      <w:r>
        <w:rPr>
          <w:rFonts w:hint="eastAsia" w:ascii="宋体" w:hAnsi="宋体" w:eastAsia="宋体" w:cs="宋体"/>
          <w:b/>
          <w:bCs/>
          <w:color w:val="auto"/>
          <w:szCs w:val="21"/>
        </w:rPr>
        <w:fldChar w:fldCharType="separate"/>
      </w:r>
      <w:r>
        <w:rPr>
          <w:rFonts w:hint="eastAsia" w:ascii="宋体" w:hAnsi="宋体" w:eastAsia="宋体" w:cs="宋体"/>
          <w:b/>
          <w:bCs/>
          <w:color w:val="auto"/>
          <w:szCs w:val="28"/>
        </w:rPr>
        <w:t>第三章  用户需求书</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_Toc32628 </w:instrText>
      </w:r>
      <w:r>
        <w:rPr>
          <w:rFonts w:hint="eastAsia" w:ascii="宋体" w:hAnsi="宋体" w:eastAsia="宋体" w:cs="宋体"/>
          <w:b/>
          <w:bCs/>
          <w:color w:val="auto"/>
        </w:rPr>
        <w:fldChar w:fldCharType="separate"/>
      </w:r>
      <w:r>
        <w:rPr>
          <w:rFonts w:hint="eastAsia" w:ascii="宋体" w:hAnsi="宋体" w:eastAsia="宋体" w:cs="宋体"/>
          <w:b/>
          <w:bCs/>
          <w:color w:val="auto"/>
        </w:rPr>
        <w:t>7</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60C2B10E">
      <w:pPr>
        <w:pStyle w:val="16"/>
        <w:tabs>
          <w:tab w:val="right" w:leader="dot" w:pos="9180"/>
          <w:tab w:val="clear" w:pos="9060"/>
        </w:tabs>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_Toc28618 </w:instrText>
      </w:r>
      <w:r>
        <w:rPr>
          <w:rFonts w:hint="eastAsia" w:ascii="宋体" w:hAnsi="宋体" w:eastAsia="宋体" w:cs="宋体"/>
          <w:b/>
          <w:bCs/>
          <w:color w:val="auto"/>
          <w:szCs w:val="21"/>
        </w:rPr>
        <w:fldChar w:fldCharType="separate"/>
      </w:r>
      <w:r>
        <w:rPr>
          <w:rFonts w:hint="eastAsia" w:ascii="宋体" w:hAnsi="宋体" w:eastAsia="宋体" w:cs="宋体"/>
          <w:b/>
          <w:bCs/>
          <w:color w:val="auto"/>
          <w:szCs w:val="28"/>
        </w:rPr>
        <w:t>第四章  评分体系与标准</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_Toc28618 </w:instrText>
      </w:r>
      <w:r>
        <w:rPr>
          <w:rFonts w:hint="eastAsia" w:ascii="宋体" w:hAnsi="宋体" w:eastAsia="宋体" w:cs="宋体"/>
          <w:b/>
          <w:bCs/>
          <w:color w:val="auto"/>
        </w:rPr>
        <w:fldChar w:fldCharType="separate"/>
      </w:r>
      <w:r>
        <w:rPr>
          <w:rFonts w:hint="eastAsia" w:ascii="宋体" w:hAnsi="宋体" w:eastAsia="宋体" w:cs="宋体"/>
          <w:b/>
          <w:bCs/>
          <w:color w:val="auto"/>
        </w:rPr>
        <w:t>15</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1AEAE067">
      <w:pPr>
        <w:pStyle w:val="16"/>
        <w:tabs>
          <w:tab w:val="right" w:leader="dot" w:pos="9180"/>
          <w:tab w:val="clear" w:pos="9060"/>
        </w:tabs>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_Toc6052 </w:instrText>
      </w:r>
      <w:r>
        <w:rPr>
          <w:rFonts w:hint="eastAsia" w:ascii="宋体" w:hAnsi="宋体" w:eastAsia="宋体" w:cs="宋体"/>
          <w:b/>
          <w:bCs/>
          <w:color w:val="auto"/>
          <w:szCs w:val="21"/>
        </w:rPr>
        <w:fldChar w:fldCharType="separate"/>
      </w:r>
      <w:r>
        <w:rPr>
          <w:rFonts w:hint="eastAsia" w:ascii="宋体" w:hAnsi="宋体" w:eastAsia="宋体" w:cs="宋体"/>
          <w:b/>
          <w:bCs/>
          <w:color w:val="auto"/>
          <w:szCs w:val="44"/>
        </w:rPr>
        <w:t>第五章</w:t>
      </w:r>
      <w:r>
        <w:rPr>
          <w:rFonts w:hint="eastAsia" w:ascii="宋体" w:hAnsi="宋体" w:eastAsia="宋体" w:cs="宋体"/>
          <w:b/>
          <w:bCs/>
          <w:color w:val="auto"/>
          <w:szCs w:val="44"/>
          <w:lang w:val="en-US" w:eastAsia="zh-CN"/>
        </w:rPr>
        <w:t xml:space="preserve">  </w:t>
      </w:r>
      <w:r>
        <w:rPr>
          <w:rFonts w:hint="eastAsia" w:ascii="宋体" w:hAnsi="宋体" w:eastAsia="宋体" w:cs="宋体"/>
          <w:b/>
          <w:bCs/>
          <w:color w:val="auto"/>
          <w:szCs w:val="44"/>
        </w:rPr>
        <w:t>投标人须知</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_Toc6052 </w:instrText>
      </w:r>
      <w:r>
        <w:rPr>
          <w:rFonts w:hint="eastAsia" w:ascii="宋体" w:hAnsi="宋体" w:eastAsia="宋体" w:cs="宋体"/>
          <w:b/>
          <w:bCs/>
          <w:color w:val="auto"/>
        </w:rPr>
        <w:fldChar w:fldCharType="separate"/>
      </w:r>
      <w:r>
        <w:rPr>
          <w:rFonts w:hint="eastAsia" w:ascii="宋体" w:hAnsi="宋体" w:eastAsia="宋体" w:cs="宋体"/>
          <w:b/>
          <w:bCs/>
          <w:color w:val="auto"/>
        </w:rPr>
        <w:t>22</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77CC2038">
      <w:pPr>
        <w:pStyle w:val="16"/>
        <w:tabs>
          <w:tab w:val="right" w:leader="dot" w:pos="9180"/>
          <w:tab w:val="clear" w:pos="9060"/>
        </w:tabs>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_Toc15828 </w:instrText>
      </w:r>
      <w:r>
        <w:rPr>
          <w:rFonts w:hint="eastAsia" w:ascii="宋体" w:hAnsi="宋体" w:eastAsia="宋体" w:cs="宋体"/>
          <w:b/>
          <w:bCs/>
          <w:color w:val="auto"/>
          <w:szCs w:val="21"/>
        </w:rPr>
        <w:fldChar w:fldCharType="separate"/>
      </w:r>
      <w:r>
        <w:rPr>
          <w:rFonts w:hint="eastAsia" w:ascii="宋体" w:hAnsi="宋体" w:eastAsia="宋体" w:cs="宋体"/>
          <w:b/>
          <w:bCs/>
          <w:color w:val="auto"/>
          <w:szCs w:val="44"/>
        </w:rPr>
        <w:t>第六章</w:t>
      </w:r>
      <w:r>
        <w:rPr>
          <w:rFonts w:hint="eastAsia" w:ascii="宋体" w:hAnsi="宋体" w:eastAsia="宋体" w:cs="宋体"/>
          <w:b/>
          <w:bCs/>
          <w:color w:val="auto"/>
          <w:szCs w:val="44"/>
          <w:lang w:val="en-US" w:eastAsia="zh-CN"/>
        </w:rPr>
        <w:t xml:space="preserve">  </w:t>
      </w:r>
      <w:r>
        <w:rPr>
          <w:rFonts w:hint="eastAsia" w:ascii="宋体" w:hAnsi="宋体" w:eastAsia="宋体" w:cs="宋体"/>
          <w:b/>
          <w:bCs/>
          <w:color w:val="auto"/>
          <w:szCs w:val="44"/>
        </w:rPr>
        <w:t>合同条款</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_Toc15828 </w:instrText>
      </w:r>
      <w:r>
        <w:rPr>
          <w:rFonts w:hint="eastAsia" w:ascii="宋体" w:hAnsi="宋体" w:eastAsia="宋体" w:cs="宋体"/>
          <w:b/>
          <w:bCs/>
          <w:color w:val="auto"/>
        </w:rPr>
        <w:fldChar w:fldCharType="separate"/>
      </w:r>
      <w:r>
        <w:rPr>
          <w:rFonts w:hint="eastAsia" w:ascii="宋体" w:hAnsi="宋体" w:eastAsia="宋体" w:cs="宋体"/>
          <w:b/>
          <w:bCs/>
          <w:color w:val="auto"/>
        </w:rPr>
        <w:t>34</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7A950272">
      <w:pPr>
        <w:pStyle w:val="16"/>
        <w:tabs>
          <w:tab w:val="right" w:leader="dot" w:pos="9180"/>
          <w:tab w:val="clear" w:pos="9060"/>
        </w:tabs>
        <w:rPr>
          <w:rFonts w:hint="eastAsia" w:ascii="宋体" w:hAnsi="宋体" w:eastAsia="宋体" w:cs="宋体"/>
          <w:b/>
          <w:bCs/>
          <w:color w:val="auto"/>
          <w:lang w:val="en-US" w:eastAsia="zh-CN"/>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_Toc22774 </w:instrText>
      </w:r>
      <w:r>
        <w:rPr>
          <w:rFonts w:hint="eastAsia" w:ascii="宋体" w:hAnsi="宋体" w:eastAsia="宋体" w:cs="宋体"/>
          <w:b/>
          <w:bCs/>
          <w:color w:val="auto"/>
          <w:szCs w:val="21"/>
        </w:rPr>
        <w:fldChar w:fldCharType="separate"/>
      </w:r>
      <w:r>
        <w:rPr>
          <w:rFonts w:hint="eastAsia" w:ascii="宋体" w:hAnsi="宋体" w:eastAsia="宋体" w:cs="宋体"/>
          <w:b/>
          <w:bCs/>
          <w:color w:val="auto"/>
          <w:szCs w:val="28"/>
        </w:rPr>
        <w:t>第七章  投标文件格式</w:t>
      </w:r>
      <w:r>
        <w:rPr>
          <w:rFonts w:hint="eastAsia" w:ascii="宋体" w:hAnsi="宋体" w:eastAsia="宋体" w:cs="宋体"/>
          <w:b/>
          <w:bCs/>
          <w:color w:val="auto"/>
        </w:rPr>
        <w:tab/>
      </w:r>
      <w:r>
        <w:rPr>
          <w:rFonts w:hint="eastAsia" w:ascii="宋体" w:hAnsi="宋体" w:cs="宋体"/>
          <w:b/>
          <w:bCs/>
          <w:color w:val="auto"/>
          <w:lang w:val="en-US" w:eastAsia="zh-CN"/>
        </w:rPr>
        <w:t>4</w:t>
      </w:r>
      <w:r>
        <w:rPr>
          <w:rFonts w:hint="eastAsia" w:ascii="宋体" w:hAnsi="宋体" w:eastAsia="宋体" w:cs="宋体"/>
          <w:b/>
          <w:bCs/>
          <w:color w:val="auto"/>
          <w:szCs w:val="21"/>
        </w:rPr>
        <w:fldChar w:fldCharType="end"/>
      </w:r>
      <w:r>
        <w:rPr>
          <w:rFonts w:hint="eastAsia" w:ascii="宋体" w:hAnsi="宋体" w:cs="宋体"/>
          <w:b/>
          <w:bCs/>
          <w:color w:val="auto"/>
          <w:szCs w:val="21"/>
          <w:lang w:val="en-US" w:eastAsia="zh-CN"/>
        </w:rPr>
        <w:t>6</w:t>
      </w:r>
    </w:p>
    <w:p w14:paraId="194BB2FE">
      <w:pPr>
        <w:pStyle w:val="16"/>
        <w:tabs>
          <w:tab w:val="right" w:leader="dot" w:pos="9180"/>
          <w:tab w:val="clear" w:pos="9060"/>
        </w:tabs>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_Toc20975 </w:instrText>
      </w:r>
      <w:r>
        <w:rPr>
          <w:rFonts w:hint="eastAsia" w:ascii="宋体" w:hAnsi="宋体" w:eastAsia="宋体" w:cs="宋体"/>
          <w:b/>
          <w:bCs/>
          <w:color w:val="auto"/>
          <w:szCs w:val="21"/>
        </w:rPr>
        <w:fldChar w:fldCharType="separate"/>
      </w:r>
      <w:r>
        <w:rPr>
          <w:rFonts w:hint="eastAsia" w:ascii="宋体" w:hAnsi="宋体" w:eastAsia="宋体" w:cs="宋体"/>
          <w:b/>
          <w:bCs/>
          <w:color w:val="auto"/>
          <w:szCs w:val="28"/>
          <w:lang w:eastAsia="zh-TW"/>
        </w:rPr>
        <w:t>投标文件包装封面参考</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_Toc20975 </w:instrText>
      </w:r>
      <w:r>
        <w:rPr>
          <w:rFonts w:hint="eastAsia" w:ascii="宋体" w:hAnsi="宋体" w:eastAsia="宋体" w:cs="宋体"/>
          <w:b/>
          <w:bCs/>
          <w:color w:val="auto"/>
        </w:rPr>
        <w:fldChar w:fldCharType="separate"/>
      </w:r>
      <w:r>
        <w:rPr>
          <w:rFonts w:hint="eastAsia" w:ascii="宋体" w:hAnsi="宋体" w:eastAsia="宋体" w:cs="宋体"/>
          <w:b/>
          <w:bCs/>
          <w:color w:val="auto"/>
        </w:rPr>
        <w:t>46</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00895673">
      <w:pPr>
        <w:pStyle w:val="16"/>
        <w:tabs>
          <w:tab w:val="right" w:leader="dot" w:pos="9180"/>
          <w:tab w:val="clear" w:pos="9060"/>
        </w:tabs>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_Toc29829 </w:instrText>
      </w:r>
      <w:r>
        <w:rPr>
          <w:rFonts w:hint="eastAsia" w:ascii="宋体" w:hAnsi="宋体" w:eastAsia="宋体" w:cs="宋体"/>
          <w:b/>
          <w:bCs/>
          <w:color w:val="auto"/>
          <w:szCs w:val="21"/>
        </w:rPr>
        <w:fldChar w:fldCharType="separate"/>
      </w:r>
      <w:r>
        <w:rPr>
          <w:rFonts w:hint="eastAsia" w:ascii="宋体" w:hAnsi="宋体" w:eastAsia="宋体" w:cs="宋体"/>
          <w:b/>
          <w:bCs/>
          <w:color w:val="auto"/>
          <w:szCs w:val="28"/>
          <w:lang w:eastAsia="zh-TW"/>
        </w:rPr>
        <w:t>投标文件目录表</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_Toc29829 </w:instrText>
      </w:r>
      <w:r>
        <w:rPr>
          <w:rFonts w:hint="eastAsia" w:ascii="宋体" w:hAnsi="宋体" w:eastAsia="宋体" w:cs="宋体"/>
          <w:b/>
          <w:bCs/>
          <w:color w:val="auto"/>
        </w:rPr>
        <w:fldChar w:fldCharType="separate"/>
      </w:r>
      <w:r>
        <w:rPr>
          <w:rFonts w:hint="eastAsia" w:ascii="宋体" w:hAnsi="宋体" w:eastAsia="宋体" w:cs="宋体"/>
          <w:b/>
          <w:bCs/>
          <w:color w:val="auto"/>
        </w:rPr>
        <w:t>47</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165296FE">
      <w:pPr>
        <w:adjustRightInd w:val="0"/>
        <w:snapToGrid w:val="0"/>
        <w:spacing w:before="156" w:beforeLines="50" w:after="156" w:afterLines="50" w:line="360" w:lineRule="auto"/>
        <w:jc w:val="center"/>
        <w:outlineLvl w:val="0"/>
        <w:rPr>
          <w:rFonts w:hint="eastAsia"/>
          <w:b/>
          <w:bCs/>
          <w:color w:val="auto"/>
          <w:sz w:val="30"/>
          <w:szCs w:val="30"/>
        </w:rPr>
      </w:pPr>
      <w:r>
        <w:rPr>
          <w:rFonts w:hint="eastAsia" w:ascii="宋体" w:hAnsi="宋体" w:eastAsia="宋体" w:cs="宋体"/>
          <w:b/>
          <w:bCs/>
          <w:color w:val="auto"/>
          <w:szCs w:val="21"/>
        </w:rPr>
        <w:fldChar w:fldCharType="end"/>
      </w:r>
      <w:bookmarkStart w:id="0" w:name="_Toc6790"/>
      <w:r>
        <w:rPr>
          <w:rFonts w:ascii="宋体" w:hAnsi="宋体"/>
          <w:color w:val="auto"/>
          <w:sz w:val="44"/>
        </w:rPr>
        <w:br w:type="page"/>
      </w:r>
      <w:r>
        <w:rPr>
          <w:rFonts w:hint="eastAsia"/>
          <w:b/>
          <w:bCs/>
          <w:color w:val="auto"/>
          <w:sz w:val="28"/>
          <w:szCs w:val="28"/>
        </w:rPr>
        <w:t>第一</w:t>
      </w:r>
      <w:r>
        <w:rPr>
          <w:b/>
          <w:bCs/>
          <w:color w:val="auto"/>
          <w:sz w:val="28"/>
          <w:szCs w:val="28"/>
        </w:rPr>
        <w:t>章  投标邀请</w:t>
      </w:r>
      <w:bookmarkEnd w:id="0"/>
    </w:p>
    <w:p w14:paraId="7AF1B470">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eastAsia" w:ascii="宋体" w:hAnsi="宋体" w:cs="宋体"/>
          <w:bCs/>
          <w:color w:val="auto"/>
          <w:szCs w:val="20"/>
          <w:highlight w:val="none"/>
        </w:rPr>
      </w:pPr>
      <w:r>
        <w:rPr>
          <w:rFonts w:hint="eastAsia" w:ascii="宋体"/>
          <w:bCs/>
          <w:color w:val="auto"/>
          <w:szCs w:val="20"/>
          <w:highlight w:val="none"/>
        </w:rPr>
        <w:t>广东中采招标有限公司</w:t>
      </w:r>
      <w:r>
        <w:rPr>
          <w:rFonts w:hint="eastAsia" w:ascii="宋体" w:hAnsi="宋体" w:eastAsia="宋体"/>
          <w:color w:val="auto"/>
          <w:sz w:val="21"/>
          <w:highlight w:val="none"/>
        </w:rPr>
        <w:t>（以下简称</w:t>
      </w:r>
      <w:r>
        <w:rPr>
          <w:rFonts w:hint="default" w:ascii="宋体" w:hAnsi="宋体" w:eastAsia="宋体"/>
          <w:color w:val="auto"/>
          <w:sz w:val="21"/>
          <w:highlight w:val="none"/>
        </w:rPr>
        <w:t>“</w:t>
      </w:r>
      <w:r>
        <w:rPr>
          <w:rFonts w:hint="eastAsia" w:ascii="宋体" w:hAnsi="宋体"/>
          <w:color w:val="auto"/>
          <w:sz w:val="21"/>
          <w:highlight w:val="none"/>
          <w:lang w:val="en-US" w:eastAsia="zh-CN"/>
        </w:rPr>
        <w:t>招标代理机构</w:t>
      </w:r>
      <w:r>
        <w:rPr>
          <w:rFonts w:hint="default" w:ascii="宋体" w:hAnsi="宋体" w:eastAsia="宋体"/>
          <w:color w:val="auto"/>
          <w:sz w:val="21"/>
          <w:highlight w:val="none"/>
        </w:rPr>
        <w:t>”</w:t>
      </w:r>
      <w:r>
        <w:rPr>
          <w:rFonts w:hint="eastAsia" w:ascii="宋体" w:hAnsi="宋体"/>
          <w:color w:val="auto"/>
          <w:sz w:val="21"/>
          <w:highlight w:val="none"/>
          <w:lang w:eastAsia="zh-CN"/>
        </w:rPr>
        <w:t>）</w:t>
      </w:r>
      <w:r>
        <w:rPr>
          <w:rFonts w:hint="eastAsia" w:ascii="宋体"/>
          <w:bCs/>
          <w:color w:val="auto"/>
          <w:szCs w:val="20"/>
          <w:highlight w:val="none"/>
        </w:rPr>
        <w:t>受</w:t>
      </w:r>
      <w:r>
        <w:rPr>
          <w:rFonts w:hint="eastAsia" w:ascii="宋体" w:hAnsi="宋体"/>
          <w:color w:val="auto"/>
          <w:highlight w:val="none"/>
          <w:lang w:eastAsia="zh-CN"/>
        </w:rPr>
        <w:t>佛山市三水云东海创智城产业发展有限公司</w:t>
      </w:r>
      <w:r>
        <w:rPr>
          <w:rFonts w:hint="eastAsia" w:ascii="宋体" w:hAnsi="宋体" w:eastAsia="宋体"/>
          <w:color w:val="auto"/>
          <w:sz w:val="21"/>
          <w:highlight w:val="none"/>
        </w:rPr>
        <w:t>（以下简称</w:t>
      </w:r>
      <w:r>
        <w:rPr>
          <w:rFonts w:hint="default" w:ascii="宋体" w:hAnsi="宋体" w:eastAsia="宋体"/>
          <w:color w:val="auto"/>
          <w:sz w:val="21"/>
          <w:highlight w:val="none"/>
        </w:rPr>
        <w:t>“</w:t>
      </w:r>
      <w:r>
        <w:rPr>
          <w:rFonts w:hint="eastAsia" w:ascii="宋体" w:hAnsi="宋体"/>
          <w:color w:val="auto"/>
          <w:sz w:val="21"/>
          <w:highlight w:val="none"/>
          <w:lang w:eastAsia="zh-CN"/>
        </w:rPr>
        <w:t>招标人</w:t>
      </w:r>
      <w:r>
        <w:rPr>
          <w:rFonts w:hint="default" w:ascii="宋体" w:hAnsi="宋体" w:eastAsia="宋体"/>
          <w:color w:val="auto"/>
          <w:sz w:val="21"/>
          <w:highlight w:val="none"/>
        </w:rPr>
        <w:t>”</w:t>
      </w:r>
      <w:r>
        <w:rPr>
          <w:rFonts w:hint="eastAsia" w:ascii="宋体" w:hAnsi="宋体" w:eastAsia="宋体"/>
          <w:color w:val="auto"/>
          <w:sz w:val="21"/>
          <w:highlight w:val="none"/>
        </w:rPr>
        <w:t>）</w:t>
      </w:r>
      <w:r>
        <w:rPr>
          <w:rFonts w:hint="eastAsia" w:ascii="宋体"/>
          <w:bCs/>
          <w:color w:val="auto"/>
          <w:szCs w:val="21"/>
          <w:highlight w:val="none"/>
        </w:rPr>
        <w:t>委托，</w:t>
      </w:r>
      <w:r>
        <w:rPr>
          <w:rFonts w:hint="eastAsia" w:ascii="宋体" w:hAnsi="宋体"/>
          <w:bCs/>
          <w:color w:val="auto"/>
          <w:szCs w:val="21"/>
          <w:highlight w:val="none"/>
        </w:rPr>
        <w:t>对</w:t>
      </w:r>
      <w:r>
        <w:rPr>
          <w:rFonts w:hint="eastAsia" w:ascii="宋体" w:hAnsi="宋体"/>
          <w:color w:val="auto"/>
          <w:highlight w:val="none"/>
          <w:lang w:eastAsia="zh-CN"/>
        </w:rPr>
        <w:t>保安服务采购项目</w:t>
      </w:r>
      <w:r>
        <w:rPr>
          <w:rFonts w:hint="eastAsia" w:ascii="宋体" w:hAnsi="宋体"/>
          <w:bCs/>
          <w:color w:val="auto"/>
          <w:szCs w:val="21"/>
          <w:highlight w:val="none"/>
        </w:rPr>
        <w:t>进行公开招</w:t>
      </w:r>
      <w:r>
        <w:rPr>
          <w:rFonts w:hint="eastAsia" w:ascii="宋体"/>
          <w:bCs/>
          <w:color w:val="auto"/>
          <w:szCs w:val="21"/>
          <w:highlight w:val="none"/>
        </w:rPr>
        <w:t>标，</w:t>
      </w:r>
      <w:r>
        <w:rPr>
          <w:rFonts w:hint="eastAsia" w:ascii="宋体"/>
          <w:bCs/>
          <w:color w:val="auto"/>
          <w:szCs w:val="21"/>
          <w:highlight w:val="none"/>
          <w:lang w:val="zh-CN"/>
        </w:rPr>
        <w:t>欢迎符合资格条件</w:t>
      </w:r>
      <w:r>
        <w:rPr>
          <w:rFonts w:hint="eastAsia" w:ascii="宋体"/>
          <w:bCs/>
          <w:color w:val="auto"/>
          <w:szCs w:val="21"/>
          <w:highlight w:val="none"/>
        </w:rPr>
        <w:t>的供应商投标。</w:t>
      </w:r>
    </w:p>
    <w:p w14:paraId="5ECB1F28">
      <w:pPr>
        <w:keepNext w:val="0"/>
        <w:keepLines w:val="0"/>
        <w:pageBreakBefore w:val="0"/>
        <w:widowControl w:val="0"/>
        <w:numPr>
          <w:ilvl w:val="0"/>
          <w:numId w:val="1"/>
        </w:numPr>
        <w:kinsoku/>
        <w:wordWrap/>
        <w:overflowPunct/>
        <w:topLinePunct w:val="0"/>
        <w:autoSpaceDE/>
        <w:autoSpaceDN/>
        <w:bidi w:val="0"/>
        <w:adjustRightInd/>
        <w:snapToGrid/>
        <w:spacing w:line="324" w:lineRule="auto"/>
        <w:ind w:firstLine="0"/>
        <w:textAlignment w:val="auto"/>
        <w:rPr>
          <w:rFonts w:hint="eastAsia" w:ascii="宋体" w:hAnsi="宋体" w:eastAsia="宋体" w:cs="宋体"/>
          <w:bCs/>
          <w:color w:val="auto"/>
          <w:szCs w:val="20"/>
          <w:highlight w:val="none"/>
        </w:rPr>
      </w:pPr>
      <w:r>
        <w:rPr>
          <w:rFonts w:hint="eastAsia" w:ascii="宋体" w:hAnsi="宋体" w:eastAsia="宋体" w:cs="宋体"/>
          <w:bCs/>
          <w:color w:val="auto"/>
          <w:szCs w:val="20"/>
          <w:highlight w:val="none"/>
        </w:rPr>
        <w:t>项目编号：</w:t>
      </w:r>
      <w:r>
        <w:rPr>
          <w:rFonts w:hint="eastAsia" w:ascii="宋体" w:hAnsi="宋体" w:cs="宋体"/>
          <w:bCs/>
          <w:color w:val="auto"/>
          <w:szCs w:val="20"/>
          <w:highlight w:val="none"/>
          <w:lang w:eastAsia="zh-CN"/>
        </w:rPr>
        <w:t xml:space="preserve">JG2025(SS)XZ0008 </w:t>
      </w:r>
      <w:r>
        <w:rPr>
          <w:rFonts w:hint="eastAsia" w:ascii="宋体" w:hAnsi="宋体" w:eastAsia="宋体" w:cs="宋体"/>
          <w:color w:val="auto"/>
          <w:highlight w:val="none"/>
        </w:rPr>
        <w:t xml:space="preserve">  </w:t>
      </w:r>
    </w:p>
    <w:p w14:paraId="121F9955">
      <w:pPr>
        <w:keepNext w:val="0"/>
        <w:keepLines w:val="0"/>
        <w:pageBreakBefore w:val="0"/>
        <w:widowControl w:val="0"/>
        <w:numPr>
          <w:ilvl w:val="0"/>
          <w:numId w:val="1"/>
        </w:numPr>
        <w:kinsoku/>
        <w:wordWrap/>
        <w:overflowPunct/>
        <w:topLinePunct w:val="0"/>
        <w:autoSpaceDE/>
        <w:autoSpaceDN/>
        <w:bidi w:val="0"/>
        <w:adjustRightInd/>
        <w:snapToGrid/>
        <w:spacing w:line="324" w:lineRule="auto"/>
        <w:ind w:firstLine="0"/>
        <w:textAlignment w:val="auto"/>
        <w:rPr>
          <w:rFonts w:hint="eastAsia" w:ascii="宋体" w:hAnsi="宋体" w:eastAsia="宋体" w:cs="宋体"/>
          <w:b/>
          <w:bCs/>
          <w:color w:val="auto"/>
          <w:szCs w:val="20"/>
          <w:highlight w:val="none"/>
        </w:rPr>
      </w:pPr>
      <w:r>
        <w:rPr>
          <w:rFonts w:hint="eastAsia" w:ascii="宋体" w:hAnsi="宋体" w:eastAsia="宋体" w:cs="宋体"/>
          <w:bCs/>
          <w:color w:val="auto"/>
          <w:szCs w:val="20"/>
          <w:highlight w:val="none"/>
        </w:rPr>
        <w:t>项目名称：</w:t>
      </w:r>
      <w:r>
        <w:rPr>
          <w:rFonts w:hint="eastAsia" w:ascii="宋体" w:hAnsi="宋体" w:eastAsia="宋体" w:cs="宋体"/>
          <w:color w:val="auto"/>
          <w:highlight w:val="none"/>
          <w:lang w:eastAsia="zh-CN"/>
        </w:rPr>
        <w:t>保安服务采购项目</w:t>
      </w:r>
    </w:p>
    <w:p w14:paraId="3641B274">
      <w:pPr>
        <w:keepNext w:val="0"/>
        <w:keepLines w:val="0"/>
        <w:pageBreakBefore w:val="0"/>
        <w:widowControl w:val="0"/>
        <w:numPr>
          <w:ilvl w:val="0"/>
          <w:numId w:val="1"/>
        </w:numPr>
        <w:kinsoku/>
        <w:wordWrap/>
        <w:overflowPunct/>
        <w:topLinePunct w:val="0"/>
        <w:autoSpaceDE/>
        <w:autoSpaceDN/>
        <w:bidi w:val="0"/>
        <w:adjustRightInd/>
        <w:snapToGrid/>
        <w:spacing w:line="324" w:lineRule="auto"/>
        <w:ind w:firstLine="0"/>
        <w:textAlignment w:val="auto"/>
        <w:rPr>
          <w:rFonts w:hint="eastAsia" w:ascii="宋体" w:hAnsi="宋体" w:eastAsia="宋体" w:cs="宋体"/>
          <w:b/>
          <w:bCs/>
          <w:color w:val="auto"/>
          <w:szCs w:val="20"/>
          <w:highlight w:val="none"/>
        </w:rPr>
      </w:pPr>
      <w:r>
        <w:rPr>
          <w:rFonts w:hint="eastAsia" w:ascii="宋体" w:hAnsi="宋体" w:eastAsia="宋体" w:cs="宋体"/>
          <w:bCs/>
          <w:color w:val="auto"/>
          <w:szCs w:val="20"/>
          <w:highlight w:val="none"/>
        </w:rPr>
        <w:t>采购项目预算金额（元）：</w:t>
      </w:r>
      <w:r>
        <w:rPr>
          <w:rFonts w:hint="eastAsia" w:ascii="宋体" w:hAnsi="宋体" w:eastAsia="宋体" w:cs="宋体"/>
          <w:bCs/>
          <w:color w:val="auto"/>
          <w:szCs w:val="20"/>
          <w:highlight w:val="none"/>
          <w:lang w:eastAsia="zh-CN"/>
        </w:rPr>
        <w:t>2,637,600.00</w:t>
      </w:r>
    </w:p>
    <w:p w14:paraId="4C16C054">
      <w:pPr>
        <w:keepNext w:val="0"/>
        <w:keepLines w:val="0"/>
        <w:pageBreakBefore w:val="0"/>
        <w:widowControl w:val="0"/>
        <w:numPr>
          <w:ilvl w:val="0"/>
          <w:numId w:val="1"/>
        </w:numPr>
        <w:kinsoku/>
        <w:wordWrap/>
        <w:overflowPunct/>
        <w:topLinePunct w:val="0"/>
        <w:autoSpaceDE/>
        <w:autoSpaceDN/>
        <w:bidi w:val="0"/>
        <w:adjustRightInd/>
        <w:snapToGrid/>
        <w:spacing w:line="324" w:lineRule="auto"/>
        <w:ind w:firstLine="0"/>
        <w:textAlignment w:val="auto"/>
        <w:rPr>
          <w:rFonts w:hint="eastAsia" w:ascii="宋体" w:hAnsi="宋体" w:eastAsia="宋体" w:cs="宋体"/>
          <w:bCs/>
          <w:color w:val="auto"/>
          <w:szCs w:val="20"/>
          <w:highlight w:val="none"/>
        </w:rPr>
      </w:pPr>
      <w:r>
        <w:rPr>
          <w:rFonts w:hint="eastAsia" w:ascii="宋体" w:hAnsi="宋体" w:eastAsia="宋体" w:cs="宋体"/>
          <w:bCs/>
          <w:color w:val="auto"/>
          <w:szCs w:val="20"/>
          <w:highlight w:val="none"/>
        </w:rPr>
        <w:t>采购项目内容及需求：</w:t>
      </w:r>
    </w:p>
    <w:p w14:paraId="41F19B70">
      <w:pPr>
        <w:keepNext w:val="0"/>
        <w:keepLines w:val="0"/>
        <w:pageBreakBefore w:val="0"/>
        <w:widowControl w:val="0"/>
        <w:numPr>
          <w:ilvl w:val="0"/>
          <w:numId w:val="2"/>
        </w:numPr>
        <w:tabs>
          <w:tab w:val="left" w:pos="709"/>
        </w:tabs>
        <w:kinsoku/>
        <w:wordWrap/>
        <w:overflowPunct/>
        <w:topLinePunct w:val="0"/>
        <w:autoSpaceDE/>
        <w:autoSpaceDN/>
        <w:bidi w:val="0"/>
        <w:adjustRightInd/>
        <w:snapToGrid/>
        <w:spacing w:line="324" w:lineRule="auto"/>
        <w:ind w:left="709" w:hanging="425"/>
        <w:textAlignment w:val="auto"/>
        <w:rPr>
          <w:rFonts w:hint="eastAsia" w:ascii="宋体"/>
          <w:bCs/>
          <w:color w:val="auto"/>
          <w:szCs w:val="20"/>
          <w:highlight w:val="none"/>
        </w:rPr>
      </w:pPr>
      <w:r>
        <w:rPr>
          <w:rFonts w:hint="eastAsia" w:ascii="宋体"/>
          <w:bCs/>
          <w:color w:val="auto"/>
          <w:szCs w:val="20"/>
          <w:highlight w:val="none"/>
        </w:rPr>
        <w:t>项目内容：</w:t>
      </w:r>
    </w:p>
    <w:tbl>
      <w:tblPr>
        <w:tblStyle w:val="19"/>
        <w:tblW w:w="474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08"/>
        <w:gridCol w:w="1214"/>
        <w:gridCol w:w="2694"/>
        <w:gridCol w:w="2005"/>
      </w:tblGrid>
      <w:tr w14:paraId="4FF3B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685" w:type="pct"/>
            <w:shd w:val="clear" w:color="auto" w:fill="EEECE1"/>
            <w:noWrap w:val="0"/>
            <w:vAlign w:val="center"/>
          </w:tcPr>
          <w:p w14:paraId="4CA009BA">
            <w:pPr>
              <w:spacing w:line="240" w:lineRule="auto"/>
              <w:jc w:val="center"/>
              <w:rPr>
                <w:rFonts w:hint="eastAsia" w:ascii="宋体"/>
                <w:b/>
                <w:color w:val="auto"/>
                <w:szCs w:val="21"/>
                <w:highlight w:val="none"/>
              </w:rPr>
            </w:pPr>
            <w:r>
              <w:rPr>
                <w:rFonts w:hint="eastAsia" w:ascii="宋体"/>
                <w:b/>
                <w:color w:val="auto"/>
                <w:szCs w:val="21"/>
                <w:highlight w:val="none"/>
              </w:rPr>
              <w:t>采购内容</w:t>
            </w:r>
          </w:p>
        </w:tc>
        <w:tc>
          <w:tcPr>
            <w:tcW w:w="680" w:type="pct"/>
            <w:shd w:val="clear" w:color="auto" w:fill="EEECE1"/>
            <w:noWrap w:val="0"/>
            <w:vAlign w:val="center"/>
          </w:tcPr>
          <w:p w14:paraId="0A71C70C">
            <w:pPr>
              <w:spacing w:line="240" w:lineRule="auto"/>
              <w:jc w:val="center"/>
              <w:rPr>
                <w:rFonts w:hint="eastAsia" w:ascii="宋体"/>
                <w:b/>
                <w:color w:val="auto"/>
                <w:szCs w:val="21"/>
                <w:highlight w:val="none"/>
              </w:rPr>
            </w:pPr>
            <w:r>
              <w:rPr>
                <w:rFonts w:hint="eastAsia" w:ascii="宋体"/>
                <w:b/>
                <w:color w:val="auto"/>
                <w:szCs w:val="21"/>
                <w:highlight w:val="none"/>
              </w:rPr>
              <w:t>数量</w:t>
            </w:r>
          </w:p>
        </w:tc>
        <w:tc>
          <w:tcPr>
            <w:tcW w:w="1509" w:type="pct"/>
            <w:shd w:val="clear" w:color="auto" w:fill="EEECE1"/>
            <w:noWrap w:val="0"/>
            <w:vAlign w:val="center"/>
          </w:tcPr>
          <w:p w14:paraId="4631A413">
            <w:pPr>
              <w:spacing w:line="240" w:lineRule="auto"/>
              <w:jc w:val="center"/>
              <w:rPr>
                <w:rFonts w:hint="eastAsia" w:ascii="宋体" w:eastAsia="宋体"/>
                <w:b/>
                <w:color w:val="auto"/>
                <w:szCs w:val="21"/>
                <w:highlight w:val="none"/>
                <w:lang w:eastAsia="zh-CN"/>
              </w:rPr>
            </w:pPr>
            <w:r>
              <w:rPr>
                <w:rFonts w:hint="eastAsia" w:ascii="宋体"/>
                <w:b/>
                <w:color w:val="auto"/>
                <w:szCs w:val="21"/>
                <w:highlight w:val="none"/>
                <w:lang w:eastAsia="zh-CN"/>
              </w:rPr>
              <w:t>服务期</w:t>
            </w:r>
          </w:p>
        </w:tc>
        <w:tc>
          <w:tcPr>
            <w:tcW w:w="1123" w:type="pct"/>
            <w:shd w:val="clear" w:color="auto" w:fill="EEECE1"/>
            <w:noWrap w:val="0"/>
            <w:vAlign w:val="center"/>
          </w:tcPr>
          <w:p w14:paraId="4FED893E">
            <w:pPr>
              <w:spacing w:line="240" w:lineRule="auto"/>
              <w:jc w:val="center"/>
              <w:rPr>
                <w:rFonts w:hint="eastAsia" w:ascii="宋体"/>
                <w:b/>
                <w:color w:val="auto"/>
                <w:szCs w:val="21"/>
                <w:highlight w:val="none"/>
                <w:lang w:val="en-US" w:eastAsia="zh-CN"/>
              </w:rPr>
            </w:pPr>
            <w:r>
              <w:rPr>
                <w:rFonts w:hint="eastAsia" w:ascii="宋体"/>
                <w:b/>
                <w:color w:val="auto"/>
                <w:szCs w:val="21"/>
                <w:highlight w:val="none"/>
                <w:lang w:val="en-US" w:eastAsia="zh-CN"/>
              </w:rPr>
              <w:t>最高单价限价</w:t>
            </w:r>
          </w:p>
          <w:p w14:paraId="79732331">
            <w:pPr>
              <w:spacing w:line="240" w:lineRule="auto"/>
              <w:jc w:val="center"/>
              <w:rPr>
                <w:rFonts w:hint="default" w:ascii="宋体" w:eastAsia="宋体"/>
                <w:b/>
                <w:color w:val="auto"/>
                <w:szCs w:val="21"/>
                <w:highlight w:val="none"/>
                <w:lang w:val="en-US" w:eastAsia="zh-CN"/>
              </w:rPr>
            </w:pPr>
            <w:r>
              <w:rPr>
                <w:rFonts w:hint="eastAsia" w:ascii="宋体"/>
                <w:b/>
                <w:color w:val="auto"/>
                <w:szCs w:val="21"/>
                <w:highlight w:val="none"/>
                <w:lang w:val="en-US" w:eastAsia="zh-CN"/>
              </w:rPr>
              <w:t>（人民币 元）</w:t>
            </w:r>
          </w:p>
        </w:tc>
      </w:tr>
      <w:tr w14:paraId="316A1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685" w:type="pct"/>
            <w:noWrap w:val="0"/>
            <w:vAlign w:val="center"/>
          </w:tcPr>
          <w:p w14:paraId="0E5F8E7C">
            <w:pPr>
              <w:spacing w:line="240" w:lineRule="auto"/>
              <w:jc w:val="center"/>
              <w:rPr>
                <w:rFonts w:hint="eastAsia" w:ascii="宋体" w:eastAsia="宋体"/>
                <w:bCs/>
                <w:color w:val="auto"/>
                <w:szCs w:val="21"/>
                <w:highlight w:val="none"/>
                <w:lang w:eastAsia="zh-CN"/>
              </w:rPr>
            </w:pPr>
            <w:r>
              <w:rPr>
                <w:rFonts w:hint="eastAsia" w:ascii="宋体" w:hAnsi="宋体" w:eastAsia="宋体"/>
                <w:snapToGrid/>
                <w:color w:val="auto"/>
                <w:spacing w:val="0"/>
                <w:kern w:val="2"/>
                <w:sz w:val="21"/>
                <w:szCs w:val="21"/>
                <w:highlight w:val="none"/>
                <w:lang w:val="en-US" w:eastAsia="zh-CN"/>
              </w:rPr>
              <w:t>三水文化中心安保巡护</w:t>
            </w:r>
            <w:r>
              <w:rPr>
                <w:rFonts w:hint="eastAsia" w:ascii="宋体" w:hAnsi="宋体" w:cs="宋体"/>
                <w:color w:val="auto"/>
                <w:highlight w:val="none"/>
                <w:lang w:eastAsia="zh-CN"/>
              </w:rPr>
              <w:t>服务</w:t>
            </w:r>
          </w:p>
        </w:tc>
        <w:tc>
          <w:tcPr>
            <w:tcW w:w="680" w:type="pct"/>
            <w:noWrap w:val="0"/>
            <w:vAlign w:val="center"/>
          </w:tcPr>
          <w:p w14:paraId="70D2E891">
            <w:pPr>
              <w:spacing w:line="240" w:lineRule="auto"/>
              <w:jc w:val="center"/>
              <w:rPr>
                <w:rFonts w:hint="eastAsia" w:ascii="宋体"/>
                <w:bCs/>
                <w:color w:val="auto"/>
                <w:szCs w:val="21"/>
                <w:highlight w:val="none"/>
              </w:rPr>
            </w:pPr>
            <w:r>
              <w:rPr>
                <w:rFonts w:hint="eastAsia" w:ascii="宋体"/>
                <w:bCs/>
                <w:color w:val="auto"/>
                <w:szCs w:val="21"/>
                <w:highlight w:val="none"/>
                <w:lang w:val="en-US" w:eastAsia="zh-CN"/>
              </w:rPr>
              <w:t>一项</w:t>
            </w:r>
          </w:p>
        </w:tc>
        <w:tc>
          <w:tcPr>
            <w:tcW w:w="1509" w:type="pct"/>
            <w:vMerge w:val="restart"/>
            <w:noWrap w:val="0"/>
            <w:vAlign w:val="center"/>
          </w:tcPr>
          <w:p w14:paraId="7A810F34">
            <w:pPr>
              <w:pStyle w:val="34"/>
              <w:spacing w:line="240" w:lineRule="auto"/>
              <w:ind w:firstLine="120"/>
              <w:jc w:val="center"/>
              <w:rPr>
                <w:rFonts w:hint="eastAsia"/>
                <w:snapToGrid/>
                <w:color w:val="auto"/>
                <w:spacing w:val="0"/>
                <w:kern w:val="2"/>
                <w:sz w:val="21"/>
                <w:szCs w:val="24"/>
                <w:highlight w:val="none"/>
                <w:lang w:val="en-US" w:eastAsia="zh-CN"/>
              </w:rPr>
            </w:pPr>
            <w:r>
              <w:rPr>
                <w:rFonts w:hint="eastAsia" w:ascii="宋体" w:hAnsi="宋体"/>
                <w:snapToGrid/>
                <w:color w:val="auto"/>
                <w:spacing w:val="0"/>
                <w:kern w:val="2"/>
                <w:sz w:val="21"/>
                <w:szCs w:val="21"/>
                <w:highlight w:val="none"/>
                <w:lang w:val="en-US" w:eastAsia="zh-CN"/>
              </w:rPr>
              <w:t>自合同签订之日起1年，即从2025年10月1日至2026年9月30日</w:t>
            </w:r>
          </w:p>
        </w:tc>
        <w:tc>
          <w:tcPr>
            <w:tcW w:w="1123" w:type="pct"/>
            <w:noWrap w:val="0"/>
            <w:vAlign w:val="center"/>
          </w:tcPr>
          <w:p w14:paraId="375D45F4">
            <w:pPr>
              <w:spacing w:line="24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1,440,000</w:t>
            </w:r>
            <w:r>
              <w:rPr>
                <w:rFonts w:hint="eastAsia" w:ascii="宋体" w:hAnsi="宋体" w:eastAsia="宋体" w:cs="宋体"/>
                <w:color w:val="auto"/>
                <w:highlight w:val="none"/>
                <w:lang w:eastAsia="zh-CN"/>
              </w:rPr>
              <w:t>.00</w:t>
            </w:r>
          </w:p>
        </w:tc>
      </w:tr>
      <w:tr w14:paraId="27338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7" w:hRule="atLeast"/>
          <w:jc w:val="center"/>
        </w:trPr>
        <w:tc>
          <w:tcPr>
            <w:tcW w:w="1685" w:type="pct"/>
            <w:noWrap w:val="0"/>
            <w:vAlign w:val="center"/>
          </w:tcPr>
          <w:p w14:paraId="4E00C9F7">
            <w:pPr>
              <w:spacing w:line="24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广东三水云东海湿地公园安保巡护服务</w:t>
            </w:r>
          </w:p>
        </w:tc>
        <w:tc>
          <w:tcPr>
            <w:tcW w:w="680" w:type="pct"/>
            <w:shd w:val="clear" w:color="auto" w:fill="auto"/>
            <w:noWrap w:val="0"/>
            <w:vAlign w:val="center"/>
          </w:tcPr>
          <w:p w14:paraId="18401211">
            <w:pPr>
              <w:spacing w:line="240" w:lineRule="auto"/>
              <w:jc w:val="center"/>
              <w:rPr>
                <w:rFonts w:hint="eastAsia" w:ascii="宋体" w:hAnsi="Calibri" w:eastAsia="宋体" w:cs="Times New Roman"/>
                <w:bCs/>
                <w:color w:val="auto"/>
                <w:kern w:val="2"/>
                <w:sz w:val="21"/>
                <w:szCs w:val="21"/>
                <w:highlight w:val="none"/>
                <w:lang w:val="en-US" w:eastAsia="zh-CN" w:bidi="ar-SA"/>
              </w:rPr>
            </w:pPr>
            <w:r>
              <w:rPr>
                <w:rFonts w:hint="eastAsia" w:ascii="宋体"/>
                <w:bCs/>
                <w:color w:val="auto"/>
                <w:szCs w:val="21"/>
                <w:highlight w:val="none"/>
                <w:lang w:val="en-US" w:eastAsia="zh-CN"/>
              </w:rPr>
              <w:t>一项</w:t>
            </w:r>
          </w:p>
        </w:tc>
        <w:tc>
          <w:tcPr>
            <w:tcW w:w="1509" w:type="pct"/>
            <w:vMerge w:val="continue"/>
            <w:noWrap w:val="0"/>
            <w:vAlign w:val="center"/>
          </w:tcPr>
          <w:p w14:paraId="50D33CF1">
            <w:pPr>
              <w:pStyle w:val="34"/>
              <w:spacing w:line="240" w:lineRule="auto"/>
              <w:ind w:firstLine="120"/>
              <w:jc w:val="center"/>
              <w:rPr>
                <w:rFonts w:hint="eastAsia" w:ascii="宋体" w:hAnsi="宋体"/>
                <w:snapToGrid/>
                <w:color w:val="auto"/>
                <w:spacing w:val="0"/>
                <w:kern w:val="2"/>
                <w:sz w:val="21"/>
                <w:szCs w:val="21"/>
                <w:highlight w:val="none"/>
                <w:lang w:val="en-US" w:eastAsia="zh-CN"/>
              </w:rPr>
            </w:pPr>
          </w:p>
        </w:tc>
        <w:tc>
          <w:tcPr>
            <w:tcW w:w="1123" w:type="pct"/>
            <w:noWrap w:val="0"/>
            <w:vAlign w:val="center"/>
          </w:tcPr>
          <w:p w14:paraId="3DB1E4D7">
            <w:p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648,000.00</w:t>
            </w:r>
          </w:p>
        </w:tc>
      </w:tr>
      <w:tr w14:paraId="6868E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jc w:val="center"/>
        </w:trPr>
        <w:tc>
          <w:tcPr>
            <w:tcW w:w="1685" w:type="pct"/>
            <w:noWrap w:val="0"/>
            <w:vAlign w:val="center"/>
          </w:tcPr>
          <w:p w14:paraId="28D91740">
            <w:pPr>
              <w:spacing w:line="240" w:lineRule="auto"/>
              <w:jc w:val="center"/>
              <w:rPr>
                <w:rFonts w:hint="default" w:ascii="宋体" w:hAnsi="宋体" w:cs="宋体"/>
                <w:color w:val="auto"/>
                <w:highlight w:val="none"/>
                <w:lang w:val="en-US" w:eastAsia="zh-CN"/>
              </w:rPr>
            </w:pPr>
            <w:r>
              <w:rPr>
                <w:rFonts w:hint="eastAsia" w:ascii="宋体" w:hAnsi="宋体" w:cs="宋体"/>
                <w:color w:val="auto"/>
                <w:highlight w:val="none"/>
                <w:lang w:eastAsia="zh-CN"/>
              </w:rPr>
              <w:t>临时增员</w:t>
            </w:r>
            <w:r>
              <w:rPr>
                <w:rFonts w:hint="eastAsia" w:ascii="宋体" w:hAnsi="宋体" w:cs="宋体"/>
                <w:color w:val="auto"/>
                <w:highlight w:val="none"/>
                <w:lang w:val="en-US" w:eastAsia="zh-CN"/>
              </w:rPr>
              <w:t>服务</w:t>
            </w:r>
          </w:p>
        </w:tc>
        <w:tc>
          <w:tcPr>
            <w:tcW w:w="680" w:type="pct"/>
            <w:shd w:val="clear" w:color="auto" w:fill="auto"/>
            <w:noWrap w:val="0"/>
            <w:vAlign w:val="center"/>
          </w:tcPr>
          <w:p w14:paraId="6AFD8199">
            <w:pPr>
              <w:spacing w:line="240" w:lineRule="auto"/>
              <w:jc w:val="center"/>
              <w:rPr>
                <w:rFonts w:hint="eastAsia" w:ascii="宋体" w:hAnsi="Calibri" w:eastAsia="宋体" w:cs="Times New Roman"/>
                <w:bCs/>
                <w:color w:val="auto"/>
                <w:kern w:val="2"/>
                <w:sz w:val="21"/>
                <w:szCs w:val="21"/>
                <w:highlight w:val="none"/>
                <w:lang w:val="en-US" w:eastAsia="zh-CN" w:bidi="ar-SA"/>
              </w:rPr>
            </w:pPr>
            <w:r>
              <w:rPr>
                <w:rFonts w:hint="eastAsia" w:ascii="宋体"/>
                <w:bCs/>
                <w:color w:val="auto"/>
                <w:szCs w:val="21"/>
                <w:highlight w:val="none"/>
                <w:lang w:val="en-US" w:eastAsia="zh-CN"/>
              </w:rPr>
              <w:t>一项</w:t>
            </w:r>
          </w:p>
        </w:tc>
        <w:tc>
          <w:tcPr>
            <w:tcW w:w="1509" w:type="pct"/>
            <w:vMerge w:val="continue"/>
            <w:noWrap w:val="0"/>
            <w:vAlign w:val="center"/>
          </w:tcPr>
          <w:p w14:paraId="7AB5082A">
            <w:pPr>
              <w:pStyle w:val="34"/>
              <w:spacing w:line="240" w:lineRule="auto"/>
              <w:ind w:firstLine="120"/>
              <w:jc w:val="center"/>
              <w:rPr>
                <w:rFonts w:hint="eastAsia" w:ascii="宋体" w:hAnsi="宋体"/>
                <w:snapToGrid/>
                <w:color w:val="auto"/>
                <w:spacing w:val="0"/>
                <w:kern w:val="2"/>
                <w:sz w:val="21"/>
                <w:szCs w:val="21"/>
                <w:highlight w:val="none"/>
                <w:lang w:val="en-US" w:eastAsia="zh-CN"/>
              </w:rPr>
            </w:pPr>
          </w:p>
        </w:tc>
        <w:tc>
          <w:tcPr>
            <w:tcW w:w="1123" w:type="pct"/>
            <w:noWrap w:val="0"/>
            <w:vAlign w:val="center"/>
          </w:tcPr>
          <w:p w14:paraId="6CC717C6">
            <w:p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549,600.00</w:t>
            </w:r>
          </w:p>
        </w:tc>
      </w:tr>
    </w:tbl>
    <w:p w14:paraId="5AF7A637">
      <w:pPr>
        <w:keepNext w:val="0"/>
        <w:keepLines w:val="0"/>
        <w:pageBreakBefore w:val="0"/>
        <w:widowControl w:val="0"/>
        <w:numPr>
          <w:ilvl w:val="0"/>
          <w:numId w:val="2"/>
        </w:numPr>
        <w:tabs>
          <w:tab w:val="left" w:pos="567"/>
        </w:tabs>
        <w:kinsoku/>
        <w:wordWrap/>
        <w:overflowPunct/>
        <w:topLinePunct w:val="0"/>
        <w:autoSpaceDE/>
        <w:autoSpaceDN/>
        <w:bidi w:val="0"/>
        <w:adjustRightInd/>
        <w:snapToGrid/>
        <w:spacing w:line="324" w:lineRule="auto"/>
        <w:ind w:left="709" w:hanging="4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项目技术规格、参数及要求：详见本招标文件第三章《用户需求书》。</w:t>
      </w:r>
    </w:p>
    <w:p w14:paraId="285E097B">
      <w:pPr>
        <w:keepNext w:val="0"/>
        <w:keepLines w:val="0"/>
        <w:pageBreakBefore w:val="0"/>
        <w:widowControl w:val="0"/>
        <w:numPr>
          <w:ilvl w:val="0"/>
          <w:numId w:val="1"/>
        </w:numPr>
        <w:kinsoku/>
        <w:wordWrap/>
        <w:overflowPunct/>
        <w:topLinePunct w:val="0"/>
        <w:autoSpaceDE/>
        <w:autoSpaceDN/>
        <w:bidi w:val="0"/>
        <w:adjustRightInd/>
        <w:snapToGrid/>
        <w:spacing w:line="324" w:lineRule="auto"/>
        <w:ind w:firstLine="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供应商资格：</w:t>
      </w:r>
    </w:p>
    <w:p w14:paraId="427E8888">
      <w:pPr>
        <w:numPr>
          <w:ilvl w:val="1"/>
          <w:numId w:val="3"/>
        </w:numPr>
        <w:snapToGrid w:val="0"/>
        <w:spacing w:line="360" w:lineRule="auto"/>
        <w:ind w:left="567" w:leftChars="0" w:hanging="347" w:firstLineChars="0"/>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具备以下资格条件，提供下列材料</w:t>
      </w:r>
      <w:r>
        <w:rPr>
          <w:rFonts w:hint="eastAsia" w:ascii="宋体" w:hAnsi="宋体" w:eastAsia="宋体" w:cs="宋体"/>
          <w:bCs/>
          <w:color w:val="auto"/>
          <w:sz w:val="21"/>
          <w:szCs w:val="21"/>
          <w:highlight w:val="none"/>
        </w:rPr>
        <w:t>：</w:t>
      </w:r>
    </w:p>
    <w:p w14:paraId="61D07357">
      <w:pPr>
        <w:numPr>
          <w:ilvl w:val="0"/>
          <w:numId w:val="4"/>
        </w:numPr>
        <w:tabs>
          <w:tab w:val="left" w:pos="567"/>
        </w:tabs>
        <w:snapToGrid w:val="0"/>
        <w:spacing w:line="360" w:lineRule="auto"/>
        <w:ind w:left="825" w:leftChars="0" w:hanging="405"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在中华人民共和国境内注册的法人或其他组织或自然人，</w:t>
      </w:r>
      <w:r>
        <w:rPr>
          <w:rFonts w:hint="eastAsia" w:ascii="宋体" w:hAnsi="宋体" w:eastAsia="宋体" w:cs="宋体"/>
          <w:bCs/>
          <w:color w:val="auto"/>
          <w:sz w:val="21"/>
          <w:szCs w:val="21"/>
          <w:highlight w:val="none"/>
          <w:lang w:eastAsia="zh-CN"/>
        </w:rPr>
        <w:t>投标时提供有效的营业执照</w:t>
      </w:r>
      <w:r>
        <w:rPr>
          <w:rFonts w:hint="eastAsia" w:ascii="宋体" w:hAnsi="宋体" w:eastAsia="宋体" w:cs="宋体"/>
          <w:bCs/>
          <w:color w:val="auto"/>
          <w:sz w:val="21"/>
          <w:szCs w:val="21"/>
          <w:highlight w:val="none"/>
        </w:rPr>
        <w:t>（或事业法人登记证或身份证等相关证明） 副本复印件，如投标人为自然人的需提供自然人身份证明复印件；</w:t>
      </w:r>
    </w:p>
    <w:p w14:paraId="749C88D5">
      <w:pPr>
        <w:numPr>
          <w:ilvl w:val="0"/>
          <w:numId w:val="4"/>
        </w:numPr>
        <w:tabs>
          <w:tab w:val="left" w:pos="567"/>
        </w:tabs>
        <w:snapToGrid w:val="0"/>
        <w:spacing w:line="360" w:lineRule="auto"/>
        <w:ind w:left="825" w:leftChars="0" w:hanging="40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财务会计制度情况，须提供下列任一项证明材料：</w:t>
      </w:r>
    </w:p>
    <w:p w14:paraId="4A894F70">
      <w:pPr>
        <w:numPr>
          <w:ilvl w:val="0"/>
          <w:numId w:val="5"/>
        </w:numPr>
        <w:tabs>
          <w:tab w:val="left" w:pos="840"/>
        </w:tabs>
        <w:snapToGrid w:val="0"/>
        <w:spacing w:line="360" w:lineRule="auto"/>
        <w:ind w:left="840" w:leftChars="20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年度的财务状况报告，财务状况报告须由第三方会计师事务所出具，并能清晰显示第三方会计师事务所的印章和注册会计师签字盖章，且能反映审计结论</w:t>
      </w:r>
      <w:r>
        <w:rPr>
          <w:rFonts w:hint="eastAsia" w:ascii="宋体" w:hAnsi="宋体" w:eastAsia="宋体" w:cs="宋体"/>
          <w:color w:val="auto"/>
          <w:sz w:val="21"/>
          <w:szCs w:val="21"/>
          <w:highlight w:val="none"/>
          <w:lang w:eastAsia="zh-CN"/>
        </w:rPr>
        <w:t>；</w:t>
      </w:r>
    </w:p>
    <w:p w14:paraId="50D72B48">
      <w:pPr>
        <w:numPr>
          <w:ilvl w:val="0"/>
          <w:numId w:val="5"/>
        </w:numPr>
        <w:tabs>
          <w:tab w:val="left" w:pos="840"/>
        </w:tabs>
        <w:snapToGrid w:val="0"/>
        <w:spacing w:line="360" w:lineRule="auto"/>
        <w:ind w:left="840" w:leftChars="20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开户银行出具投标截止前6个月内（含投标截止当月，并往前顺推）任意1个月的资信证明，并同时提供基本开户银行的《开户许可证》或《基本存款账户信息》（公户账户主档）或其他可证明资信证明为基本开户银行出具的相关证明资料，以上文件均需加盖银行印章</w:t>
      </w:r>
      <w:r>
        <w:rPr>
          <w:rFonts w:hint="eastAsia" w:ascii="宋体" w:hAnsi="宋体" w:eastAsia="宋体" w:cs="宋体"/>
          <w:color w:val="auto"/>
          <w:sz w:val="21"/>
          <w:szCs w:val="21"/>
          <w:highlight w:val="none"/>
          <w:lang w:eastAsia="zh-CN"/>
        </w:rPr>
        <w:t>。</w:t>
      </w:r>
    </w:p>
    <w:p w14:paraId="0A0327A2">
      <w:pPr>
        <w:numPr>
          <w:ilvl w:val="0"/>
          <w:numId w:val="4"/>
        </w:numPr>
        <w:tabs>
          <w:tab w:val="left" w:pos="567"/>
        </w:tabs>
        <w:snapToGrid w:val="0"/>
        <w:spacing w:line="360" w:lineRule="auto"/>
        <w:ind w:left="825" w:leftChars="0" w:hanging="405" w:firstLineChars="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提供投标截止日前6个月内（含投标截止时间当月）任意1个月依法缴纳税收和社会保障资金的相关材料。如依法免税或不需要缴纳社会保障资金的，提供相应证明材料</w:t>
      </w:r>
      <w:r>
        <w:rPr>
          <w:rFonts w:hint="eastAsia" w:ascii="宋体" w:hAnsi="宋体" w:eastAsia="宋体" w:cs="宋体"/>
          <w:color w:val="auto"/>
          <w:sz w:val="21"/>
          <w:szCs w:val="21"/>
          <w:highlight w:val="none"/>
        </w:rPr>
        <w:t>；</w:t>
      </w:r>
    </w:p>
    <w:p w14:paraId="74CCDF32">
      <w:pPr>
        <w:numPr>
          <w:ilvl w:val="0"/>
          <w:numId w:val="4"/>
        </w:numPr>
        <w:tabs>
          <w:tab w:val="left" w:pos="567"/>
        </w:tabs>
        <w:snapToGrid w:val="0"/>
        <w:spacing w:line="360" w:lineRule="auto"/>
        <w:ind w:left="825" w:leftChars="0" w:hanging="405"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履行合同所必需的设备和专业技术能力的书面声明</w:t>
      </w:r>
      <w:r>
        <w:rPr>
          <w:rFonts w:hint="eastAsia" w:ascii="宋体" w:hAnsi="宋体" w:eastAsia="宋体" w:cs="宋体"/>
          <w:color w:val="auto"/>
          <w:kern w:val="0"/>
          <w:sz w:val="21"/>
          <w:szCs w:val="21"/>
          <w:highlight w:val="none"/>
        </w:rPr>
        <w:t>（提供《投标人资格声明函》）；</w:t>
      </w:r>
    </w:p>
    <w:p w14:paraId="520650D2">
      <w:pPr>
        <w:numPr>
          <w:ilvl w:val="0"/>
          <w:numId w:val="4"/>
        </w:numPr>
        <w:tabs>
          <w:tab w:val="left" w:pos="567"/>
        </w:tabs>
        <w:snapToGrid w:val="0"/>
        <w:spacing w:line="360" w:lineRule="auto"/>
        <w:ind w:left="825" w:leftChars="0" w:hanging="40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参加政府采购活动前3年内在经营活动中没有重大违法记录的书面声明（提供《投标人资格声明函》）。</w:t>
      </w:r>
    </w:p>
    <w:p w14:paraId="05F46945">
      <w:pPr>
        <w:numPr>
          <w:ilvl w:val="1"/>
          <w:numId w:val="3"/>
        </w:numPr>
        <w:snapToGrid w:val="0"/>
        <w:spacing w:line="360" w:lineRule="auto"/>
        <w:ind w:left="567" w:leftChars="0" w:hanging="347"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未被列入“信用中国”网站</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www.creditchina.gov.cn</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“记录失信被执行人或重大税收违法失信主体或政府采购严重违法失信行为”记录名单；不处于中国政府采购网</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www.ccgp.gov.cn</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“政府采购严重违法失信行为信息记录”中的禁止参加</w:t>
      </w:r>
      <w:r>
        <w:rPr>
          <w:rFonts w:hint="eastAsia" w:ascii="宋体" w:hAnsi="宋体" w:cs="宋体"/>
          <w:bCs/>
          <w:color w:val="auto"/>
          <w:sz w:val="21"/>
          <w:szCs w:val="21"/>
          <w:highlight w:val="none"/>
          <w:lang w:eastAsia="zh-CN"/>
        </w:rPr>
        <w:t>政府采购活动期间【</w:t>
      </w:r>
      <w:r>
        <w:rPr>
          <w:rFonts w:hint="eastAsia" w:ascii="宋体" w:hAnsi="宋体" w:eastAsia="宋体" w:cs="宋体"/>
          <w:bCs/>
          <w:color w:val="auto"/>
          <w:sz w:val="21"/>
          <w:szCs w:val="21"/>
          <w:highlight w:val="none"/>
        </w:rPr>
        <w:t>以采购代理机构于</w:t>
      </w: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rPr>
        <w:t>截止日当天在“信用中国”网站（www.creditchina.gov.cn）及中国政府采购网</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www.ccgp.gov.cn</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查询结果为准，如相关失信记录已失效，供应商需提供相关证明资料】。</w:t>
      </w:r>
    </w:p>
    <w:p w14:paraId="7F0B93BA">
      <w:pPr>
        <w:numPr>
          <w:ilvl w:val="1"/>
          <w:numId w:val="3"/>
        </w:numPr>
        <w:snapToGrid w:val="0"/>
        <w:spacing w:line="360" w:lineRule="auto"/>
        <w:ind w:left="567" w:leftChars="0" w:hanging="347"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为采购项目提供整体设计、规范编制或者项目管理、监理、检测等服务的供应商，不得再参加该采购项目的其他采购活动（提供《投标人资格声明函》）。</w:t>
      </w:r>
    </w:p>
    <w:p w14:paraId="17074742">
      <w:pPr>
        <w:numPr>
          <w:ilvl w:val="1"/>
          <w:numId w:val="3"/>
        </w:numPr>
        <w:snapToGrid w:val="0"/>
        <w:spacing w:line="360" w:lineRule="auto"/>
        <w:ind w:left="567" w:leftChars="0" w:hanging="347"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单位负责人为同一人或者存在直接控股、管理关系的不同供应商，不得参加同一合同项下的政府采购活动（提供《投标人资格声明函》）。</w:t>
      </w:r>
    </w:p>
    <w:p w14:paraId="03436CE6">
      <w:pPr>
        <w:numPr>
          <w:ilvl w:val="1"/>
          <w:numId w:val="3"/>
        </w:numPr>
        <w:snapToGrid w:val="0"/>
        <w:spacing w:line="360" w:lineRule="auto"/>
        <w:ind w:left="567" w:leftChars="0" w:hanging="347"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须具有公安机关颁发的有效的《保安服务许可证》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若供应商为佛山市外的单位，参与本项目还须承诺：如在本项目中标，在开始提供保安服务之前取得服务所在地设区的市级（或以上）公安机关的备案回执【须</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lang w:eastAsia="zh-CN"/>
        </w:rPr>
        <w:t>有效的《保安服务许可证》证书复印件</w:t>
      </w:r>
      <w:r>
        <w:rPr>
          <w:rFonts w:hint="eastAsia" w:ascii="宋体" w:hAnsi="宋体" w:eastAsia="宋体" w:cs="宋体"/>
          <w:color w:val="auto"/>
          <w:sz w:val="21"/>
          <w:szCs w:val="21"/>
          <w:highlight w:val="none"/>
          <w:lang w:val="en-US" w:eastAsia="zh-CN"/>
        </w:rPr>
        <w:t>和针</w:t>
      </w:r>
      <w:r>
        <w:rPr>
          <w:rFonts w:hint="eastAsia" w:ascii="宋体" w:hAnsi="宋体" w:eastAsia="宋体" w:cs="宋体"/>
          <w:color w:val="auto"/>
          <w:sz w:val="21"/>
          <w:szCs w:val="21"/>
          <w:highlight w:val="none"/>
          <w:lang w:eastAsia="zh-CN"/>
        </w:rPr>
        <w:t>对本条款内容的承诺函（格式自拟）】。</w:t>
      </w:r>
    </w:p>
    <w:p w14:paraId="79651DE2">
      <w:pPr>
        <w:numPr>
          <w:ilvl w:val="1"/>
          <w:numId w:val="3"/>
        </w:numPr>
        <w:snapToGrid w:val="0"/>
        <w:spacing w:line="360" w:lineRule="auto"/>
        <w:ind w:left="567" w:leftChars="0" w:hanging="347"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r>
        <w:rPr>
          <w:rFonts w:hint="eastAsia" w:ascii="宋体" w:hAnsi="宋体" w:eastAsia="宋体" w:cs="宋体"/>
          <w:color w:val="auto"/>
          <w:sz w:val="21"/>
          <w:szCs w:val="21"/>
          <w:highlight w:val="none"/>
          <w:lang w:eastAsia="zh-CN"/>
        </w:rPr>
        <w:t>。</w:t>
      </w:r>
    </w:p>
    <w:p w14:paraId="18EB9A31">
      <w:pPr>
        <w:numPr>
          <w:ilvl w:val="1"/>
          <w:numId w:val="3"/>
        </w:numPr>
        <w:snapToGrid w:val="0"/>
        <w:spacing w:line="360" w:lineRule="auto"/>
        <w:ind w:left="567" w:leftChars="0" w:hanging="347"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按照投标邀请函规定的时间地点和要求登记并</w:t>
      </w:r>
      <w:r>
        <w:rPr>
          <w:rFonts w:hint="eastAsia" w:ascii="宋体" w:hAnsi="宋体" w:eastAsia="宋体" w:cs="宋体"/>
          <w:color w:val="auto"/>
          <w:sz w:val="21"/>
          <w:szCs w:val="21"/>
          <w:highlight w:val="none"/>
          <w:lang w:eastAsia="zh-CN"/>
        </w:rPr>
        <w:t>获取招标文件</w:t>
      </w:r>
      <w:r>
        <w:rPr>
          <w:rFonts w:hint="eastAsia" w:ascii="宋体" w:hAnsi="宋体" w:eastAsia="宋体" w:cs="宋体"/>
          <w:color w:val="auto"/>
          <w:sz w:val="21"/>
          <w:szCs w:val="21"/>
          <w:highlight w:val="none"/>
        </w:rPr>
        <w:t>。</w:t>
      </w:r>
    </w:p>
    <w:p w14:paraId="20FE2858">
      <w:pPr>
        <w:keepNext w:val="0"/>
        <w:keepLines w:val="0"/>
        <w:pageBreakBefore w:val="0"/>
        <w:widowControl w:val="0"/>
        <w:numPr>
          <w:ilvl w:val="0"/>
          <w:numId w:val="1"/>
        </w:numPr>
        <w:kinsoku/>
        <w:wordWrap/>
        <w:overflowPunct/>
        <w:topLinePunct w:val="0"/>
        <w:autoSpaceDE/>
        <w:autoSpaceDN/>
        <w:bidi w:val="0"/>
        <w:adjustRightInd/>
        <w:snapToGrid/>
        <w:spacing w:line="324" w:lineRule="auto"/>
        <w:ind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招标文件的获取</w:t>
      </w:r>
    </w:p>
    <w:p w14:paraId="3D690EFC">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本项目采用网上获取招标文件。</w:t>
      </w:r>
      <w:r>
        <w:rPr>
          <w:rFonts w:hint="eastAsia" w:ascii="宋体" w:hAnsi="宋体" w:eastAsia="宋体" w:cs="宋体"/>
          <w:bCs/>
          <w:color w:val="auto"/>
          <w:sz w:val="21"/>
          <w:szCs w:val="21"/>
          <w:highlight w:val="none"/>
        </w:rPr>
        <w:t>供应商</w:t>
      </w:r>
      <w:r>
        <w:rPr>
          <w:rFonts w:hint="eastAsia" w:ascii="宋体" w:hAnsi="宋体" w:eastAsia="宋体" w:cs="宋体"/>
          <w:color w:val="auto"/>
          <w:sz w:val="21"/>
          <w:szCs w:val="21"/>
          <w:highlight w:val="none"/>
        </w:rPr>
        <w:t>须先办理供应商信息入库后，并</w:t>
      </w:r>
      <w:r>
        <w:rPr>
          <w:rFonts w:hint="eastAsia" w:ascii="宋体" w:hAnsi="宋体" w:eastAsia="宋体" w:cs="宋体"/>
          <w:color w:val="auto"/>
          <w:sz w:val="21"/>
          <w:szCs w:val="21"/>
        </w:rPr>
        <w:t>通过</w:t>
      </w:r>
      <w:r>
        <w:rPr>
          <w:rFonts w:hint="eastAsia" w:ascii="宋体" w:hAnsi="宋体" w:eastAsia="宋体" w:cs="宋体"/>
          <w:color w:val="auto"/>
          <w:sz w:val="21"/>
          <w:szCs w:val="21"/>
          <w:highlight w:val="none"/>
        </w:rPr>
        <w:t>登录交易系统“佛山市公共资源交易信息化综合平台（https://jy.ggzy.foshan.gov.cn/TPBidder/login.aspx）”</w:t>
      </w:r>
      <w:r>
        <w:rPr>
          <w:rFonts w:hint="eastAsia" w:ascii="宋体" w:hAnsi="宋体" w:eastAsia="宋体" w:cs="宋体"/>
          <w:color w:val="auto"/>
          <w:sz w:val="21"/>
          <w:szCs w:val="21"/>
        </w:rPr>
        <w:t>获取</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rPr>
        <w:t>文件</w:t>
      </w:r>
      <w:r>
        <w:rPr>
          <w:rFonts w:hint="eastAsia" w:ascii="宋体" w:hAnsi="宋体" w:eastAsia="宋体" w:cs="宋体"/>
          <w:color w:val="auto"/>
          <w:sz w:val="21"/>
          <w:szCs w:val="21"/>
          <w:highlight w:val="none"/>
        </w:rPr>
        <w:t>后，才能参与本</w:t>
      </w:r>
      <w:r>
        <w:rPr>
          <w:rFonts w:hint="eastAsia" w:ascii="宋体" w:hAnsi="宋体" w:eastAsia="宋体" w:cs="宋体"/>
          <w:color w:val="auto"/>
          <w:sz w:val="21"/>
          <w:szCs w:val="21"/>
        </w:rPr>
        <w:t>项目</w:t>
      </w:r>
      <w:r>
        <w:rPr>
          <w:rFonts w:hint="eastAsia" w:ascii="宋体" w:hAnsi="宋体" w:eastAsia="宋体" w:cs="宋体"/>
          <w:color w:val="auto"/>
          <w:sz w:val="21"/>
          <w:szCs w:val="21"/>
          <w:highlight w:val="none"/>
        </w:rPr>
        <w:t>的投标和现场递交纸质投标文件。</w:t>
      </w:r>
    </w:p>
    <w:p w14:paraId="27E8ACD2">
      <w:pPr>
        <w:keepNext w:val="0"/>
        <w:keepLines w:val="0"/>
        <w:pageBreakBefore w:val="0"/>
        <w:widowControl w:val="0"/>
        <w:numPr>
          <w:ilvl w:val="0"/>
          <w:numId w:val="0"/>
        </w:numPr>
        <w:tabs>
          <w:tab w:val="left" w:pos="840"/>
        </w:tabs>
        <w:kinsoku/>
        <w:wordWrap/>
        <w:overflowPunct/>
        <w:topLinePunct w:val="0"/>
        <w:autoSpaceDE/>
        <w:autoSpaceDN/>
        <w:bidi w:val="0"/>
        <w:snapToGrid/>
        <w:spacing w:line="324"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供应商信息入库具体操作方法请浏览“广东省公共资源交易平台(佛山市) -服务指南-企业登记办理指引”栏目相关信息。</w:t>
      </w:r>
    </w:p>
    <w:p w14:paraId="1E810AFA">
      <w:pPr>
        <w:keepNext w:val="0"/>
        <w:keepLines w:val="0"/>
        <w:pageBreakBefore w:val="0"/>
        <w:widowControl w:val="0"/>
        <w:numPr>
          <w:ilvl w:val="0"/>
          <w:numId w:val="0"/>
        </w:numPr>
        <w:kinsoku/>
        <w:wordWrap/>
        <w:overflowPunct/>
        <w:topLinePunct w:val="0"/>
        <w:autoSpaceDE/>
        <w:autoSpaceDN/>
        <w:bidi w:val="0"/>
        <w:snapToGrid/>
        <w:spacing w:line="324"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已办理供应商信息入库的供应商应当在招标公告规定时间内，登录交易系统“佛山市公共资源交易信息化综合平台”，按照系统提示下载</w:t>
      </w:r>
      <w:r>
        <w:rPr>
          <w:rFonts w:hint="eastAsia" w:ascii="宋体" w:hAnsi="宋体" w:eastAsia="宋体" w:cs="宋体"/>
          <w:b w:val="0"/>
          <w:bCs w:val="0"/>
          <w:color w:val="auto"/>
          <w:sz w:val="21"/>
          <w:szCs w:val="21"/>
          <w:highlight w:val="none"/>
          <w:lang w:val="en-US" w:eastAsia="zh-CN"/>
        </w:rPr>
        <w:t>招标文件</w:t>
      </w:r>
      <w:r>
        <w:rPr>
          <w:rFonts w:hint="eastAsia" w:ascii="宋体" w:hAnsi="宋体" w:eastAsia="宋体" w:cs="宋体"/>
          <w:color w:val="auto"/>
          <w:sz w:val="21"/>
          <w:szCs w:val="21"/>
          <w:highlight w:val="none"/>
        </w:rPr>
        <w:t>。</w:t>
      </w:r>
    </w:p>
    <w:p w14:paraId="05980FC0">
      <w:pPr>
        <w:keepNext w:val="0"/>
        <w:keepLines w:val="0"/>
        <w:pageBreakBefore w:val="0"/>
        <w:widowControl w:val="0"/>
        <w:numPr>
          <w:ilvl w:val="0"/>
          <w:numId w:val="0"/>
        </w:numPr>
        <w:tabs>
          <w:tab w:val="left" w:pos="840"/>
        </w:tabs>
        <w:kinsoku/>
        <w:wordWrap/>
        <w:overflowPunct/>
        <w:topLinePunct w:val="0"/>
        <w:autoSpaceDE/>
        <w:autoSpaceDN/>
        <w:bidi w:val="0"/>
        <w:snapToGrid/>
        <w:spacing w:line="324"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已办理供应商信息入库的供应商应当在2025年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分到2025年9月1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日17时30分止，登录“佛山市公共资源交易信息化综合平台”进行网上下载招标文件。</w:t>
      </w:r>
    </w:p>
    <w:p w14:paraId="7BADCE80">
      <w:pPr>
        <w:keepNext w:val="0"/>
        <w:keepLines w:val="0"/>
        <w:pageBreakBefore w:val="0"/>
        <w:widowControl w:val="0"/>
        <w:numPr>
          <w:ilvl w:val="0"/>
          <w:numId w:val="0"/>
        </w:numPr>
        <w:kinsoku/>
        <w:wordWrap/>
        <w:overflowPunct/>
        <w:topLinePunct w:val="0"/>
        <w:autoSpaceDE/>
        <w:autoSpaceDN/>
        <w:bidi w:val="0"/>
        <w:snapToGrid/>
        <w:spacing w:line="324" w:lineRule="auto"/>
        <w:ind w:left="-420" w:leftChars="-200" w:firstLine="843" w:firstLineChars="400"/>
        <w:textAlignment w:val="auto"/>
        <w:rPr>
          <w:rFonts w:hint="eastAsia" w:ascii="宋体" w:hAnsi="宋体" w:eastAsia="宋体" w:cs="宋体"/>
          <w:bCs/>
          <w:color w:val="auto"/>
          <w:sz w:val="21"/>
          <w:szCs w:val="21"/>
          <w:highlight w:val="none"/>
        </w:rPr>
      </w:pPr>
      <w:r>
        <w:rPr>
          <w:rStyle w:val="22"/>
          <w:rFonts w:hint="eastAsia" w:ascii="宋体" w:hAnsi="宋体" w:eastAsia="宋体" w:cs="宋体"/>
          <w:color w:val="auto"/>
          <w:sz w:val="21"/>
          <w:szCs w:val="21"/>
          <w:highlight w:val="none"/>
          <w:u w:val="single"/>
          <w:shd w:val="clear" w:color="auto" w:fill="F8FCFF"/>
        </w:rPr>
        <w:t>备注：已办理报名并成功</w:t>
      </w:r>
      <w:r>
        <w:rPr>
          <w:rStyle w:val="22"/>
          <w:rFonts w:hint="eastAsia" w:ascii="宋体" w:hAnsi="宋体" w:cs="宋体"/>
          <w:color w:val="auto"/>
          <w:sz w:val="21"/>
          <w:szCs w:val="21"/>
          <w:highlight w:val="none"/>
          <w:u w:val="single"/>
          <w:shd w:val="clear" w:color="auto" w:fill="F8FCFF"/>
          <w:lang w:val="en-US" w:eastAsia="zh-CN"/>
        </w:rPr>
        <w:t>获取</w:t>
      </w:r>
      <w:r>
        <w:rPr>
          <w:rStyle w:val="22"/>
          <w:rFonts w:hint="eastAsia" w:ascii="宋体" w:hAnsi="宋体" w:eastAsia="宋体" w:cs="宋体"/>
          <w:color w:val="auto"/>
          <w:sz w:val="21"/>
          <w:szCs w:val="21"/>
          <w:highlight w:val="none"/>
          <w:u w:val="single"/>
          <w:shd w:val="clear" w:color="auto" w:fill="F8FCFF"/>
          <w:lang w:eastAsia="zh-CN"/>
        </w:rPr>
        <w:t>招标</w:t>
      </w:r>
      <w:r>
        <w:rPr>
          <w:rStyle w:val="22"/>
          <w:rFonts w:hint="eastAsia" w:ascii="宋体" w:hAnsi="宋体" w:eastAsia="宋体" w:cs="宋体"/>
          <w:color w:val="auto"/>
          <w:sz w:val="21"/>
          <w:szCs w:val="21"/>
          <w:highlight w:val="none"/>
          <w:u w:val="single"/>
          <w:shd w:val="clear" w:color="auto" w:fill="F8FCFF"/>
        </w:rPr>
        <w:t>文件的供应商参加</w:t>
      </w:r>
      <w:r>
        <w:rPr>
          <w:rStyle w:val="22"/>
          <w:rFonts w:hint="eastAsia" w:ascii="宋体" w:hAnsi="宋体" w:eastAsia="宋体" w:cs="宋体"/>
          <w:color w:val="auto"/>
          <w:sz w:val="21"/>
          <w:szCs w:val="21"/>
          <w:highlight w:val="none"/>
          <w:u w:val="single"/>
          <w:shd w:val="clear" w:color="auto" w:fill="F8FCFF"/>
          <w:lang w:eastAsia="zh-CN"/>
        </w:rPr>
        <w:t>投标</w:t>
      </w:r>
      <w:r>
        <w:rPr>
          <w:rStyle w:val="22"/>
          <w:rFonts w:hint="eastAsia" w:ascii="宋体" w:hAnsi="宋体" w:eastAsia="宋体" w:cs="宋体"/>
          <w:color w:val="auto"/>
          <w:sz w:val="21"/>
          <w:szCs w:val="21"/>
          <w:highlight w:val="none"/>
          <w:u w:val="single"/>
          <w:shd w:val="clear" w:color="auto" w:fill="F8FCFF"/>
        </w:rPr>
        <w:t>的，不代表通过资格性、符合性审查</w:t>
      </w:r>
      <w:r>
        <w:rPr>
          <w:rStyle w:val="22"/>
          <w:rFonts w:hint="eastAsia" w:ascii="宋体" w:hAnsi="宋体" w:eastAsia="宋体" w:cs="宋体"/>
          <w:color w:val="auto"/>
          <w:sz w:val="21"/>
          <w:szCs w:val="21"/>
          <w:highlight w:val="none"/>
          <w:u w:val="single"/>
          <w:shd w:val="clear" w:color="auto" w:fill="F8FCFF"/>
          <w:lang w:eastAsia="zh-CN"/>
        </w:rPr>
        <w:t>。</w:t>
      </w:r>
    </w:p>
    <w:p w14:paraId="4509AB02">
      <w:pPr>
        <w:keepNext w:val="0"/>
        <w:keepLines w:val="0"/>
        <w:pageBreakBefore w:val="0"/>
        <w:widowControl w:val="0"/>
        <w:numPr>
          <w:ilvl w:val="0"/>
          <w:numId w:val="1"/>
        </w:numPr>
        <w:kinsoku/>
        <w:wordWrap/>
        <w:overflowPunct/>
        <w:topLinePunct w:val="0"/>
        <w:autoSpaceDE/>
        <w:autoSpaceDN/>
        <w:bidi w:val="0"/>
        <w:snapToGrid/>
        <w:spacing w:line="324" w:lineRule="auto"/>
        <w:ind w:left="420" w:hanging="420" w:hanging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投标文件递交时间：</w:t>
      </w:r>
      <w:r>
        <w:rPr>
          <w:rFonts w:hint="eastAsia" w:ascii="宋体" w:hAnsi="宋体" w:eastAsia="宋体" w:cs="宋体"/>
          <w:bCs/>
          <w:color w:val="auto"/>
          <w:sz w:val="21"/>
          <w:szCs w:val="21"/>
          <w:highlight w:val="none"/>
          <w:lang w:eastAsia="zh-CN"/>
        </w:rPr>
        <w:t>2025年</w:t>
      </w:r>
      <w:r>
        <w:rPr>
          <w:rFonts w:hint="eastAsia" w:ascii="宋体" w:hAnsi="宋体" w:cs="宋体"/>
          <w:bCs/>
          <w:color w:val="auto"/>
          <w:sz w:val="21"/>
          <w:szCs w:val="21"/>
          <w:highlight w:val="none"/>
          <w:lang w:val="en-US" w:eastAsia="zh-CN"/>
        </w:rPr>
        <w:t>9月30日09</w:t>
      </w:r>
      <w:r>
        <w:rPr>
          <w:rFonts w:hint="eastAsia" w:ascii="宋体" w:hAnsi="宋体" w:eastAsia="宋体" w:cs="宋体"/>
          <w:bCs/>
          <w:color w:val="auto"/>
          <w:sz w:val="21"/>
          <w:szCs w:val="21"/>
          <w:highlight w:val="none"/>
        </w:rPr>
        <w:t>时</w:t>
      </w:r>
      <w:r>
        <w:rPr>
          <w:rFonts w:hint="eastAsia" w:ascii="宋体" w:hAnsi="宋体" w:cs="宋体"/>
          <w:bCs/>
          <w:color w:val="auto"/>
          <w:sz w:val="21"/>
          <w:szCs w:val="21"/>
          <w:highlight w:val="none"/>
          <w:lang w:val="en-US" w:eastAsia="zh-CN"/>
        </w:rPr>
        <w:t>00</w:t>
      </w:r>
      <w:r>
        <w:rPr>
          <w:rFonts w:hint="eastAsia" w:ascii="宋体" w:hAnsi="宋体" w:eastAsia="宋体" w:cs="宋体"/>
          <w:bCs/>
          <w:color w:val="auto"/>
          <w:sz w:val="21"/>
          <w:szCs w:val="21"/>
          <w:highlight w:val="none"/>
        </w:rPr>
        <w:t>分—</w:t>
      </w:r>
      <w:r>
        <w:rPr>
          <w:rFonts w:hint="eastAsia" w:ascii="宋体" w:hAnsi="宋体" w:cs="宋体"/>
          <w:bCs/>
          <w:color w:val="auto"/>
          <w:sz w:val="21"/>
          <w:szCs w:val="21"/>
          <w:highlight w:val="none"/>
          <w:lang w:val="en-US" w:eastAsia="zh-CN"/>
        </w:rPr>
        <w:t>09</w:t>
      </w:r>
      <w:r>
        <w:rPr>
          <w:rFonts w:hint="eastAsia" w:ascii="宋体" w:hAnsi="宋体" w:eastAsia="宋体" w:cs="宋体"/>
          <w:bCs/>
          <w:color w:val="auto"/>
          <w:sz w:val="21"/>
          <w:szCs w:val="21"/>
          <w:highlight w:val="none"/>
        </w:rPr>
        <w:t>时</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p w14:paraId="7FF62250">
      <w:pPr>
        <w:keepNext w:val="0"/>
        <w:keepLines w:val="0"/>
        <w:pageBreakBefore w:val="0"/>
        <w:widowControl w:val="0"/>
        <w:numPr>
          <w:ilvl w:val="0"/>
          <w:numId w:val="1"/>
        </w:numPr>
        <w:kinsoku/>
        <w:wordWrap/>
        <w:overflowPunct/>
        <w:topLinePunct w:val="0"/>
        <w:autoSpaceDE/>
        <w:autoSpaceDN/>
        <w:bidi w:val="0"/>
        <w:snapToGrid/>
        <w:spacing w:line="324" w:lineRule="auto"/>
        <w:ind w:left="420" w:hanging="420" w:hanging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提交投标文件地点：佛山市公共资源交易中心三水分中心（具体地址：佛山市三水区西南街道同福路10号2号楼）</w:t>
      </w:r>
    </w:p>
    <w:p w14:paraId="421CB834">
      <w:pPr>
        <w:keepNext w:val="0"/>
        <w:keepLines w:val="0"/>
        <w:pageBreakBefore w:val="0"/>
        <w:widowControl w:val="0"/>
        <w:numPr>
          <w:ilvl w:val="0"/>
          <w:numId w:val="1"/>
        </w:numPr>
        <w:kinsoku/>
        <w:wordWrap/>
        <w:overflowPunct/>
        <w:topLinePunct w:val="0"/>
        <w:autoSpaceDE/>
        <w:autoSpaceDN/>
        <w:bidi w:val="0"/>
        <w:snapToGrid/>
        <w:spacing w:line="324" w:lineRule="auto"/>
        <w:ind w:left="420" w:hanging="420" w:hanging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投标截止及开标时间：</w:t>
      </w:r>
      <w:r>
        <w:rPr>
          <w:rFonts w:hint="eastAsia" w:ascii="宋体" w:hAnsi="宋体" w:cs="宋体"/>
          <w:bCs/>
          <w:color w:val="auto"/>
          <w:sz w:val="21"/>
          <w:szCs w:val="21"/>
          <w:highlight w:val="none"/>
          <w:lang w:eastAsia="zh-CN"/>
        </w:rPr>
        <w:t>2025年</w:t>
      </w:r>
      <w:r>
        <w:rPr>
          <w:rFonts w:hint="eastAsia" w:ascii="宋体" w:hAnsi="宋体" w:cs="宋体"/>
          <w:bCs/>
          <w:color w:val="auto"/>
          <w:sz w:val="21"/>
          <w:szCs w:val="21"/>
          <w:highlight w:val="none"/>
          <w:lang w:val="en-US" w:eastAsia="zh-CN"/>
        </w:rPr>
        <w:t>9月30日09</w:t>
      </w:r>
      <w:r>
        <w:rPr>
          <w:rFonts w:hint="eastAsia" w:ascii="宋体" w:hAnsi="宋体" w:eastAsia="宋体" w:cs="宋体"/>
          <w:bCs/>
          <w:color w:val="auto"/>
          <w:sz w:val="21"/>
          <w:szCs w:val="21"/>
          <w:highlight w:val="none"/>
        </w:rPr>
        <w:t>时</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p w14:paraId="276EAF6C">
      <w:pPr>
        <w:keepNext w:val="0"/>
        <w:keepLines w:val="0"/>
        <w:pageBreakBefore w:val="0"/>
        <w:widowControl w:val="0"/>
        <w:numPr>
          <w:ilvl w:val="0"/>
          <w:numId w:val="1"/>
        </w:numPr>
        <w:kinsoku/>
        <w:wordWrap/>
        <w:overflowPunct/>
        <w:topLinePunct w:val="0"/>
        <w:autoSpaceDE/>
        <w:autoSpaceDN/>
        <w:bidi w:val="0"/>
        <w:snapToGrid/>
        <w:spacing w:line="324" w:lineRule="auto"/>
        <w:ind w:left="420" w:hanging="420" w:hanging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开标地点：佛山市公共资源交易中心三水分中心（具体地址：佛山市三水区西南街道同福路10号2号楼）</w:t>
      </w:r>
    </w:p>
    <w:p w14:paraId="0EAF73BF">
      <w:pPr>
        <w:keepNext w:val="0"/>
        <w:keepLines w:val="0"/>
        <w:pageBreakBefore w:val="0"/>
        <w:widowControl w:val="0"/>
        <w:numPr>
          <w:ilvl w:val="0"/>
          <w:numId w:val="1"/>
        </w:numPr>
        <w:kinsoku/>
        <w:wordWrap/>
        <w:overflowPunct/>
        <w:topLinePunct w:val="0"/>
        <w:autoSpaceDE/>
        <w:autoSpaceDN/>
        <w:bidi w:val="0"/>
        <w:snapToGrid/>
        <w:spacing w:line="324" w:lineRule="auto"/>
        <w:ind w:left="420" w:hanging="420" w:hanging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公告期限：</w:t>
      </w:r>
      <w:r>
        <w:rPr>
          <w:rFonts w:hint="eastAsia" w:ascii="宋体" w:hAnsi="宋体" w:eastAsia="宋体" w:cs="宋体"/>
          <w:bCs/>
          <w:color w:val="auto"/>
          <w:sz w:val="21"/>
          <w:szCs w:val="21"/>
          <w:highlight w:val="none"/>
        </w:rPr>
        <w:t>自本公告发布之日起5个工作日。</w:t>
      </w:r>
    </w:p>
    <w:p w14:paraId="34BA3229">
      <w:pPr>
        <w:keepNext w:val="0"/>
        <w:keepLines w:val="0"/>
        <w:pageBreakBefore w:val="0"/>
        <w:widowControl w:val="0"/>
        <w:numPr>
          <w:ilvl w:val="0"/>
          <w:numId w:val="1"/>
        </w:numPr>
        <w:kinsoku/>
        <w:wordWrap/>
        <w:overflowPunct/>
        <w:topLinePunct w:val="0"/>
        <w:autoSpaceDE/>
        <w:autoSpaceDN/>
        <w:bidi w:val="0"/>
        <w:snapToGrid/>
        <w:spacing w:line="324" w:lineRule="auto"/>
        <w:ind w:left="638" w:hanging="641" w:hangingChars="304"/>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温馨提示：</w:t>
      </w:r>
      <w:r>
        <w:rPr>
          <w:rFonts w:hint="eastAsia" w:ascii="宋体" w:hAnsi="宋体" w:eastAsia="宋体" w:cs="宋体"/>
          <w:b/>
          <w:bCs w:val="0"/>
          <w:color w:val="auto"/>
          <w:kern w:val="0"/>
          <w:sz w:val="21"/>
          <w:szCs w:val="21"/>
          <w:highlight w:val="none"/>
          <w:lang w:val="en-US" w:eastAsia="zh-CN" w:bidi="ar"/>
        </w:rPr>
        <w:t>为减少纸张浪费，节约环保，投标文件（正本和副本）请双面制作。</w:t>
      </w:r>
    </w:p>
    <w:p w14:paraId="13122D45">
      <w:pPr>
        <w:keepNext w:val="0"/>
        <w:keepLines w:val="0"/>
        <w:pageBreakBefore w:val="0"/>
        <w:widowControl w:val="0"/>
        <w:numPr>
          <w:ilvl w:val="0"/>
          <w:numId w:val="1"/>
        </w:numPr>
        <w:kinsoku/>
        <w:wordWrap/>
        <w:overflowPunct/>
        <w:topLinePunct w:val="0"/>
        <w:autoSpaceDE/>
        <w:autoSpaceDN/>
        <w:bidi w:val="0"/>
        <w:snapToGrid/>
        <w:spacing w:line="324" w:lineRule="auto"/>
        <w:ind w:left="420" w:hanging="420" w:hanging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联系事项</w:t>
      </w:r>
    </w:p>
    <w:p w14:paraId="11B39F34">
      <w:pPr>
        <w:pStyle w:val="18"/>
        <w:keepNext w:val="0"/>
        <w:keepLines w:val="0"/>
        <w:pageBreakBefore w:val="0"/>
        <w:widowControl w:val="0"/>
        <w:numPr>
          <w:ilvl w:val="0"/>
          <w:numId w:val="6"/>
        </w:numPr>
        <w:tabs>
          <w:tab w:val="left" w:pos="1050"/>
        </w:tabs>
        <w:kinsoku/>
        <w:wordWrap/>
        <w:overflowPunct/>
        <w:topLinePunct w:val="0"/>
        <w:autoSpaceDE/>
        <w:autoSpaceDN/>
        <w:bidi w:val="0"/>
        <w:snapToGrid/>
        <w:spacing w:before="0" w:beforeAutospacing="0" w:after="0" w:afterAutospacing="0" w:line="324" w:lineRule="auto"/>
        <w:ind w:firstLine="215"/>
        <w:jc w:val="both"/>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佛山市三水云东海创智城产业发展有限公司</w:t>
      </w:r>
      <w:r>
        <w:rPr>
          <w:rFonts w:hint="eastAsia" w:ascii="宋体" w:hAnsi="宋体" w:eastAsia="宋体" w:cs="宋体"/>
          <w:bCs/>
          <w:color w:val="auto"/>
          <w:sz w:val="21"/>
          <w:szCs w:val="21"/>
        </w:rPr>
        <w:t xml:space="preserve">      </w:t>
      </w:r>
    </w:p>
    <w:p w14:paraId="3878C8CB">
      <w:pPr>
        <w:pStyle w:val="18"/>
        <w:keepNext w:val="0"/>
        <w:keepLines w:val="0"/>
        <w:pageBreakBefore w:val="0"/>
        <w:widowControl w:val="0"/>
        <w:tabs>
          <w:tab w:val="left" w:pos="425"/>
          <w:tab w:val="left" w:pos="1050"/>
        </w:tabs>
        <w:kinsoku/>
        <w:wordWrap/>
        <w:overflowPunct/>
        <w:topLinePunct w:val="0"/>
        <w:autoSpaceDE/>
        <w:autoSpaceDN/>
        <w:bidi w:val="0"/>
        <w:snapToGrid/>
        <w:spacing w:before="0" w:beforeAutospacing="0" w:after="0" w:afterAutospacing="0" w:line="324" w:lineRule="auto"/>
        <w:ind w:left="640" w:leftChars="305" w:firstLine="315" w:firstLineChars="15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hint="eastAsia" w:ascii="宋体" w:hAnsi="宋体" w:eastAsia="宋体" w:cs="宋体"/>
          <w:color w:val="auto"/>
          <w:sz w:val="21"/>
          <w:szCs w:val="21"/>
        </w:rPr>
        <w:t>地址：佛山市三水区云东海街道荷湖南路1号1栋204室</w:t>
      </w:r>
      <w:r>
        <w:rPr>
          <w:rFonts w:hint="eastAsia" w:ascii="宋体" w:hAnsi="宋体" w:eastAsia="宋体" w:cs="宋体"/>
          <w:bCs/>
          <w:color w:val="auto"/>
          <w:sz w:val="21"/>
          <w:szCs w:val="21"/>
        </w:rPr>
        <w:t xml:space="preserve"> </w:t>
      </w:r>
    </w:p>
    <w:p w14:paraId="4D943D09">
      <w:pPr>
        <w:keepNext w:val="0"/>
        <w:keepLines w:val="0"/>
        <w:pageBreakBefore w:val="0"/>
        <w:widowControl w:val="0"/>
        <w:kinsoku/>
        <w:wordWrap/>
        <w:overflowPunct/>
        <w:topLinePunct w:val="0"/>
        <w:autoSpaceDE/>
        <w:autoSpaceDN/>
        <w:bidi w:val="0"/>
        <w:adjustRightInd w:val="0"/>
        <w:snapToGrid/>
        <w:spacing w:line="324" w:lineRule="auto"/>
        <w:ind w:left="425" w:firstLine="630" w:firstLineChars="300"/>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联系人：</w:t>
      </w:r>
      <w:r>
        <w:rPr>
          <w:rFonts w:hint="eastAsia" w:ascii="宋体" w:hAnsi="宋体" w:cs="宋体"/>
          <w:bCs/>
          <w:color w:val="auto"/>
          <w:kern w:val="0"/>
          <w:sz w:val="21"/>
          <w:szCs w:val="21"/>
          <w:lang w:val="en-US" w:eastAsia="zh-CN" w:bidi="ar-SA"/>
        </w:rPr>
        <w:t xml:space="preserve">潘振锋  </w:t>
      </w:r>
      <w:r>
        <w:rPr>
          <w:rFonts w:hint="eastAsia" w:ascii="宋体" w:hAnsi="宋体" w:eastAsia="宋体" w:cs="宋体"/>
          <w:bCs/>
          <w:color w:val="auto"/>
          <w:kern w:val="0"/>
          <w:sz w:val="21"/>
          <w:szCs w:val="21"/>
          <w:lang w:val="en-US" w:eastAsia="zh-CN" w:bidi="ar-SA"/>
        </w:rPr>
        <w:t xml:space="preserve">                     联系电话：0757-66890235</w:t>
      </w:r>
    </w:p>
    <w:p w14:paraId="1F49ECD0">
      <w:pPr>
        <w:keepNext w:val="0"/>
        <w:keepLines w:val="0"/>
        <w:pageBreakBefore w:val="0"/>
        <w:widowControl w:val="0"/>
        <w:numPr>
          <w:ilvl w:val="0"/>
          <w:numId w:val="6"/>
        </w:numPr>
        <w:tabs>
          <w:tab w:val="left" w:pos="1050"/>
        </w:tabs>
        <w:kinsoku/>
        <w:wordWrap/>
        <w:overflowPunct/>
        <w:topLinePunct w:val="0"/>
        <w:autoSpaceDE/>
        <w:autoSpaceDN/>
        <w:bidi w:val="0"/>
        <w:adjustRightInd w:val="0"/>
        <w:snapToGrid/>
        <w:spacing w:line="324" w:lineRule="auto"/>
        <w:ind w:firstLine="215"/>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招标代理机构</w:t>
      </w:r>
      <w:r>
        <w:rPr>
          <w:rFonts w:hint="eastAsia" w:ascii="宋体" w:hAnsi="宋体" w:eastAsia="宋体" w:cs="宋体"/>
          <w:color w:val="auto"/>
          <w:sz w:val="21"/>
          <w:szCs w:val="21"/>
        </w:rPr>
        <w:t xml:space="preserve">：广东中采招标有限公司    </w:t>
      </w:r>
    </w:p>
    <w:p w14:paraId="58086869">
      <w:pPr>
        <w:keepNext w:val="0"/>
        <w:keepLines w:val="0"/>
        <w:pageBreakBefore w:val="0"/>
        <w:widowControl w:val="0"/>
        <w:numPr>
          <w:ilvl w:val="0"/>
          <w:numId w:val="0"/>
        </w:numPr>
        <w:tabs>
          <w:tab w:val="left" w:pos="1050"/>
        </w:tabs>
        <w:kinsoku/>
        <w:wordWrap/>
        <w:overflowPunct/>
        <w:topLinePunct w:val="0"/>
        <w:autoSpaceDE/>
        <w:autoSpaceDN/>
        <w:bidi w:val="0"/>
        <w:adjustRightInd w:val="0"/>
        <w:snapToGrid/>
        <w:spacing w:line="324" w:lineRule="auto"/>
        <w:ind w:left="640" w:lef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佛山市禅城区祖庙街道季华六路17号一座1603室</w:t>
      </w:r>
    </w:p>
    <w:p w14:paraId="59F4F048">
      <w:pPr>
        <w:keepNext w:val="0"/>
        <w:keepLines w:val="0"/>
        <w:pageBreakBefore w:val="0"/>
        <w:widowControl w:val="0"/>
        <w:kinsoku/>
        <w:wordWrap/>
        <w:overflowPunct/>
        <w:topLinePunct w:val="0"/>
        <w:autoSpaceDE/>
        <w:autoSpaceDN/>
        <w:bidi w:val="0"/>
        <w:adjustRightInd w:val="0"/>
        <w:snapToGrid/>
        <w:spacing w:line="324" w:lineRule="auto"/>
        <w:ind w:left="1054" w:leftChars="202" w:hanging="630" w:hanging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联系人：</w:t>
      </w:r>
      <w:r>
        <w:rPr>
          <w:rFonts w:hint="eastAsia" w:ascii="宋体" w:hAnsi="宋体" w:cs="宋体"/>
          <w:color w:val="auto"/>
          <w:sz w:val="21"/>
          <w:szCs w:val="21"/>
          <w:lang w:val="en-US" w:eastAsia="zh-CN"/>
        </w:rPr>
        <w:t>张欣</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 xml:space="preserve">联系方式：0757-81993027  </w:t>
      </w:r>
    </w:p>
    <w:p w14:paraId="7B305CE2">
      <w:pPr>
        <w:keepNext w:val="0"/>
        <w:keepLines w:val="0"/>
        <w:pageBreakBefore w:val="0"/>
        <w:widowControl w:val="0"/>
        <w:kinsoku/>
        <w:wordWrap/>
        <w:overflowPunct/>
        <w:topLinePunct w:val="0"/>
        <w:autoSpaceDE/>
        <w:autoSpaceDN/>
        <w:bidi w:val="0"/>
        <w:adjustRightInd w:val="0"/>
        <w:snapToGrid/>
        <w:spacing w:line="324" w:lineRule="auto"/>
        <w:ind w:left="1052" w:leftChars="501"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邮政编码：528000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电邮：</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"mailto:gdzczb@126.com"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gdzczb@126.com</w:t>
      </w:r>
      <w:r>
        <w:rPr>
          <w:rFonts w:hint="eastAsia" w:ascii="宋体" w:hAnsi="宋体" w:eastAsia="宋体" w:cs="宋体"/>
          <w:color w:val="auto"/>
          <w:sz w:val="21"/>
          <w:szCs w:val="21"/>
        </w:rPr>
        <w:fldChar w:fldCharType="end"/>
      </w:r>
    </w:p>
    <w:p w14:paraId="2906E0D9">
      <w:pPr>
        <w:keepNext w:val="0"/>
        <w:keepLines w:val="0"/>
        <w:pageBreakBefore w:val="0"/>
        <w:widowControl w:val="0"/>
        <w:numPr>
          <w:ilvl w:val="0"/>
          <w:numId w:val="6"/>
        </w:numPr>
        <w:tabs>
          <w:tab w:val="left" w:pos="1050"/>
        </w:tabs>
        <w:kinsoku/>
        <w:wordWrap/>
        <w:overflowPunct/>
        <w:topLinePunct w:val="0"/>
        <w:autoSpaceDE/>
        <w:autoSpaceDN/>
        <w:bidi w:val="0"/>
        <w:adjustRightInd w:val="0"/>
        <w:snapToGrid/>
        <w:spacing w:line="324" w:lineRule="auto"/>
        <w:ind w:firstLine="215"/>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财务电话（开票等咨询）：18925945785</w:t>
      </w:r>
      <w:r>
        <w:rPr>
          <w:rFonts w:hint="eastAsia" w:ascii="宋体" w:hAnsi="宋体" w:eastAsia="宋体" w:cs="宋体"/>
          <w:color w:val="auto"/>
          <w:sz w:val="21"/>
          <w:szCs w:val="21"/>
        </w:rPr>
        <w:t xml:space="preserve">  </w:t>
      </w:r>
    </w:p>
    <w:p w14:paraId="6F058923">
      <w:pPr>
        <w:keepNext w:val="0"/>
        <w:keepLines w:val="0"/>
        <w:pageBreakBefore w:val="0"/>
        <w:widowControl w:val="0"/>
        <w:numPr>
          <w:ilvl w:val="0"/>
          <w:numId w:val="1"/>
        </w:numPr>
        <w:kinsoku/>
        <w:wordWrap w:val="0"/>
        <w:overflowPunct/>
        <w:topLinePunct w:val="0"/>
        <w:autoSpaceDE/>
        <w:autoSpaceDN/>
        <w:bidi w:val="0"/>
        <w:adjustRightInd/>
        <w:snapToGrid/>
        <w:spacing w:line="324" w:lineRule="auto"/>
        <w:ind w:left="0" w:hanging="420" w:hanging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本项目相关公告在以下媒体发布：全国公共资源交易平台（广东省</w:t>
      </w:r>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rPr>
        <w:t>佛山市）（https://ygp.gdzwfw.gov.cn/#/440600/index）</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招标代理机构</w:t>
      </w:r>
      <w:r>
        <w:rPr>
          <w:rFonts w:hint="eastAsia" w:ascii="宋体" w:hAnsi="宋体" w:eastAsia="宋体" w:cs="宋体"/>
          <w:bCs/>
          <w:color w:val="auto"/>
          <w:sz w:val="21"/>
          <w:szCs w:val="21"/>
        </w:rPr>
        <w:t>网站（http://www.gdzczb.com/）。相关公告在媒体上公布之日即视为有效送达，不再另行通知。</w:t>
      </w:r>
    </w:p>
    <w:p w14:paraId="201D0D4D">
      <w:pPr>
        <w:keepNext w:val="0"/>
        <w:keepLines w:val="0"/>
        <w:pageBreakBefore w:val="0"/>
        <w:widowControl w:val="0"/>
        <w:numPr>
          <w:ilvl w:val="0"/>
          <w:numId w:val="1"/>
        </w:numPr>
        <w:kinsoku/>
        <w:wordWrap w:val="0"/>
        <w:overflowPunct/>
        <w:topLinePunct w:val="0"/>
        <w:autoSpaceDE/>
        <w:autoSpaceDN/>
        <w:bidi w:val="0"/>
        <w:adjustRightInd/>
        <w:snapToGrid/>
        <w:spacing w:line="324" w:lineRule="auto"/>
        <w:ind w:left="0" w:hanging="420" w:hanging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本项目为企业自主采购，不属于政府采购范畴，不属于依法必须招标的范畴。</w:t>
      </w:r>
    </w:p>
    <w:p w14:paraId="2A27D6C1">
      <w:pPr>
        <w:snapToGrid w:val="0"/>
        <w:spacing w:line="360" w:lineRule="auto"/>
        <w:ind w:firstLine="420" w:firstLineChars="200"/>
        <w:rPr>
          <w:rFonts w:hint="eastAsia"/>
          <w:color w:val="auto"/>
          <w:highlight w:val="none"/>
        </w:rPr>
      </w:pPr>
    </w:p>
    <w:p w14:paraId="239F6BDC">
      <w:pPr>
        <w:snapToGrid w:val="0"/>
        <w:spacing w:line="360" w:lineRule="auto"/>
        <w:ind w:firstLine="435"/>
        <w:jc w:val="right"/>
        <w:rPr>
          <w:rFonts w:hint="eastAsia"/>
          <w:b/>
          <w:color w:val="auto"/>
          <w:highlight w:val="none"/>
        </w:rPr>
      </w:pPr>
      <w:r>
        <w:rPr>
          <w:rFonts w:hint="eastAsia"/>
          <w:b/>
          <w:color w:val="auto"/>
          <w:highlight w:val="none"/>
        </w:rPr>
        <w:t>广东中采招标有限公司</w:t>
      </w:r>
    </w:p>
    <w:p w14:paraId="00D58AC9">
      <w:pPr>
        <w:wordWrap w:val="0"/>
        <w:snapToGrid w:val="0"/>
        <w:spacing w:line="360" w:lineRule="auto"/>
        <w:ind w:firstLine="435"/>
        <w:jc w:val="right"/>
        <w:rPr>
          <w:rFonts w:hint="eastAsia"/>
          <w:b/>
          <w:color w:val="auto"/>
          <w:highlight w:val="yellow"/>
        </w:rPr>
      </w:pPr>
      <w:r>
        <w:rPr>
          <w:rFonts w:hint="eastAsia"/>
          <w:b/>
          <w:color w:val="auto"/>
          <w:highlight w:val="none"/>
          <w:lang w:eastAsia="zh-CN"/>
        </w:rPr>
        <w:t>二〇二五年</w:t>
      </w:r>
      <w:r>
        <w:rPr>
          <w:rFonts w:hint="eastAsia"/>
          <w:b/>
          <w:color w:val="auto"/>
          <w:highlight w:val="none"/>
          <w:lang w:val="en-US" w:eastAsia="zh-CN"/>
        </w:rPr>
        <w:t>九</w:t>
      </w:r>
      <w:r>
        <w:rPr>
          <w:rFonts w:hint="eastAsia"/>
          <w:b/>
          <w:color w:val="auto"/>
          <w:highlight w:val="none"/>
        </w:rPr>
        <w:t>月</w:t>
      </w:r>
      <w:r>
        <w:rPr>
          <w:rFonts w:hint="eastAsia"/>
          <w:b/>
          <w:color w:val="auto"/>
          <w:highlight w:val="none"/>
          <w:lang w:val="en-US" w:eastAsia="zh-CN"/>
        </w:rPr>
        <w:t>九</w:t>
      </w:r>
      <w:r>
        <w:rPr>
          <w:rFonts w:hint="eastAsia"/>
          <w:b/>
          <w:color w:val="auto"/>
          <w:highlight w:val="none"/>
        </w:rPr>
        <w:t>日</w:t>
      </w:r>
    </w:p>
    <w:p w14:paraId="5A19668F">
      <w:pPr>
        <w:pStyle w:val="28"/>
        <w:rPr>
          <w:rFonts w:hint="eastAsia"/>
          <w:color w:val="auto"/>
        </w:rPr>
      </w:pPr>
    </w:p>
    <w:p w14:paraId="62925683">
      <w:pPr>
        <w:snapToGrid w:val="0"/>
        <w:spacing w:line="360" w:lineRule="auto"/>
        <w:ind w:firstLine="420" w:firstLineChars="200"/>
        <w:rPr>
          <w:rFonts w:hint="eastAsia" w:ascii="宋体"/>
          <w:bCs/>
          <w:color w:val="auto"/>
          <w:szCs w:val="20"/>
          <w:highlight w:val="none"/>
        </w:rPr>
      </w:pPr>
    </w:p>
    <w:p w14:paraId="5DF5149F">
      <w:pPr>
        <w:snapToGrid w:val="0"/>
        <w:spacing w:line="360" w:lineRule="auto"/>
        <w:ind w:firstLine="420" w:firstLineChars="200"/>
        <w:rPr>
          <w:rFonts w:hint="eastAsia" w:ascii="宋体"/>
          <w:bCs/>
          <w:color w:val="auto"/>
          <w:szCs w:val="20"/>
          <w:highlight w:val="none"/>
        </w:rPr>
      </w:pPr>
    </w:p>
    <w:p w14:paraId="68C73759">
      <w:pPr>
        <w:wordWrap w:val="0"/>
        <w:snapToGrid w:val="0"/>
        <w:spacing w:line="360" w:lineRule="auto"/>
        <w:ind w:firstLine="435"/>
        <w:jc w:val="right"/>
        <w:rPr>
          <w:rFonts w:hint="eastAsia"/>
          <w:b/>
          <w:color w:val="auto"/>
        </w:rPr>
      </w:pPr>
    </w:p>
    <w:p w14:paraId="15AB7626">
      <w:pPr>
        <w:snapToGrid w:val="0"/>
        <w:spacing w:line="360" w:lineRule="auto"/>
        <w:jc w:val="right"/>
        <w:rPr>
          <w:b/>
          <w:color w:val="auto"/>
        </w:rPr>
        <w:sectPr>
          <w:footerReference r:id="rId9" w:type="first"/>
          <w:headerReference r:id="rId7" w:type="default"/>
          <w:footerReference r:id="rId8" w:type="default"/>
          <w:pgSz w:w="11906" w:h="16838"/>
          <w:pgMar w:top="1091" w:right="1466" w:bottom="1134" w:left="1260" w:header="623" w:footer="567"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67A856F7">
      <w:pPr>
        <w:adjustRightInd w:val="0"/>
        <w:snapToGrid w:val="0"/>
        <w:spacing w:before="156" w:beforeLines="50" w:after="156" w:afterLines="50" w:line="360" w:lineRule="auto"/>
        <w:jc w:val="center"/>
        <w:outlineLvl w:val="0"/>
        <w:rPr>
          <w:b/>
          <w:bCs/>
          <w:color w:val="auto"/>
          <w:sz w:val="28"/>
          <w:szCs w:val="28"/>
        </w:rPr>
      </w:pPr>
      <w:bookmarkStart w:id="1" w:name="_Toc13192"/>
      <w:r>
        <w:rPr>
          <w:b/>
          <w:bCs/>
          <w:color w:val="auto"/>
          <w:sz w:val="28"/>
          <w:szCs w:val="28"/>
        </w:rPr>
        <w:t>第</w:t>
      </w:r>
      <w:r>
        <w:rPr>
          <w:rFonts w:hint="eastAsia"/>
          <w:b/>
          <w:bCs/>
          <w:color w:val="auto"/>
          <w:sz w:val="28"/>
          <w:szCs w:val="28"/>
        </w:rPr>
        <w:t>二</w:t>
      </w:r>
      <w:r>
        <w:rPr>
          <w:b/>
          <w:bCs/>
          <w:color w:val="auto"/>
          <w:sz w:val="28"/>
          <w:szCs w:val="28"/>
        </w:rPr>
        <w:t>章  投标资料表</w:t>
      </w:r>
      <w:bookmarkEnd w:id="1"/>
    </w:p>
    <w:p w14:paraId="480F2A66">
      <w:pPr>
        <w:numPr>
          <w:ilvl w:val="0"/>
          <w:numId w:val="0"/>
        </w:numPr>
        <w:spacing w:line="360" w:lineRule="auto"/>
        <w:ind w:leftChars="0" w:right="-59" w:rightChars="-28" w:firstLine="420" w:firstLineChars="200"/>
        <w:rPr>
          <w:color w:val="auto"/>
        </w:rPr>
      </w:pPr>
      <w:r>
        <w:rPr>
          <w:rFonts w:hint="eastAsia"/>
          <w:color w:val="auto"/>
        </w:rPr>
        <w:t>该资料表的条款项号是与第五章《投标人须知》条款项号对应的，或增加的条款，是对第五章《投标人须知》的补充、修改和完善。</w:t>
      </w:r>
    </w:p>
    <w:tbl>
      <w:tblPr>
        <w:tblStyle w:val="19"/>
        <w:tblW w:w="90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7938"/>
      </w:tblGrid>
      <w:tr w14:paraId="2B14C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5" w:type="dxa"/>
            <w:tcBorders>
              <w:tl2br w:val="nil"/>
              <w:tr2bl w:val="nil"/>
            </w:tcBorders>
            <w:noWrap w:val="0"/>
            <w:vAlign w:val="center"/>
          </w:tcPr>
          <w:p w14:paraId="2B4E955D">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条款项号</w:t>
            </w:r>
          </w:p>
        </w:tc>
        <w:tc>
          <w:tcPr>
            <w:tcW w:w="7938" w:type="dxa"/>
            <w:tcBorders>
              <w:tl2br w:val="nil"/>
              <w:tr2bl w:val="nil"/>
            </w:tcBorders>
            <w:noWrap w:val="0"/>
            <w:vAlign w:val="center"/>
          </w:tcPr>
          <w:p w14:paraId="578AB49B">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b/>
                <w:color w:val="auto"/>
                <w:sz w:val="21"/>
                <w:szCs w:val="21"/>
                <w:highlight w:val="magenta"/>
              </w:rPr>
            </w:pPr>
            <w:r>
              <w:rPr>
                <w:rFonts w:hint="eastAsia" w:ascii="宋体" w:hAnsi="宋体" w:eastAsia="宋体" w:cs="宋体"/>
                <w:b/>
                <w:color w:val="auto"/>
                <w:sz w:val="21"/>
                <w:szCs w:val="21"/>
              </w:rPr>
              <w:t>内     容</w:t>
            </w:r>
          </w:p>
        </w:tc>
      </w:tr>
      <w:tr w14:paraId="0A63C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093" w:type="dxa"/>
            <w:gridSpan w:val="2"/>
            <w:tcBorders>
              <w:tl2br w:val="nil"/>
              <w:tr2bl w:val="nil"/>
            </w:tcBorders>
            <w:noWrap w:val="0"/>
            <w:vAlign w:val="center"/>
          </w:tcPr>
          <w:p w14:paraId="7228B162">
            <w:pPr>
              <w:keepNext w:val="0"/>
              <w:keepLines w:val="0"/>
              <w:pageBreakBefore w:val="0"/>
              <w:widowControl w:val="0"/>
              <w:kinsoku/>
              <w:wordWrap/>
              <w:overflowPunct/>
              <w:topLinePunct w:val="0"/>
              <w:autoSpaceDE/>
              <w:autoSpaceDN/>
              <w:bidi w:val="0"/>
              <w:snapToGrid/>
              <w:spacing w:line="312" w:lineRule="auto"/>
              <w:jc w:val="left"/>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对第五章《投标人须知》的修改及补充：</w:t>
            </w:r>
          </w:p>
        </w:tc>
      </w:tr>
      <w:tr w14:paraId="6A12F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093" w:type="dxa"/>
            <w:gridSpan w:val="2"/>
            <w:tcBorders>
              <w:tl2br w:val="nil"/>
              <w:tr2bl w:val="nil"/>
            </w:tcBorders>
            <w:noWrap w:val="0"/>
            <w:vAlign w:val="center"/>
          </w:tcPr>
          <w:p w14:paraId="5C9DE20E">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一、说明</w:t>
            </w:r>
          </w:p>
        </w:tc>
      </w:tr>
      <w:tr w14:paraId="65773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155" w:type="dxa"/>
            <w:tcBorders>
              <w:tl2br w:val="nil"/>
              <w:tr2bl w:val="nil"/>
            </w:tcBorders>
            <w:noWrap w:val="0"/>
            <w:vAlign w:val="center"/>
          </w:tcPr>
          <w:p w14:paraId="1A5A747E">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7938" w:type="dxa"/>
            <w:tcBorders>
              <w:tl2br w:val="nil"/>
              <w:tr2bl w:val="nil"/>
            </w:tcBorders>
            <w:noWrap w:val="0"/>
            <w:vAlign w:val="center"/>
          </w:tcPr>
          <w:p w14:paraId="39E20463">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名称：</w:t>
            </w:r>
            <w:r>
              <w:rPr>
                <w:rFonts w:hint="eastAsia" w:ascii="宋体" w:hAnsi="宋体" w:eastAsia="宋体" w:cs="宋体"/>
                <w:color w:val="auto"/>
                <w:kern w:val="28"/>
                <w:sz w:val="21"/>
                <w:szCs w:val="21"/>
                <w:lang w:eastAsia="zh-CN"/>
              </w:rPr>
              <w:t>佛山市三水云东海创智城产业发展有限公司</w:t>
            </w:r>
          </w:p>
          <w:p w14:paraId="6BB63F68">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资金来源：国有资产</w:t>
            </w:r>
          </w:p>
        </w:tc>
      </w:tr>
      <w:tr w14:paraId="48D74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155" w:type="dxa"/>
            <w:tcBorders>
              <w:tl2br w:val="nil"/>
              <w:tr2bl w:val="nil"/>
            </w:tcBorders>
            <w:noWrap w:val="0"/>
            <w:vAlign w:val="center"/>
          </w:tcPr>
          <w:p w14:paraId="1D407025">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7938" w:type="dxa"/>
            <w:tcBorders>
              <w:tl2br w:val="nil"/>
              <w:tr2bl w:val="nil"/>
            </w:tcBorders>
            <w:noWrap w:val="0"/>
            <w:vAlign w:val="center"/>
          </w:tcPr>
          <w:p w14:paraId="2C2AB4F7">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eastAsia="zh-CN"/>
              </w:rPr>
              <w:t>招标代理机构</w:t>
            </w:r>
            <w:r>
              <w:rPr>
                <w:rFonts w:hint="eastAsia" w:ascii="宋体" w:hAnsi="宋体" w:eastAsia="宋体" w:cs="宋体"/>
                <w:color w:val="auto"/>
                <w:sz w:val="21"/>
                <w:szCs w:val="21"/>
              </w:rPr>
              <w:t>：广东中</w:t>
            </w:r>
            <w:r>
              <w:rPr>
                <w:rFonts w:hint="eastAsia" w:ascii="宋体" w:hAnsi="宋体" w:eastAsia="宋体" w:cs="宋体"/>
                <w:color w:val="auto"/>
                <w:sz w:val="21"/>
                <w:szCs w:val="21"/>
                <w:highlight w:val="none"/>
              </w:rPr>
              <w:t>采招标有限公司</w:t>
            </w:r>
          </w:p>
          <w:p w14:paraId="5D26B908">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佛山市禅城区祖庙街道季华六路17号一座1603室</w:t>
            </w:r>
          </w:p>
          <w:p w14:paraId="54037AB8">
            <w:pPr>
              <w:keepNext w:val="0"/>
              <w:keepLines w:val="0"/>
              <w:pageBreakBefore w:val="0"/>
              <w:widowControl w:val="0"/>
              <w:kinsoku/>
              <w:wordWrap/>
              <w:overflowPunct/>
              <w:topLinePunct w:val="0"/>
              <w:autoSpaceDE/>
              <w:autoSpaceDN/>
              <w:bidi w:val="0"/>
              <w:adjustRightInd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电话：0757-81993027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0757-81279048</w:t>
            </w:r>
          </w:p>
        </w:tc>
      </w:tr>
      <w:tr w14:paraId="4F0DA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093" w:type="dxa"/>
            <w:gridSpan w:val="2"/>
            <w:tcBorders>
              <w:tl2br w:val="nil"/>
              <w:tr2bl w:val="nil"/>
            </w:tcBorders>
            <w:noWrap w:val="0"/>
            <w:vAlign w:val="center"/>
          </w:tcPr>
          <w:p w14:paraId="1CA9E7C8">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二、招标文件</w:t>
            </w:r>
          </w:p>
        </w:tc>
      </w:tr>
      <w:tr w14:paraId="0896A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155" w:type="dxa"/>
            <w:tcBorders>
              <w:tl2br w:val="nil"/>
              <w:tr2bl w:val="nil"/>
            </w:tcBorders>
            <w:noWrap w:val="0"/>
            <w:vAlign w:val="center"/>
          </w:tcPr>
          <w:p w14:paraId="00252036">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12.1</w:t>
            </w:r>
          </w:p>
        </w:tc>
        <w:tc>
          <w:tcPr>
            <w:tcW w:w="7938" w:type="dxa"/>
            <w:tcBorders>
              <w:tl2br w:val="nil"/>
              <w:tr2bl w:val="nil"/>
            </w:tcBorders>
            <w:noWrap w:val="0"/>
            <w:vAlign w:val="center"/>
          </w:tcPr>
          <w:p w14:paraId="45C386CA">
            <w:pPr>
              <w:keepNext w:val="0"/>
              <w:keepLines w:val="0"/>
              <w:pageBreakBefore w:val="0"/>
              <w:widowControl w:val="0"/>
              <w:kinsoku/>
              <w:wordWrap/>
              <w:overflowPunct/>
              <w:topLinePunct w:val="0"/>
              <w:autoSpaceDE/>
              <w:autoSpaceDN/>
              <w:bidi w:val="0"/>
              <w:adjustRightInd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集中答疑会或现场考察：不举行。</w:t>
            </w:r>
          </w:p>
        </w:tc>
      </w:tr>
      <w:tr w14:paraId="09F0B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155" w:type="dxa"/>
            <w:tcBorders>
              <w:tl2br w:val="nil"/>
              <w:tr2bl w:val="nil"/>
            </w:tcBorders>
            <w:noWrap w:val="0"/>
            <w:vAlign w:val="center"/>
          </w:tcPr>
          <w:p w14:paraId="2B17CBAC">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25.1</w:t>
            </w:r>
          </w:p>
        </w:tc>
        <w:tc>
          <w:tcPr>
            <w:tcW w:w="7938" w:type="dxa"/>
            <w:tcBorders>
              <w:tl2br w:val="nil"/>
              <w:tr2bl w:val="nil"/>
            </w:tcBorders>
            <w:noWrap w:val="0"/>
            <w:vAlign w:val="center"/>
          </w:tcPr>
          <w:p w14:paraId="2161AE13">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投标截止日期和时间：按招标文件第一章规定。</w:t>
            </w:r>
          </w:p>
        </w:tc>
      </w:tr>
      <w:tr w14:paraId="3F68B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093" w:type="dxa"/>
            <w:gridSpan w:val="2"/>
            <w:tcBorders>
              <w:tl2br w:val="nil"/>
              <w:tr2bl w:val="nil"/>
            </w:tcBorders>
            <w:noWrap w:val="0"/>
            <w:vAlign w:val="center"/>
          </w:tcPr>
          <w:p w14:paraId="75C68C51">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三、投标文件的编制</w:t>
            </w:r>
          </w:p>
        </w:tc>
      </w:tr>
      <w:tr w14:paraId="4991F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55" w:type="dxa"/>
            <w:tcBorders>
              <w:tl2br w:val="nil"/>
              <w:tr2bl w:val="nil"/>
            </w:tcBorders>
            <w:noWrap w:val="0"/>
            <w:vAlign w:val="center"/>
          </w:tcPr>
          <w:p w14:paraId="39EA1E73">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16.6</w:t>
            </w:r>
          </w:p>
        </w:tc>
        <w:tc>
          <w:tcPr>
            <w:tcW w:w="7938" w:type="dxa"/>
            <w:tcBorders>
              <w:tl2br w:val="nil"/>
              <w:tr2bl w:val="nil"/>
            </w:tcBorders>
            <w:noWrap w:val="0"/>
            <w:vAlign w:val="center"/>
          </w:tcPr>
          <w:p w14:paraId="48D41904">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投标人所报的投标价在合同执行过程中是固定不变的，不得以任何理由予以变更。</w:t>
            </w:r>
          </w:p>
        </w:tc>
      </w:tr>
      <w:tr w14:paraId="50AD7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5" w:type="dxa"/>
            <w:tcBorders>
              <w:tl2br w:val="nil"/>
              <w:tr2bl w:val="nil"/>
            </w:tcBorders>
            <w:noWrap w:val="0"/>
            <w:vAlign w:val="center"/>
          </w:tcPr>
          <w:p w14:paraId="69B1B568">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16.7</w:t>
            </w:r>
          </w:p>
        </w:tc>
        <w:tc>
          <w:tcPr>
            <w:tcW w:w="7938" w:type="dxa"/>
            <w:tcBorders>
              <w:tl2br w:val="nil"/>
              <w:tr2bl w:val="nil"/>
            </w:tcBorders>
            <w:noWrap w:val="0"/>
            <w:vAlign w:val="center"/>
          </w:tcPr>
          <w:p w14:paraId="1591DF1D">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不允许有备选方案，否则将被视为无效投标。</w:t>
            </w:r>
          </w:p>
        </w:tc>
      </w:tr>
      <w:tr w14:paraId="59792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5" w:type="dxa"/>
            <w:tcBorders>
              <w:tl2br w:val="nil"/>
              <w:tr2bl w:val="nil"/>
            </w:tcBorders>
            <w:noWrap w:val="0"/>
            <w:vAlign w:val="center"/>
          </w:tcPr>
          <w:p w14:paraId="0FC8F704">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16.8</w:t>
            </w:r>
          </w:p>
        </w:tc>
        <w:tc>
          <w:tcPr>
            <w:tcW w:w="7938" w:type="dxa"/>
            <w:tcBorders>
              <w:tl2br w:val="nil"/>
              <w:tr2bl w:val="nil"/>
            </w:tcBorders>
            <w:noWrap w:val="0"/>
            <w:vAlign w:val="center"/>
          </w:tcPr>
          <w:p w14:paraId="4A8C068E">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不允许附加条件报价，否则将被视为无效投标。</w:t>
            </w:r>
          </w:p>
        </w:tc>
      </w:tr>
      <w:tr w14:paraId="50402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5" w:type="dxa"/>
            <w:tcBorders>
              <w:tl2br w:val="nil"/>
              <w:tr2bl w:val="nil"/>
            </w:tcBorders>
            <w:noWrap w:val="0"/>
            <w:vAlign w:val="center"/>
          </w:tcPr>
          <w:p w14:paraId="6AB422A0">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7938" w:type="dxa"/>
            <w:tcBorders>
              <w:tl2br w:val="nil"/>
              <w:tr2bl w:val="nil"/>
            </w:tcBorders>
            <w:noWrap w:val="0"/>
            <w:vAlign w:val="center"/>
          </w:tcPr>
          <w:p w14:paraId="37956B3A">
            <w:pPr>
              <w:keepNext w:val="0"/>
              <w:keepLines w:val="0"/>
              <w:pageBreakBefore w:val="0"/>
              <w:widowControl w:val="0"/>
              <w:numPr>
                <w:ilvl w:val="0"/>
                <w:numId w:val="0"/>
              </w:numPr>
              <w:kinsoku/>
              <w:wordWrap/>
              <w:overflowPunct/>
              <w:topLinePunct w:val="0"/>
              <w:autoSpaceDE/>
              <w:autoSpaceDN/>
              <w:bidi w:val="0"/>
              <w:snapToGrid/>
              <w:spacing w:line="312" w:lineRule="auto"/>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本项目不收取投标保证金。</w:t>
            </w:r>
          </w:p>
        </w:tc>
      </w:tr>
      <w:tr w14:paraId="20A08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5" w:type="dxa"/>
            <w:tcBorders>
              <w:tl2br w:val="nil"/>
              <w:tr2bl w:val="nil"/>
            </w:tcBorders>
            <w:noWrap w:val="0"/>
            <w:vAlign w:val="center"/>
          </w:tcPr>
          <w:p w14:paraId="621B68AF">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22.1</w:t>
            </w:r>
          </w:p>
        </w:tc>
        <w:tc>
          <w:tcPr>
            <w:tcW w:w="7938" w:type="dxa"/>
            <w:tcBorders>
              <w:tl2br w:val="nil"/>
              <w:tr2bl w:val="nil"/>
            </w:tcBorders>
            <w:noWrap w:val="0"/>
            <w:vAlign w:val="center"/>
          </w:tcPr>
          <w:p w14:paraId="70F3D3BE">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投标有效期：90天。</w:t>
            </w:r>
          </w:p>
        </w:tc>
      </w:tr>
      <w:tr w14:paraId="123DF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5" w:type="dxa"/>
            <w:tcBorders>
              <w:tl2br w:val="nil"/>
              <w:tr2bl w:val="nil"/>
            </w:tcBorders>
            <w:noWrap w:val="0"/>
            <w:vAlign w:val="center"/>
          </w:tcPr>
          <w:p w14:paraId="515B82FE">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23.1</w:t>
            </w:r>
          </w:p>
        </w:tc>
        <w:tc>
          <w:tcPr>
            <w:tcW w:w="7938" w:type="dxa"/>
            <w:tcBorders>
              <w:tl2br w:val="nil"/>
              <w:tr2bl w:val="nil"/>
            </w:tcBorders>
            <w:noWrap w:val="0"/>
            <w:vAlign w:val="center"/>
          </w:tcPr>
          <w:p w14:paraId="728B36CE">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投标文件份数：正本一份，</w:t>
            </w:r>
            <w:r>
              <w:rPr>
                <w:rFonts w:hint="eastAsia" w:ascii="宋体" w:hAnsi="宋体" w:eastAsia="宋体" w:cs="宋体"/>
                <w:color w:val="auto"/>
                <w:sz w:val="21"/>
                <w:szCs w:val="21"/>
                <w:lang w:eastAsia="zh-CN"/>
              </w:rPr>
              <w:t>副本五份</w:t>
            </w:r>
            <w:r>
              <w:rPr>
                <w:rFonts w:hint="eastAsia" w:ascii="宋体" w:hAnsi="宋体" w:eastAsia="宋体" w:cs="宋体"/>
                <w:color w:val="auto"/>
                <w:sz w:val="21"/>
                <w:szCs w:val="21"/>
              </w:rPr>
              <w:t>，电子文件一份。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注：电子文件要求签署、盖章后的正本投标文件扫描成PDF格式后拷贝至无病毒无密码的U盘或光盘，提交后不退回。</w:t>
            </w:r>
            <w:r>
              <w:rPr>
                <w:rFonts w:hint="eastAsia" w:ascii="宋体" w:hAnsi="宋体" w:eastAsia="宋体" w:cs="宋体"/>
                <w:color w:val="auto"/>
                <w:sz w:val="21"/>
                <w:szCs w:val="21"/>
                <w:highlight w:val="none"/>
                <w:lang w:eastAsia="zh-CN"/>
              </w:rPr>
              <w:t>）</w:t>
            </w:r>
          </w:p>
        </w:tc>
      </w:tr>
      <w:tr w14:paraId="6A591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093" w:type="dxa"/>
            <w:gridSpan w:val="2"/>
            <w:tcBorders>
              <w:tl2br w:val="nil"/>
              <w:tr2bl w:val="nil"/>
            </w:tcBorders>
            <w:noWrap w:val="0"/>
            <w:vAlign w:val="center"/>
          </w:tcPr>
          <w:p w14:paraId="1F5CF4EF">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四、投标文件的递交</w:t>
            </w:r>
          </w:p>
        </w:tc>
      </w:tr>
      <w:tr w14:paraId="6BAFB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5" w:type="dxa"/>
            <w:tcBorders>
              <w:tl2br w:val="nil"/>
              <w:tr2bl w:val="nil"/>
            </w:tcBorders>
            <w:noWrap w:val="0"/>
            <w:vAlign w:val="center"/>
          </w:tcPr>
          <w:p w14:paraId="1D70D35B">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25.1</w:t>
            </w:r>
          </w:p>
        </w:tc>
        <w:tc>
          <w:tcPr>
            <w:tcW w:w="7938" w:type="dxa"/>
            <w:tcBorders>
              <w:tl2br w:val="nil"/>
              <w:tr2bl w:val="nil"/>
            </w:tcBorders>
            <w:noWrap w:val="0"/>
            <w:vAlign w:val="center"/>
          </w:tcPr>
          <w:p w14:paraId="59CF9290">
            <w:pPr>
              <w:keepNext w:val="0"/>
              <w:keepLines w:val="0"/>
              <w:pageBreakBefore w:val="0"/>
              <w:widowControl w:val="0"/>
              <w:kinsoku/>
              <w:wordWrap/>
              <w:overflowPunct/>
              <w:topLinePunct w:val="0"/>
              <w:autoSpaceDE/>
              <w:autoSpaceDN/>
              <w:bidi w:val="0"/>
              <w:snapToGrid/>
              <w:spacing w:line="312" w:lineRule="auto"/>
              <w:ind w:left="105" w:hanging="105" w:hanging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投标文件递交地址：按招标文件第一章投标邀请中规定。</w:t>
            </w:r>
          </w:p>
        </w:tc>
      </w:tr>
      <w:tr w14:paraId="558D8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5" w:type="dxa"/>
            <w:tcBorders>
              <w:tl2br w:val="nil"/>
              <w:tr2bl w:val="nil"/>
            </w:tcBorders>
            <w:noWrap w:val="0"/>
            <w:vAlign w:val="center"/>
          </w:tcPr>
          <w:p w14:paraId="2AD76C08">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27.1</w:t>
            </w:r>
          </w:p>
        </w:tc>
        <w:tc>
          <w:tcPr>
            <w:tcW w:w="7938" w:type="dxa"/>
            <w:tcBorders>
              <w:tl2br w:val="nil"/>
              <w:tr2bl w:val="nil"/>
            </w:tcBorders>
            <w:noWrap w:val="0"/>
            <w:vAlign w:val="center"/>
          </w:tcPr>
          <w:p w14:paraId="6E2E751F">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开标日期、时间和地点：按招标文件第一章投标邀请中规定。</w:t>
            </w:r>
          </w:p>
        </w:tc>
      </w:tr>
      <w:tr w14:paraId="650A9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093" w:type="dxa"/>
            <w:gridSpan w:val="2"/>
            <w:tcBorders>
              <w:tl2br w:val="nil"/>
              <w:tr2bl w:val="nil"/>
            </w:tcBorders>
            <w:noWrap w:val="0"/>
            <w:vAlign w:val="center"/>
          </w:tcPr>
          <w:p w14:paraId="6D19985F">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五、开标与评标</w:t>
            </w:r>
          </w:p>
        </w:tc>
      </w:tr>
      <w:tr w14:paraId="49A2EA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5" w:type="dxa"/>
            <w:tcBorders>
              <w:tl2br w:val="nil"/>
              <w:tr2bl w:val="nil"/>
            </w:tcBorders>
            <w:noWrap w:val="0"/>
            <w:vAlign w:val="center"/>
          </w:tcPr>
          <w:p w14:paraId="1022415D">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7938" w:type="dxa"/>
            <w:tcBorders>
              <w:tl2br w:val="nil"/>
              <w:tr2bl w:val="nil"/>
            </w:tcBorders>
            <w:noWrap w:val="0"/>
            <w:vAlign w:val="center"/>
          </w:tcPr>
          <w:p w14:paraId="78DFF074">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评标委员会由5名单数</w:t>
            </w:r>
            <w:r>
              <w:rPr>
                <w:rFonts w:hint="eastAsia" w:ascii="宋体" w:hAnsi="宋体" w:eastAsia="宋体" w:cs="宋体"/>
                <w:color w:val="auto"/>
                <w:kern w:val="0"/>
                <w:sz w:val="21"/>
                <w:szCs w:val="21"/>
                <w:highlight w:val="none"/>
                <w:lang w:val="en-US" w:eastAsia="zh-CN"/>
              </w:rPr>
              <w:t>成员</w:t>
            </w:r>
            <w:r>
              <w:rPr>
                <w:rFonts w:hint="eastAsia" w:ascii="宋体" w:hAnsi="宋体" w:eastAsia="宋体" w:cs="宋体"/>
                <w:color w:val="auto"/>
                <w:kern w:val="0"/>
                <w:sz w:val="21"/>
                <w:szCs w:val="21"/>
                <w:highlight w:val="none"/>
                <w:lang w:val="zh-CN"/>
              </w:rPr>
              <w:t>组成。</w:t>
            </w:r>
          </w:p>
        </w:tc>
      </w:tr>
      <w:tr w14:paraId="6DC5E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5" w:type="dxa"/>
            <w:tcBorders>
              <w:tl2br w:val="nil"/>
              <w:tr2bl w:val="nil"/>
            </w:tcBorders>
            <w:noWrap w:val="0"/>
            <w:vAlign w:val="center"/>
          </w:tcPr>
          <w:p w14:paraId="72A92E33">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7938" w:type="dxa"/>
            <w:tcBorders>
              <w:tl2br w:val="nil"/>
              <w:tr2bl w:val="nil"/>
            </w:tcBorders>
            <w:noWrap w:val="0"/>
            <w:vAlign w:val="center"/>
          </w:tcPr>
          <w:p w14:paraId="426F21C8">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评标方法：采用综合评分法。</w:t>
            </w:r>
          </w:p>
        </w:tc>
      </w:tr>
      <w:tr w14:paraId="032D9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5" w:type="dxa"/>
            <w:tcBorders>
              <w:tl2br w:val="nil"/>
              <w:tr2bl w:val="nil"/>
            </w:tcBorders>
            <w:noWrap w:val="0"/>
            <w:vAlign w:val="center"/>
          </w:tcPr>
          <w:p w14:paraId="33AA94F8">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p>
        </w:tc>
        <w:tc>
          <w:tcPr>
            <w:tcW w:w="7938" w:type="dxa"/>
            <w:tcBorders>
              <w:tl2br w:val="nil"/>
              <w:tr2bl w:val="nil"/>
            </w:tcBorders>
            <w:noWrap w:val="0"/>
            <w:vAlign w:val="center"/>
          </w:tcPr>
          <w:p w14:paraId="1055927D">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定标原则：推荐综合得分排名第一的投标人为第一中标候选人，排名第二的投标人为第二中标候选人。</w:t>
            </w:r>
          </w:p>
        </w:tc>
      </w:tr>
      <w:tr w14:paraId="5AAC1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093" w:type="dxa"/>
            <w:gridSpan w:val="2"/>
            <w:tcBorders>
              <w:tl2br w:val="nil"/>
              <w:tr2bl w:val="nil"/>
            </w:tcBorders>
            <w:noWrap w:val="0"/>
            <w:vAlign w:val="center"/>
          </w:tcPr>
          <w:p w14:paraId="4B57FC30">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六、授予合同</w:t>
            </w:r>
          </w:p>
        </w:tc>
      </w:tr>
      <w:tr w14:paraId="6F555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5" w:type="dxa"/>
            <w:tcBorders>
              <w:tl2br w:val="nil"/>
              <w:tr2bl w:val="nil"/>
            </w:tcBorders>
            <w:noWrap w:val="0"/>
            <w:vAlign w:val="center"/>
          </w:tcPr>
          <w:p w14:paraId="328C75CB">
            <w:pPr>
              <w:keepNext w:val="0"/>
              <w:keepLines w:val="0"/>
              <w:pageBreakBefore w:val="0"/>
              <w:widowControl w:val="0"/>
              <w:kinsoku/>
              <w:wordWrap/>
              <w:overflowPunct/>
              <w:topLinePunct w:val="0"/>
              <w:autoSpaceDE/>
              <w:autoSpaceDN/>
              <w:bidi w:val="0"/>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.1</w:t>
            </w:r>
          </w:p>
        </w:tc>
        <w:tc>
          <w:tcPr>
            <w:tcW w:w="7938" w:type="dxa"/>
            <w:tcBorders>
              <w:tl2br w:val="nil"/>
              <w:tr2bl w:val="nil"/>
            </w:tcBorders>
            <w:noWrap w:val="0"/>
            <w:vAlign w:val="center"/>
          </w:tcPr>
          <w:p w14:paraId="127D7020">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合同签订时间：自《中标通知书》发出之日起三十日内</w:t>
            </w:r>
            <w:r>
              <w:rPr>
                <w:rFonts w:hint="eastAsia" w:ascii="宋体" w:hAnsi="宋体" w:cs="宋体"/>
                <w:color w:val="auto"/>
                <w:sz w:val="21"/>
                <w:szCs w:val="21"/>
                <w:highlight w:val="none"/>
                <w:lang w:eastAsia="zh-CN"/>
              </w:rPr>
              <w:t>。</w:t>
            </w:r>
          </w:p>
        </w:tc>
      </w:tr>
      <w:tr w14:paraId="640BB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5" w:type="dxa"/>
            <w:tcBorders>
              <w:tl2br w:val="nil"/>
              <w:tr2bl w:val="nil"/>
            </w:tcBorders>
            <w:noWrap w:val="0"/>
            <w:vAlign w:val="center"/>
          </w:tcPr>
          <w:p w14:paraId="719C960B">
            <w:pPr>
              <w:keepNext w:val="0"/>
              <w:keepLines w:val="0"/>
              <w:pageBreakBefore w:val="0"/>
              <w:widowControl w:val="0"/>
              <w:kinsoku/>
              <w:wordWrap/>
              <w:overflowPunct/>
              <w:topLinePunct w:val="0"/>
              <w:autoSpaceDE/>
              <w:autoSpaceDN/>
              <w:bidi w:val="0"/>
              <w:adjustRightInd w:val="0"/>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p>
        </w:tc>
        <w:tc>
          <w:tcPr>
            <w:tcW w:w="7938" w:type="dxa"/>
            <w:tcBorders>
              <w:tl2br w:val="nil"/>
              <w:tr2bl w:val="nil"/>
            </w:tcBorders>
            <w:noWrap w:val="0"/>
            <w:vAlign w:val="center"/>
          </w:tcPr>
          <w:p w14:paraId="03FCFA5B">
            <w:pPr>
              <w:keepNext w:val="0"/>
              <w:keepLines w:val="0"/>
              <w:pageBreakBefore w:val="0"/>
              <w:widowControl w:val="0"/>
              <w:kinsoku/>
              <w:wordWrap/>
              <w:overflowPunct/>
              <w:topLinePunct w:val="0"/>
              <w:autoSpaceDE/>
              <w:autoSpaceDN/>
              <w:bidi w:val="0"/>
              <w:adjustRightInd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val="en-US" w:eastAsia="zh-CN"/>
              </w:rPr>
              <w:t>详见用户需求书</w:t>
            </w:r>
            <w:r>
              <w:rPr>
                <w:rFonts w:hint="eastAsia" w:ascii="宋体" w:hAnsi="宋体" w:cs="宋体"/>
                <w:color w:val="auto"/>
                <w:lang w:eastAsia="zh-CN"/>
              </w:rPr>
              <w:t>。</w:t>
            </w:r>
          </w:p>
        </w:tc>
      </w:tr>
      <w:tr w14:paraId="5EE7E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5" w:type="dxa"/>
            <w:tcBorders>
              <w:tl2br w:val="nil"/>
              <w:tr2bl w:val="nil"/>
            </w:tcBorders>
            <w:noWrap w:val="0"/>
            <w:vAlign w:val="center"/>
          </w:tcPr>
          <w:p w14:paraId="7896ABB2">
            <w:pPr>
              <w:keepNext w:val="0"/>
              <w:keepLines w:val="0"/>
              <w:pageBreakBefore w:val="0"/>
              <w:widowControl w:val="0"/>
              <w:kinsoku/>
              <w:wordWrap/>
              <w:overflowPunct/>
              <w:topLinePunct w:val="0"/>
              <w:autoSpaceDE/>
              <w:autoSpaceDN/>
              <w:bidi w:val="0"/>
              <w:adjustRightInd w:val="0"/>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p>
        </w:tc>
        <w:tc>
          <w:tcPr>
            <w:tcW w:w="7938" w:type="dxa"/>
            <w:tcBorders>
              <w:tl2br w:val="nil"/>
              <w:tr2bl w:val="nil"/>
            </w:tcBorders>
            <w:noWrap w:val="0"/>
            <w:vAlign w:val="top"/>
          </w:tcPr>
          <w:p w14:paraId="4F2C872D">
            <w:pPr>
              <w:keepNext w:val="0"/>
              <w:keepLines w:val="0"/>
              <w:pageBreakBefore w:val="0"/>
              <w:widowControl w:val="0"/>
              <w:numPr>
                <w:ilvl w:val="0"/>
                <w:numId w:val="7"/>
              </w:numPr>
              <w:kinsoku/>
              <w:wordWrap/>
              <w:overflowPunct/>
              <w:topLinePunct w:val="0"/>
              <w:autoSpaceDE/>
              <w:autoSpaceDN/>
              <w:bidi w:val="0"/>
              <w:adjustRightInd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中标人须向</w:t>
            </w:r>
            <w:r>
              <w:rPr>
                <w:rFonts w:hint="eastAsia" w:ascii="宋体" w:hAnsi="宋体" w:eastAsia="宋体" w:cs="宋体"/>
                <w:color w:val="auto"/>
                <w:sz w:val="21"/>
                <w:szCs w:val="21"/>
                <w:highlight w:val="none"/>
                <w:lang w:eastAsia="zh-CN"/>
              </w:rPr>
              <w:t>招标代理机构</w:t>
            </w:r>
            <w:r>
              <w:rPr>
                <w:rFonts w:hint="eastAsia" w:ascii="宋体" w:hAnsi="宋体" w:eastAsia="宋体" w:cs="宋体"/>
                <w:color w:val="auto"/>
                <w:sz w:val="21"/>
                <w:szCs w:val="21"/>
                <w:highlight w:val="none"/>
              </w:rPr>
              <w:t>按如下标准和规定缴纳招标代理服务费：</w:t>
            </w:r>
          </w:p>
          <w:p w14:paraId="2B3FE760">
            <w:pPr>
              <w:keepNext w:val="0"/>
              <w:keepLines w:val="0"/>
              <w:pageBreakBefore w:val="0"/>
              <w:widowControl w:val="0"/>
              <w:kinsoku/>
              <w:wordWrap/>
              <w:overflowPunct/>
              <w:topLinePunct w:val="0"/>
              <w:autoSpaceDE/>
              <w:autoSpaceDN/>
              <w:bidi w:val="0"/>
              <w:adjustRightInd w:val="0"/>
              <w:snapToGrid/>
              <w:spacing w:line="312"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（1）以中标通知书的</w:t>
            </w:r>
            <w:r>
              <w:rPr>
                <w:rFonts w:hint="eastAsia" w:ascii="宋体" w:hAnsi="宋体" w:eastAsia="宋体" w:cs="宋体"/>
                <w:bCs/>
                <w:color w:val="auto"/>
                <w:sz w:val="21"/>
                <w:szCs w:val="21"/>
                <w:highlight w:val="none"/>
              </w:rPr>
              <w:t>中标金额作为招标代理服务费的计算基数。</w:t>
            </w:r>
            <w:r>
              <w:rPr>
                <w:rFonts w:hint="eastAsia" w:ascii="宋体" w:hAnsi="宋体" w:eastAsia="宋体" w:cs="宋体"/>
                <w:color w:val="auto"/>
                <w:sz w:val="21"/>
                <w:szCs w:val="21"/>
                <w:highlight w:val="none"/>
              </w:rPr>
              <w:t>招标代理服务费收费采用差额定率累进法计算方式。按中华人民共和国国家发展计划委员会颁发的计价格[2002]1980号、国家发改委[2003]857号及发改价格</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2011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534号文规定的“</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类”计算。</w:t>
            </w:r>
            <w:r>
              <w:rPr>
                <w:rFonts w:hint="eastAsia" w:ascii="宋体" w:hAnsi="宋体" w:cs="宋体"/>
                <w:color w:val="auto"/>
                <w:sz w:val="21"/>
                <w:szCs w:val="21"/>
                <w:highlight w:val="none"/>
                <w:lang w:val="en-US" w:eastAsia="zh-CN"/>
              </w:rPr>
              <w:t>实际缴纳招标代理服务费=招标代理服务费×80.28%。</w:t>
            </w:r>
          </w:p>
          <w:p w14:paraId="2D54348A">
            <w:pPr>
              <w:keepNext w:val="0"/>
              <w:keepLines w:val="0"/>
              <w:pageBreakBefore w:val="0"/>
              <w:widowControl w:val="0"/>
              <w:kinsoku/>
              <w:wordWrap/>
              <w:overflowPunct/>
              <w:topLinePunct w:val="0"/>
              <w:autoSpaceDE/>
              <w:autoSpaceDN/>
              <w:bidi w:val="0"/>
              <w:adjustRightInd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（2）招标代理服务费的缴纳形式：向</w:t>
            </w:r>
            <w:r>
              <w:rPr>
                <w:rFonts w:hint="eastAsia" w:ascii="宋体" w:hAnsi="宋体" w:eastAsia="宋体" w:cs="宋体"/>
                <w:color w:val="auto"/>
                <w:sz w:val="21"/>
                <w:szCs w:val="21"/>
                <w:highlight w:val="none"/>
                <w:lang w:eastAsia="zh-CN"/>
              </w:rPr>
              <w:t>招标代理机构</w:t>
            </w:r>
            <w:r>
              <w:rPr>
                <w:rFonts w:hint="eastAsia" w:ascii="宋体" w:hAnsi="宋体" w:eastAsia="宋体" w:cs="宋体"/>
                <w:color w:val="auto"/>
                <w:sz w:val="21"/>
                <w:szCs w:val="21"/>
                <w:highlight w:val="none"/>
              </w:rPr>
              <w:t xml:space="preserve">直接缴纳招标代理服务费。可用支票、汇票、电汇、现金等付款方式。 </w:t>
            </w:r>
          </w:p>
          <w:p w14:paraId="20B6AAB0">
            <w:pPr>
              <w:keepNext w:val="0"/>
              <w:keepLines w:val="0"/>
              <w:pageBreakBefore w:val="0"/>
              <w:widowControl w:val="0"/>
              <w:numPr>
                <w:ilvl w:val="0"/>
                <w:numId w:val="7"/>
              </w:numPr>
              <w:kinsoku/>
              <w:wordWrap/>
              <w:overflowPunct/>
              <w:topLinePunct w:val="0"/>
              <w:autoSpaceDE/>
              <w:autoSpaceDN/>
              <w:bidi w:val="0"/>
              <w:adjustRightInd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投标人应签署第七章所附格式的招标代理服务费承诺书，作为投标文件的一部分。</w:t>
            </w:r>
          </w:p>
          <w:p w14:paraId="559DE79B">
            <w:pPr>
              <w:keepNext w:val="0"/>
              <w:keepLines w:val="0"/>
              <w:pageBreakBefore w:val="0"/>
              <w:widowControl w:val="0"/>
              <w:numPr>
                <w:ilvl w:val="0"/>
                <w:numId w:val="7"/>
              </w:numPr>
              <w:kinsoku/>
              <w:wordWrap/>
              <w:overflowPunct/>
              <w:topLinePunct w:val="0"/>
              <w:autoSpaceDE/>
              <w:autoSpaceDN/>
              <w:bidi w:val="0"/>
              <w:adjustRightInd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lang w:eastAsia="zh-CN"/>
              </w:rPr>
              <w:t>中标</w:t>
            </w:r>
            <w:r>
              <w:rPr>
                <w:rFonts w:hint="eastAsia" w:ascii="宋体" w:hAnsi="宋体" w:eastAsia="宋体" w:cs="宋体"/>
                <w:color w:val="auto"/>
                <w:szCs w:val="21"/>
              </w:rPr>
              <w:t>通知书须凭领取人的身份证复印件并加盖公章到</w:t>
            </w:r>
            <w:r>
              <w:rPr>
                <w:rFonts w:hint="eastAsia" w:ascii="宋体" w:hAnsi="宋体" w:eastAsia="宋体" w:cs="宋体"/>
                <w:color w:val="auto"/>
                <w:szCs w:val="21"/>
                <w:lang w:eastAsia="zh-CN"/>
              </w:rPr>
              <w:t>招标代理机构</w:t>
            </w:r>
            <w:r>
              <w:rPr>
                <w:rFonts w:hint="eastAsia" w:ascii="宋体" w:hAnsi="宋体" w:eastAsia="宋体" w:cs="宋体"/>
                <w:b/>
                <w:bCs/>
                <w:color w:val="auto"/>
                <w:szCs w:val="21"/>
              </w:rPr>
              <w:t>现场领取或邮寄</w:t>
            </w:r>
            <w:r>
              <w:rPr>
                <w:rFonts w:hint="eastAsia" w:ascii="宋体" w:hAnsi="宋体" w:eastAsia="宋体" w:cs="宋体"/>
                <w:color w:val="auto"/>
                <w:szCs w:val="21"/>
                <w:lang w:eastAsia="zh-CN"/>
              </w:rPr>
              <w:t>中标</w:t>
            </w:r>
            <w:r>
              <w:rPr>
                <w:rFonts w:hint="eastAsia" w:ascii="宋体" w:hAnsi="宋体" w:eastAsia="宋体" w:cs="宋体"/>
                <w:color w:val="auto"/>
                <w:szCs w:val="21"/>
              </w:rPr>
              <w:t>通知书</w:t>
            </w:r>
            <w:r>
              <w:rPr>
                <w:rFonts w:hint="eastAsia" w:ascii="宋体" w:hAnsi="宋体" w:eastAsia="宋体" w:cs="宋体"/>
                <w:bCs/>
                <w:color w:val="auto"/>
                <w:sz w:val="21"/>
                <w:szCs w:val="21"/>
                <w:highlight w:val="none"/>
              </w:rPr>
              <w:t>。</w:t>
            </w:r>
          </w:p>
        </w:tc>
      </w:tr>
    </w:tbl>
    <w:p w14:paraId="1EB5E01C">
      <w:pPr>
        <w:adjustRightInd w:val="0"/>
        <w:snapToGrid w:val="0"/>
        <w:spacing w:before="156" w:beforeLines="50" w:after="156" w:afterLines="50" w:line="360" w:lineRule="auto"/>
        <w:jc w:val="center"/>
        <w:outlineLvl w:val="0"/>
        <w:rPr>
          <w:rFonts w:hint="eastAsia"/>
          <w:color w:val="auto"/>
        </w:rPr>
      </w:pPr>
      <w:r>
        <w:rPr>
          <w:color w:val="auto"/>
          <w:highlight w:val="none"/>
        </w:rPr>
        <w:br w:type="page"/>
      </w:r>
      <w:bookmarkStart w:id="2" w:name="_Toc32628"/>
      <w:r>
        <w:rPr>
          <w:rFonts w:hint="eastAsia"/>
          <w:b/>
          <w:bCs/>
          <w:color w:val="auto"/>
          <w:sz w:val="28"/>
          <w:szCs w:val="28"/>
        </w:rPr>
        <w:t>第三章  用户需求书</w:t>
      </w:r>
      <w:bookmarkEnd w:id="2"/>
    </w:p>
    <w:p w14:paraId="46224FEF">
      <w:pPr>
        <w:keepNext w:val="0"/>
        <w:keepLines w:val="0"/>
        <w:pageBreakBefore w:val="0"/>
        <w:widowControl w:val="0"/>
        <w:kinsoku/>
        <w:wordWrap/>
        <w:overflowPunct/>
        <w:topLinePunct w:val="0"/>
        <w:autoSpaceDE/>
        <w:autoSpaceDN/>
        <w:bidi w:val="0"/>
        <w:adjustRightInd/>
        <w:snapToGrid w:val="0"/>
        <w:spacing w:line="324" w:lineRule="auto"/>
        <w:textAlignment w:val="auto"/>
        <w:rPr>
          <w:rFonts w:hint="eastAsia" w:ascii="宋体"/>
          <w:b/>
          <w:bCs/>
          <w:color w:val="auto"/>
          <w:szCs w:val="20"/>
        </w:rPr>
      </w:pPr>
      <w:r>
        <w:rPr>
          <w:rFonts w:hint="eastAsia" w:ascii="宋体"/>
          <w:b/>
          <w:bCs/>
          <w:color w:val="auto"/>
          <w:szCs w:val="20"/>
        </w:rPr>
        <w:t>说明：</w:t>
      </w:r>
    </w:p>
    <w:p w14:paraId="7D4DD96F">
      <w:pPr>
        <w:keepNext w:val="0"/>
        <w:keepLines w:val="0"/>
        <w:pageBreakBefore w:val="0"/>
        <w:widowControl w:val="0"/>
        <w:numPr>
          <w:ilvl w:val="0"/>
          <w:numId w:val="8"/>
        </w:numPr>
        <w:kinsoku/>
        <w:wordWrap/>
        <w:overflowPunct/>
        <w:topLinePunct w:val="0"/>
        <w:autoSpaceDE/>
        <w:autoSpaceDN/>
        <w:bidi w:val="0"/>
        <w:adjustRightInd/>
        <w:spacing w:line="324" w:lineRule="auto"/>
        <w:textAlignment w:val="auto"/>
        <w:rPr>
          <w:rFonts w:hint="eastAsia" w:ascii="宋体" w:hAnsi="宋体" w:eastAsia="宋体" w:cs="宋体"/>
          <w:b/>
          <w:bCs/>
          <w:color w:val="auto"/>
          <w:highlight w:val="none"/>
        </w:rPr>
      </w:pPr>
      <w:r>
        <w:rPr>
          <w:rFonts w:hint="eastAsia" w:ascii="宋体" w:hAnsi="宋体"/>
          <w:b/>
          <w:bCs/>
          <w:color w:val="auto"/>
          <w:sz w:val="21"/>
          <w:szCs w:val="21"/>
          <w:highlight w:val="white"/>
        </w:rPr>
        <w:t>用户需求书中打“★”号条款（如有）及商务要求</w:t>
      </w:r>
      <w:r>
        <w:rPr>
          <w:rFonts w:hint="eastAsia" w:ascii="宋体" w:hAnsi="宋体"/>
          <w:b/>
          <w:bCs/>
          <w:color w:val="auto"/>
          <w:sz w:val="21"/>
          <w:szCs w:val="21"/>
          <w:highlight w:val="white"/>
          <w:lang w:eastAsia="zh-CN"/>
        </w:rPr>
        <w:t>所有条款</w:t>
      </w:r>
      <w:r>
        <w:rPr>
          <w:rFonts w:hint="eastAsia" w:ascii="宋体" w:hAnsi="宋体"/>
          <w:b/>
          <w:bCs/>
          <w:color w:val="auto"/>
          <w:sz w:val="21"/>
          <w:szCs w:val="21"/>
          <w:highlight w:val="white"/>
        </w:rPr>
        <w:t>均为实质性条款，投标人如有任何一条负偏离则导致投标无效</w:t>
      </w:r>
      <w:r>
        <w:rPr>
          <w:rFonts w:hint="eastAsia" w:ascii="宋体" w:hAnsi="宋体" w:eastAsia="宋体" w:cs="宋体"/>
          <w:b/>
          <w:bCs/>
          <w:color w:val="auto"/>
          <w:highlight w:val="none"/>
        </w:rPr>
        <w:t>。</w:t>
      </w:r>
    </w:p>
    <w:p w14:paraId="49E0669B">
      <w:pPr>
        <w:keepNext w:val="0"/>
        <w:keepLines w:val="0"/>
        <w:pageBreakBefore w:val="0"/>
        <w:widowControl w:val="0"/>
        <w:numPr>
          <w:ilvl w:val="0"/>
          <w:numId w:val="8"/>
        </w:numPr>
        <w:kinsoku/>
        <w:wordWrap/>
        <w:overflowPunct/>
        <w:topLinePunct w:val="0"/>
        <w:autoSpaceDE/>
        <w:autoSpaceDN/>
        <w:bidi w:val="0"/>
        <w:adjustRightInd/>
        <w:spacing w:line="324"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项目内容</w:t>
      </w:r>
    </w:p>
    <w:tbl>
      <w:tblPr>
        <w:tblStyle w:val="19"/>
        <w:tblW w:w="474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08"/>
        <w:gridCol w:w="1214"/>
        <w:gridCol w:w="2694"/>
        <w:gridCol w:w="2005"/>
      </w:tblGrid>
      <w:tr w14:paraId="7C877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685" w:type="pct"/>
            <w:shd w:val="clear" w:color="auto" w:fill="EEECE1"/>
            <w:noWrap w:val="0"/>
            <w:vAlign w:val="center"/>
          </w:tcPr>
          <w:p w14:paraId="7A049B67">
            <w:pPr>
              <w:spacing w:line="240" w:lineRule="auto"/>
              <w:jc w:val="center"/>
              <w:rPr>
                <w:rFonts w:hint="eastAsia" w:ascii="宋体"/>
                <w:b/>
                <w:color w:val="auto"/>
                <w:szCs w:val="21"/>
                <w:highlight w:val="none"/>
              </w:rPr>
            </w:pPr>
            <w:r>
              <w:rPr>
                <w:rFonts w:hint="eastAsia" w:ascii="宋体"/>
                <w:b/>
                <w:color w:val="auto"/>
                <w:szCs w:val="21"/>
                <w:highlight w:val="none"/>
              </w:rPr>
              <w:t>采购内容</w:t>
            </w:r>
          </w:p>
        </w:tc>
        <w:tc>
          <w:tcPr>
            <w:tcW w:w="680" w:type="pct"/>
            <w:shd w:val="clear" w:color="auto" w:fill="EEECE1"/>
            <w:noWrap w:val="0"/>
            <w:vAlign w:val="center"/>
          </w:tcPr>
          <w:p w14:paraId="43F26E1E">
            <w:pPr>
              <w:spacing w:line="240" w:lineRule="auto"/>
              <w:jc w:val="center"/>
              <w:rPr>
                <w:rFonts w:hint="eastAsia" w:ascii="宋体"/>
                <w:b/>
                <w:color w:val="auto"/>
                <w:szCs w:val="21"/>
                <w:highlight w:val="none"/>
              </w:rPr>
            </w:pPr>
            <w:r>
              <w:rPr>
                <w:rFonts w:hint="eastAsia" w:ascii="宋体"/>
                <w:b/>
                <w:color w:val="auto"/>
                <w:szCs w:val="21"/>
                <w:highlight w:val="none"/>
              </w:rPr>
              <w:t>数量</w:t>
            </w:r>
          </w:p>
        </w:tc>
        <w:tc>
          <w:tcPr>
            <w:tcW w:w="1509" w:type="pct"/>
            <w:shd w:val="clear" w:color="auto" w:fill="EEECE1"/>
            <w:noWrap w:val="0"/>
            <w:vAlign w:val="center"/>
          </w:tcPr>
          <w:p w14:paraId="408EC775">
            <w:pPr>
              <w:spacing w:line="240" w:lineRule="auto"/>
              <w:jc w:val="center"/>
              <w:rPr>
                <w:rFonts w:hint="eastAsia" w:ascii="宋体" w:eastAsia="宋体"/>
                <w:b/>
                <w:color w:val="auto"/>
                <w:szCs w:val="21"/>
                <w:highlight w:val="none"/>
                <w:lang w:eastAsia="zh-CN"/>
              </w:rPr>
            </w:pPr>
            <w:r>
              <w:rPr>
                <w:rFonts w:hint="eastAsia" w:ascii="宋体"/>
                <w:b/>
                <w:color w:val="auto"/>
                <w:szCs w:val="21"/>
                <w:highlight w:val="none"/>
                <w:lang w:eastAsia="zh-CN"/>
              </w:rPr>
              <w:t>服务期</w:t>
            </w:r>
          </w:p>
        </w:tc>
        <w:tc>
          <w:tcPr>
            <w:tcW w:w="1123" w:type="pct"/>
            <w:shd w:val="clear" w:color="auto" w:fill="EEECE1"/>
            <w:noWrap w:val="0"/>
            <w:vAlign w:val="center"/>
          </w:tcPr>
          <w:p w14:paraId="2B2AFC59">
            <w:pPr>
              <w:spacing w:line="240" w:lineRule="auto"/>
              <w:jc w:val="center"/>
              <w:rPr>
                <w:rFonts w:hint="eastAsia" w:ascii="宋体"/>
                <w:b/>
                <w:color w:val="auto"/>
                <w:szCs w:val="21"/>
                <w:highlight w:val="none"/>
                <w:lang w:val="en-US" w:eastAsia="zh-CN"/>
              </w:rPr>
            </w:pPr>
            <w:r>
              <w:rPr>
                <w:rFonts w:hint="eastAsia" w:ascii="宋体"/>
                <w:b/>
                <w:color w:val="auto"/>
                <w:szCs w:val="21"/>
                <w:highlight w:val="none"/>
                <w:lang w:val="en-US" w:eastAsia="zh-CN"/>
              </w:rPr>
              <w:t>最高单价限价</w:t>
            </w:r>
          </w:p>
          <w:p w14:paraId="41728F6F">
            <w:pPr>
              <w:spacing w:line="240" w:lineRule="auto"/>
              <w:jc w:val="center"/>
              <w:rPr>
                <w:rFonts w:hint="default" w:ascii="宋体" w:eastAsia="宋体"/>
                <w:b/>
                <w:color w:val="auto"/>
                <w:szCs w:val="21"/>
                <w:highlight w:val="none"/>
                <w:lang w:val="en-US" w:eastAsia="zh-CN"/>
              </w:rPr>
            </w:pPr>
            <w:r>
              <w:rPr>
                <w:rFonts w:hint="eastAsia" w:ascii="宋体"/>
                <w:b/>
                <w:color w:val="auto"/>
                <w:szCs w:val="21"/>
                <w:highlight w:val="none"/>
                <w:lang w:val="en-US" w:eastAsia="zh-CN"/>
              </w:rPr>
              <w:t>（人民币 元）</w:t>
            </w:r>
          </w:p>
        </w:tc>
      </w:tr>
      <w:tr w14:paraId="3E023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685" w:type="pct"/>
            <w:noWrap w:val="0"/>
            <w:vAlign w:val="center"/>
          </w:tcPr>
          <w:p w14:paraId="7D9B45BC">
            <w:pPr>
              <w:spacing w:line="240" w:lineRule="auto"/>
              <w:jc w:val="center"/>
              <w:rPr>
                <w:rFonts w:hint="eastAsia" w:ascii="宋体" w:eastAsia="宋体"/>
                <w:bCs/>
                <w:color w:val="auto"/>
                <w:szCs w:val="21"/>
                <w:highlight w:val="none"/>
                <w:lang w:eastAsia="zh-CN"/>
              </w:rPr>
            </w:pPr>
            <w:r>
              <w:rPr>
                <w:rFonts w:hint="eastAsia" w:ascii="宋体" w:hAnsi="宋体" w:eastAsia="宋体"/>
                <w:snapToGrid/>
                <w:color w:val="auto"/>
                <w:spacing w:val="0"/>
                <w:kern w:val="2"/>
                <w:sz w:val="21"/>
                <w:szCs w:val="21"/>
                <w:highlight w:val="none"/>
                <w:lang w:val="en-US" w:eastAsia="zh-CN"/>
              </w:rPr>
              <w:t>三水文化中心安保巡护</w:t>
            </w:r>
            <w:r>
              <w:rPr>
                <w:rFonts w:hint="eastAsia" w:ascii="宋体" w:hAnsi="宋体" w:cs="宋体"/>
                <w:color w:val="auto"/>
                <w:highlight w:val="none"/>
                <w:lang w:eastAsia="zh-CN"/>
              </w:rPr>
              <w:t>服务</w:t>
            </w:r>
          </w:p>
        </w:tc>
        <w:tc>
          <w:tcPr>
            <w:tcW w:w="680" w:type="pct"/>
            <w:noWrap w:val="0"/>
            <w:vAlign w:val="center"/>
          </w:tcPr>
          <w:p w14:paraId="61D5CEA5">
            <w:pPr>
              <w:spacing w:line="240" w:lineRule="auto"/>
              <w:jc w:val="center"/>
              <w:rPr>
                <w:rFonts w:hint="eastAsia" w:ascii="宋体"/>
                <w:bCs/>
                <w:color w:val="auto"/>
                <w:szCs w:val="21"/>
                <w:highlight w:val="none"/>
              </w:rPr>
            </w:pPr>
            <w:r>
              <w:rPr>
                <w:rFonts w:hint="eastAsia" w:ascii="宋体"/>
                <w:bCs/>
                <w:color w:val="auto"/>
                <w:szCs w:val="21"/>
                <w:highlight w:val="none"/>
                <w:lang w:val="en-US" w:eastAsia="zh-CN"/>
              </w:rPr>
              <w:t>一项</w:t>
            </w:r>
          </w:p>
        </w:tc>
        <w:tc>
          <w:tcPr>
            <w:tcW w:w="1509" w:type="pct"/>
            <w:vMerge w:val="restart"/>
            <w:noWrap w:val="0"/>
            <w:vAlign w:val="center"/>
          </w:tcPr>
          <w:p w14:paraId="7FEAA748">
            <w:pPr>
              <w:pStyle w:val="34"/>
              <w:spacing w:line="240" w:lineRule="auto"/>
              <w:ind w:firstLine="120"/>
              <w:jc w:val="center"/>
              <w:rPr>
                <w:rFonts w:hint="eastAsia"/>
                <w:snapToGrid/>
                <w:color w:val="auto"/>
                <w:spacing w:val="0"/>
                <w:kern w:val="2"/>
                <w:sz w:val="21"/>
                <w:szCs w:val="24"/>
                <w:highlight w:val="none"/>
                <w:lang w:val="en-US" w:eastAsia="zh-CN"/>
              </w:rPr>
            </w:pPr>
            <w:r>
              <w:rPr>
                <w:rFonts w:hint="eastAsia" w:ascii="宋体" w:hAnsi="宋体"/>
                <w:snapToGrid/>
                <w:color w:val="auto"/>
                <w:spacing w:val="0"/>
                <w:kern w:val="2"/>
                <w:sz w:val="21"/>
                <w:szCs w:val="21"/>
                <w:highlight w:val="none"/>
                <w:lang w:val="en-US" w:eastAsia="zh-CN"/>
              </w:rPr>
              <w:t>自合同签订之日起1年，即从2025年10月1日至2026年9月30日</w:t>
            </w:r>
          </w:p>
        </w:tc>
        <w:tc>
          <w:tcPr>
            <w:tcW w:w="1123" w:type="pct"/>
            <w:noWrap w:val="0"/>
            <w:vAlign w:val="center"/>
          </w:tcPr>
          <w:p w14:paraId="241E28F1">
            <w:pPr>
              <w:spacing w:line="24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1,440,000</w:t>
            </w:r>
            <w:r>
              <w:rPr>
                <w:rFonts w:hint="eastAsia" w:ascii="宋体" w:hAnsi="宋体" w:eastAsia="宋体" w:cs="宋体"/>
                <w:color w:val="auto"/>
                <w:highlight w:val="none"/>
                <w:lang w:eastAsia="zh-CN"/>
              </w:rPr>
              <w:t>.00</w:t>
            </w:r>
          </w:p>
        </w:tc>
      </w:tr>
      <w:tr w14:paraId="0869D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7" w:hRule="atLeast"/>
          <w:jc w:val="center"/>
        </w:trPr>
        <w:tc>
          <w:tcPr>
            <w:tcW w:w="1685" w:type="pct"/>
            <w:noWrap w:val="0"/>
            <w:vAlign w:val="center"/>
          </w:tcPr>
          <w:p w14:paraId="472D9AC1">
            <w:pPr>
              <w:spacing w:line="24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广东三水云东海湿地公园安保巡护服务</w:t>
            </w:r>
          </w:p>
        </w:tc>
        <w:tc>
          <w:tcPr>
            <w:tcW w:w="680" w:type="pct"/>
            <w:shd w:val="clear" w:color="auto" w:fill="auto"/>
            <w:noWrap w:val="0"/>
            <w:vAlign w:val="center"/>
          </w:tcPr>
          <w:p w14:paraId="7FC20F09">
            <w:pPr>
              <w:spacing w:line="240" w:lineRule="auto"/>
              <w:jc w:val="center"/>
              <w:rPr>
                <w:rFonts w:hint="eastAsia" w:ascii="宋体" w:hAnsi="Calibri" w:eastAsia="宋体" w:cs="Times New Roman"/>
                <w:bCs/>
                <w:color w:val="auto"/>
                <w:kern w:val="2"/>
                <w:sz w:val="21"/>
                <w:szCs w:val="21"/>
                <w:highlight w:val="none"/>
                <w:lang w:val="en-US" w:eastAsia="zh-CN" w:bidi="ar-SA"/>
              </w:rPr>
            </w:pPr>
            <w:r>
              <w:rPr>
                <w:rFonts w:hint="eastAsia" w:ascii="宋体"/>
                <w:bCs/>
                <w:color w:val="auto"/>
                <w:szCs w:val="21"/>
                <w:highlight w:val="none"/>
                <w:lang w:val="en-US" w:eastAsia="zh-CN"/>
              </w:rPr>
              <w:t>一项</w:t>
            </w:r>
          </w:p>
        </w:tc>
        <w:tc>
          <w:tcPr>
            <w:tcW w:w="1509" w:type="pct"/>
            <w:vMerge w:val="continue"/>
            <w:noWrap w:val="0"/>
            <w:vAlign w:val="center"/>
          </w:tcPr>
          <w:p w14:paraId="247C1EE5">
            <w:pPr>
              <w:pStyle w:val="34"/>
              <w:spacing w:line="240" w:lineRule="auto"/>
              <w:ind w:firstLine="120"/>
              <w:jc w:val="center"/>
              <w:rPr>
                <w:rFonts w:hint="eastAsia" w:ascii="宋体" w:hAnsi="宋体"/>
                <w:snapToGrid/>
                <w:color w:val="auto"/>
                <w:spacing w:val="0"/>
                <w:kern w:val="2"/>
                <w:sz w:val="21"/>
                <w:szCs w:val="21"/>
                <w:highlight w:val="none"/>
                <w:lang w:val="en-US" w:eastAsia="zh-CN"/>
              </w:rPr>
            </w:pPr>
          </w:p>
        </w:tc>
        <w:tc>
          <w:tcPr>
            <w:tcW w:w="1123" w:type="pct"/>
            <w:noWrap w:val="0"/>
            <w:vAlign w:val="center"/>
          </w:tcPr>
          <w:p w14:paraId="1474F7E6">
            <w:p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648,000.00</w:t>
            </w:r>
          </w:p>
        </w:tc>
      </w:tr>
      <w:tr w14:paraId="19E7A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jc w:val="center"/>
        </w:trPr>
        <w:tc>
          <w:tcPr>
            <w:tcW w:w="1685" w:type="pct"/>
            <w:noWrap w:val="0"/>
            <w:vAlign w:val="center"/>
          </w:tcPr>
          <w:p w14:paraId="3BF9BAF3">
            <w:pPr>
              <w:spacing w:line="240" w:lineRule="auto"/>
              <w:jc w:val="center"/>
              <w:rPr>
                <w:rFonts w:hint="default" w:ascii="宋体" w:hAnsi="宋体" w:cs="宋体"/>
                <w:color w:val="auto"/>
                <w:highlight w:val="none"/>
                <w:lang w:val="en-US" w:eastAsia="zh-CN"/>
              </w:rPr>
            </w:pPr>
            <w:r>
              <w:rPr>
                <w:rFonts w:hint="eastAsia" w:ascii="宋体" w:hAnsi="宋体" w:cs="宋体"/>
                <w:color w:val="auto"/>
                <w:highlight w:val="none"/>
                <w:lang w:eastAsia="zh-CN"/>
              </w:rPr>
              <w:t>临时增员</w:t>
            </w:r>
            <w:r>
              <w:rPr>
                <w:rFonts w:hint="eastAsia" w:ascii="宋体" w:hAnsi="宋体" w:cs="宋体"/>
                <w:color w:val="auto"/>
                <w:highlight w:val="none"/>
                <w:lang w:val="en-US" w:eastAsia="zh-CN"/>
              </w:rPr>
              <w:t>服务</w:t>
            </w:r>
          </w:p>
        </w:tc>
        <w:tc>
          <w:tcPr>
            <w:tcW w:w="680" w:type="pct"/>
            <w:shd w:val="clear" w:color="auto" w:fill="auto"/>
            <w:noWrap w:val="0"/>
            <w:vAlign w:val="center"/>
          </w:tcPr>
          <w:p w14:paraId="19A121D6">
            <w:pPr>
              <w:spacing w:line="240" w:lineRule="auto"/>
              <w:jc w:val="center"/>
              <w:rPr>
                <w:rFonts w:hint="eastAsia" w:ascii="宋体" w:hAnsi="Calibri" w:eastAsia="宋体" w:cs="Times New Roman"/>
                <w:bCs/>
                <w:color w:val="auto"/>
                <w:kern w:val="2"/>
                <w:sz w:val="21"/>
                <w:szCs w:val="21"/>
                <w:highlight w:val="none"/>
                <w:lang w:val="en-US" w:eastAsia="zh-CN" w:bidi="ar-SA"/>
              </w:rPr>
            </w:pPr>
            <w:r>
              <w:rPr>
                <w:rFonts w:hint="eastAsia" w:ascii="宋体"/>
                <w:bCs/>
                <w:color w:val="auto"/>
                <w:szCs w:val="21"/>
                <w:highlight w:val="none"/>
                <w:lang w:val="en-US" w:eastAsia="zh-CN"/>
              </w:rPr>
              <w:t>一项</w:t>
            </w:r>
          </w:p>
        </w:tc>
        <w:tc>
          <w:tcPr>
            <w:tcW w:w="1509" w:type="pct"/>
            <w:vMerge w:val="continue"/>
            <w:noWrap w:val="0"/>
            <w:vAlign w:val="center"/>
          </w:tcPr>
          <w:p w14:paraId="1FD981AA">
            <w:pPr>
              <w:pStyle w:val="34"/>
              <w:spacing w:line="240" w:lineRule="auto"/>
              <w:ind w:firstLine="120"/>
              <w:jc w:val="center"/>
              <w:rPr>
                <w:rFonts w:hint="eastAsia" w:ascii="宋体" w:hAnsi="宋体"/>
                <w:snapToGrid/>
                <w:color w:val="auto"/>
                <w:spacing w:val="0"/>
                <w:kern w:val="2"/>
                <w:sz w:val="21"/>
                <w:szCs w:val="21"/>
                <w:highlight w:val="none"/>
                <w:lang w:val="en-US" w:eastAsia="zh-CN"/>
              </w:rPr>
            </w:pPr>
          </w:p>
        </w:tc>
        <w:tc>
          <w:tcPr>
            <w:tcW w:w="1123" w:type="pct"/>
            <w:noWrap w:val="0"/>
            <w:vAlign w:val="center"/>
          </w:tcPr>
          <w:p w14:paraId="5CFC363A">
            <w:p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549,600.00</w:t>
            </w:r>
          </w:p>
        </w:tc>
      </w:tr>
    </w:tbl>
    <w:p w14:paraId="3CBC532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eastAsia="宋体" w:cs="宋体"/>
          <w:b/>
          <w:color w:val="auto"/>
          <w:lang w:val="en-US" w:eastAsia="zh-CN"/>
        </w:rPr>
      </w:pPr>
      <w:r>
        <w:rPr>
          <w:rFonts w:hint="eastAsia" w:ascii="宋体" w:hAnsi="宋体" w:eastAsia="宋体" w:cs="宋体"/>
          <w:b/>
          <w:color w:val="auto"/>
          <w:lang w:eastAsia="zh-CN"/>
        </w:rPr>
        <w:t>第一部分</w:t>
      </w:r>
      <w:r>
        <w:rPr>
          <w:rFonts w:hint="eastAsia" w:ascii="宋体" w:hAnsi="宋体" w:eastAsia="宋体" w:cs="宋体"/>
          <w:b/>
          <w:color w:val="auto"/>
          <w:lang w:val="en-US" w:eastAsia="zh-CN"/>
        </w:rPr>
        <w:t xml:space="preserve">  服务（技术）要求</w:t>
      </w:r>
    </w:p>
    <w:p w14:paraId="0580117C">
      <w:pPr>
        <w:keepNext w:val="0"/>
        <w:keepLines w:val="0"/>
        <w:pageBreakBefore w:val="0"/>
        <w:widowControl w:val="0"/>
        <w:numPr>
          <w:ilvl w:val="0"/>
          <w:numId w:val="9"/>
        </w:numPr>
        <w:tabs>
          <w:tab w:val="left" w:pos="540"/>
        </w:tabs>
        <w:kinsoku/>
        <w:wordWrap/>
        <w:overflowPunct/>
        <w:topLinePunct w:val="0"/>
        <w:autoSpaceDE/>
        <w:autoSpaceDN/>
        <w:bidi w:val="0"/>
        <w:adjustRightInd w:val="0"/>
        <w:snapToGrid/>
        <w:spacing w:line="312"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项目概况</w:t>
      </w:r>
    </w:p>
    <w:p w14:paraId="29D6C066">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spacing w:line="312" w:lineRule="auto"/>
        <w:ind w:leftChars="0" w:firstLine="420" w:firstLineChars="200"/>
        <w:textAlignment w:val="auto"/>
        <w:rPr>
          <w:rFonts w:hint="eastAsia" w:ascii="宋体" w:hAnsi="宋体" w:eastAsia="宋体" w:cs="宋体"/>
          <w:b/>
          <w:color w:val="auto"/>
          <w:highlight w:val="none"/>
        </w:rPr>
      </w:pPr>
      <w:r>
        <w:rPr>
          <w:rFonts w:hint="eastAsia" w:ascii="宋体" w:hAnsi="宋体" w:cs="宋体"/>
          <w:color w:val="auto"/>
          <w:highlight w:val="none"/>
          <w:lang w:val="en-US" w:eastAsia="zh-CN"/>
        </w:rPr>
        <w:t>本项目主要内容为佛山市三水云东海创智城产业发展有限公司（下称“招标人”）提供安保服务。项目地点为三水文化中心和广东三水云东海国家湿地公园，其中云东海街道荷湖南路1号三水文化中心，总建筑面积约13.6万㎡，分别由图书馆、档案馆、科技馆、文化馆和商业馆五大高标准文化建筑组成、广东三水云东海国家湿地公园，总面积约401.97公顷，环湖绿道13.14公里，设有南门北门两个主要出入口。</w:t>
      </w:r>
    </w:p>
    <w:p w14:paraId="0CA9B9FE">
      <w:pPr>
        <w:keepNext w:val="0"/>
        <w:keepLines w:val="0"/>
        <w:pageBreakBefore w:val="0"/>
        <w:widowControl w:val="0"/>
        <w:numPr>
          <w:ilvl w:val="0"/>
          <w:numId w:val="9"/>
        </w:numPr>
        <w:tabs>
          <w:tab w:val="left" w:pos="540"/>
        </w:tabs>
        <w:kinsoku/>
        <w:wordWrap/>
        <w:overflowPunct/>
        <w:topLinePunct w:val="0"/>
        <w:autoSpaceDE/>
        <w:autoSpaceDN/>
        <w:bidi w:val="0"/>
        <w:adjustRightInd w:val="0"/>
        <w:snapToGrid/>
        <w:spacing w:line="312"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安保</w:t>
      </w:r>
      <w:r>
        <w:rPr>
          <w:rFonts w:hint="eastAsia" w:ascii="宋体" w:hAnsi="宋体" w:eastAsia="宋体" w:cs="宋体"/>
          <w:b/>
          <w:color w:val="auto"/>
          <w:highlight w:val="none"/>
        </w:rPr>
        <w:t>服务要求</w:t>
      </w:r>
    </w:p>
    <w:p w14:paraId="3437DF2D">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rPr>
        <w:t>负责服务项目范围内的入口驻点管理、馆内驻点管理、治安巡护、巡逻、 防火、防爆、治安事故等安全防范工作，24小时值岗，在指定位置、指定地段站岗和巡逻，发生突发异常事件，应积极配合做好应急措施并妥善处理，为安全防范提供咨询服务，积极协助当地公安机关开展相关工作，并做好值班管理和日常台账记录整理等。做好值班管理和日常台账记录整理等。</w:t>
      </w:r>
    </w:p>
    <w:p w14:paraId="200B2F83">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负责协调安保、停车场全面管理工作。</w:t>
      </w:r>
    </w:p>
    <w:p w14:paraId="54DBFB5F">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安排保安人员日常工作与管理，协助</w:t>
      </w:r>
      <w:r>
        <w:rPr>
          <w:rFonts w:hint="eastAsia" w:ascii="宋体" w:hAnsi="宋体" w:cs="宋体"/>
          <w:color w:val="auto"/>
          <w:lang w:val="en-US" w:eastAsia="zh-CN"/>
        </w:rPr>
        <w:t>招标人</w:t>
      </w:r>
      <w:r>
        <w:rPr>
          <w:rFonts w:hint="eastAsia" w:ascii="宋体" w:hAnsi="宋体" w:eastAsia="宋体" w:cs="宋体"/>
          <w:color w:val="auto"/>
          <w:lang w:val="en-US" w:eastAsia="zh-CN"/>
        </w:rPr>
        <w:t>统筹处理日常安全事务，解决突发事件处置等工作。</w:t>
      </w:r>
    </w:p>
    <w:p w14:paraId="5AE6CAE8">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负责协助消防管理和防火巡查工作。</w:t>
      </w:r>
    </w:p>
    <w:p w14:paraId="205D4B86">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处理日常消防问题和隐患。</w:t>
      </w:r>
    </w:p>
    <w:p w14:paraId="59EE3821">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负责班组的考勤与培训以及日常管理工作。</w:t>
      </w:r>
    </w:p>
    <w:p w14:paraId="45D08F10">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处理当班发生各类事件。</w:t>
      </w:r>
    </w:p>
    <w:p w14:paraId="23C3EA5B">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对盗窃等违法行为进行制止并协助公安机关抓获嫌疑人；对乱发广告人员、推销人员等闲杂人员进行管理。</w:t>
      </w:r>
    </w:p>
    <w:p w14:paraId="0DDC5805">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保障秩序，发现不安全因素，及时有效地处理。人多拥挤时及时尽提醒义务。</w:t>
      </w:r>
    </w:p>
    <w:p w14:paraId="32975875">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及时开关公共区域的灯光、空调等。</w:t>
      </w:r>
    </w:p>
    <w:p w14:paraId="4144891F">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发现公共设施损坏及时向</w:t>
      </w:r>
      <w:r>
        <w:rPr>
          <w:rFonts w:hint="eastAsia" w:ascii="宋体" w:hAnsi="宋体" w:cs="宋体"/>
          <w:color w:val="auto"/>
          <w:lang w:val="en-US" w:eastAsia="zh-CN"/>
        </w:rPr>
        <w:t>招标人</w:t>
      </w:r>
      <w:r>
        <w:rPr>
          <w:rFonts w:hint="eastAsia" w:ascii="宋体" w:hAnsi="宋体" w:eastAsia="宋体" w:cs="宋体"/>
          <w:color w:val="auto"/>
          <w:lang w:val="en-US" w:eastAsia="zh-CN"/>
        </w:rPr>
        <w:t>相关部门报修。</w:t>
      </w:r>
    </w:p>
    <w:p w14:paraId="2F4DECBD">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做好公共区域管理，发现不文明行为应及时制止。</w:t>
      </w:r>
    </w:p>
    <w:p w14:paraId="6085FBD4">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协助</w:t>
      </w:r>
      <w:r>
        <w:rPr>
          <w:rFonts w:hint="eastAsia" w:ascii="宋体" w:hAnsi="宋体" w:cs="宋体"/>
          <w:color w:val="auto"/>
          <w:lang w:val="en-US" w:eastAsia="zh-CN"/>
        </w:rPr>
        <w:t>招标人</w:t>
      </w:r>
      <w:r>
        <w:rPr>
          <w:rFonts w:hint="eastAsia" w:ascii="宋体" w:hAnsi="宋体" w:eastAsia="宋体" w:cs="宋体"/>
          <w:color w:val="auto"/>
          <w:lang w:val="en-US" w:eastAsia="zh-CN"/>
        </w:rPr>
        <w:t>处理应急、突发事件；24小时全天候随叫随到。</w:t>
      </w:r>
    </w:p>
    <w:p w14:paraId="33239C99">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负责交通疏导。</w:t>
      </w:r>
    </w:p>
    <w:p w14:paraId="2E7F5630">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完成其他后勤服务有关的突击性工作。</w:t>
      </w:r>
    </w:p>
    <w:p w14:paraId="07D28B45">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负责</w:t>
      </w:r>
      <w:r>
        <w:rPr>
          <w:rFonts w:hint="eastAsia" w:ascii="宋体" w:hAnsi="宋体" w:cs="宋体"/>
          <w:color w:val="auto"/>
          <w:lang w:val="en-US" w:eastAsia="zh-CN"/>
        </w:rPr>
        <w:t>门岗</w:t>
      </w:r>
      <w:r>
        <w:rPr>
          <w:rFonts w:hint="eastAsia" w:ascii="宋体" w:hAnsi="宋体" w:eastAsia="宋体" w:cs="宋体"/>
          <w:color w:val="auto"/>
          <w:lang w:val="en-US" w:eastAsia="zh-CN"/>
        </w:rPr>
        <w:t>及电梯秩序的管理和应急处突，监督出入</w:t>
      </w:r>
      <w:r>
        <w:rPr>
          <w:rFonts w:hint="eastAsia" w:ascii="宋体" w:hAnsi="宋体" w:cs="宋体"/>
          <w:color w:val="auto"/>
          <w:lang w:val="en-US" w:eastAsia="zh-CN"/>
        </w:rPr>
        <w:t>门岗</w:t>
      </w:r>
      <w:r>
        <w:rPr>
          <w:rFonts w:hint="eastAsia" w:ascii="宋体" w:hAnsi="宋体" w:eastAsia="宋体" w:cs="宋体"/>
          <w:color w:val="auto"/>
          <w:lang w:val="en-US" w:eastAsia="zh-CN"/>
        </w:rPr>
        <w:t>的人员及物品，中班、晚班人员协助巡视外围情况。</w:t>
      </w:r>
    </w:p>
    <w:p w14:paraId="06FCBB87">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对出入人员进行严格的登记手续，做好物品（尤其是大件物品）的检查放行工作。</w:t>
      </w:r>
    </w:p>
    <w:p w14:paraId="1137C318">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sz w:val="21"/>
        </w:rPr>
        <w:t>视频监控室实行24小时值班，</w:t>
      </w:r>
      <w:r>
        <w:rPr>
          <w:rFonts w:hint="eastAsia" w:ascii="宋体" w:hAnsi="宋体" w:eastAsia="宋体" w:cs="宋体"/>
          <w:color w:val="auto"/>
          <w:sz w:val="21"/>
          <w:lang w:val="en-US" w:eastAsia="zh-CN"/>
        </w:rPr>
        <w:t>应</w:t>
      </w:r>
      <w:r>
        <w:rPr>
          <w:rFonts w:hint="eastAsia" w:ascii="宋体" w:hAnsi="宋体" w:eastAsia="宋体" w:cs="宋体"/>
          <w:color w:val="auto"/>
          <w:lang w:val="en-US" w:eastAsia="zh-CN"/>
        </w:rPr>
        <w:t>有详细的值班记录，并</w:t>
      </w:r>
      <w:r>
        <w:rPr>
          <w:rFonts w:hint="eastAsia" w:ascii="宋体" w:hAnsi="宋体" w:eastAsia="宋体" w:cs="宋体"/>
          <w:color w:val="auto"/>
          <w:sz w:val="21"/>
        </w:rPr>
        <w:t>与公安部门联动，服从当地公安部门有关规定与要求。</w:t>
      </w:r>
    </w:p>
    <w:p w14:paraId="6B591EA2">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认真监控安防摄像系统及消防设备，发现盗窃、治安及消防迹象，指挥巡逻保安员及时到达现场处理事件。</w:t>
      </w:r>
    </w:p>
    <w:p w14:paraId="2FDB24D5">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协助</w:t>
      </w:r>
      <w:r>
        <w:rPr>
          <w:rFonts w:hint="eastAsia" w:ascii="宋体" w:hAnsi="宋体" w:cs="宋体"/>
          <w:color w:val="auto"/>
          <w:lang w:val="en-US" w:eastAsia="zh-CN"/>
        </w:rPr>
        <w:t>招标人</w:t>
      </w:r>
      <w:r>
        <w:rPr>
          <w:rFonts w:hint="eastAsia" w:ascii="宋体" w:hAnsi="宋体" w:eastAsia="宋体" w:cs="宋体"/>
          <w:color w:val="auto"/>
          <w:lang w:val="en-US" w:eastAsia="zh-CN"/>
        </w:rPr>
        <w:t>监督消防维保单位的工作，确保消防设施、设备的正常运作。</w:t>
      </w:r>
    </w:p>
    <w:p w14:paraId="1A812A26">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按</w:t>
      </w:r>
      <w:r>
        <w:rPr>
          <w:rFonts w:hint="eastAsia" w:ascii="宋体" w:hAnsi="宋体" w:cs="宋体"/>
          <w:color w:val="auto"/>
          <w:lang w:val="en-US" w:eastAsia="zh-CN"/>
        </w:rPr>
        <w:t>招标人</w:t>
      </w:r>
      <w:r>
        <w:rPr>
          <w:rFonts w:hint="eastAsia" w:ascii="宋体" w:hAnsi="宋体" w:eastAsia="宋体" w:cs="宋体"/>
          <w:color w:val="auto"/>
          <w:lang w:val="en-US" w:eastAsia="zh-CN"/>
        </w:rPr>
        <w:t>要求，做好消防每日巡查、月度检查、季度考核及节假日消防安全检查工作以及相关表格记录。发现问题及时发出隐患整改通知并报告</w:t>
      </w:r>
      <w:r>
        <w:rPr>
          <w:rFonts w:hint="eastAsia" w:ascii="宋体" w:hAnsi="宋体" w:cs="宋体"/>
          <w:color w:val="auto"/>
          <w:lang w:val="en-US" w:eastAsia="zh-CN"/>
        </w:rPr>
        <w:t>招标人</w:t>
      </w:r>
      <w:r>
        <w:rPr>
          <w:rFonts w:hint="eastAsia" w:ascii="宋体" w:hAnsi="宋体" w:eastAsia="宋体" w:cs="宋体"/>
          <w:color w:val="auto"/>
          <w:lang w:val="en-US" w:eastAsia="zh-CN"/>
        </w:rPr>
        <w:t>管理部门。</w:t>
      </w:r>
    </w:p>
    <w:p w14:paraId="64133AE8">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制订可行的消防安全应急处理预案，并组织消防灭火演练。接到消防中心报警，保安员应在3分钟内到达烟感警报警点核实情况，如属火警迅速组织扑救和疏散。</w:t>
      </w:r>
    </w:p>
    <w:p w14:paraId="4BF41E73">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每季度对</w:t>
      </w:r>
      <w:r>
        <w:rPr>
          <w:rFonts w:hint="eastAsia" w:ascii="宋体" w:hAnsi="宋体" w:cs="宋体"/>
          <w:color w:val="auto"/>
          <w:lang w:val="en-US" w:eastAsia="zh-CN"/>
        </w:rPr>
        <w:t>招标人</w:t>
      </w:r>
      <w:r>
        <w:rPr>
          <w:rFonts w:hint="eastAsia" w:ascii="宋体" w:hAnsi="宋体" w:eastAsia="宋体" w:cs="宋体"/>
          <w:color w:val="auto"/>
          <w:lang w:val="en-US" w:eastAsia="zh-CN"/>
        </w:rPr>
        <w:t>各部门人员进行消防知识培训。</w:t>
      </w:r>
    </w:p>
    <w:p w14:paraId="3A96EEE2">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负责日常及特殊情况的秩序维护。</w:t>
      </w:r>
    </w:p>
    <w:p w14:paraId="1FA50CA6">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完成</w:t>
      </w:r>
      <w:r>
        <w:rPr>
          <w:rFonts w:hint="eastAsia" w:ascii="宋体" w:hAnsi="宋体" w:cs="宋体"/>
          <w:color w:val="auto"/>
          <w:lang w:val="en-US" w:eastAsia="zh-CN"/>
        </w:rPr>
        <w:t>招标人</w:t>
      </w:r>
      <w:r>
        <w:rPr>
          <w:rFonts w:hint="eastAsia" w:ascii="宋体" w:hAnsi="宋体" w:eastAsia="宋体" w:cs="宋体"/>
          <w:color w:val="auto"/>
          <w:lang w:val="en-US" w:eastAsia="zh-CN"/>
        </w:rPr>
        <w:t>突发、维稳等特殊任务。</w:t>
      </w:r>
    </w:p>
    <w:p w14:paraId="76BA3D15">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24小时安全巡逻、夜间消防巡查。</w:t>
      </w:r>
    </w:p>
    <w:p w14:paraId="74920707">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室内岗位临时顶换岗、就餐顶换岗、替休顶换岗。</w:t>
      </w:r>
    </w:p>
    <w:p w14:paraId="4D45F9A8">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协助</w:t>
      </w:r>
      <w:r>
        <w:rPr>
          <w:rFonts w:hint="eastAsia" w:ascii="宋体" w:hAnsi="宋体" w:cs="宋体"/>
          <w:color w:val="auto"/>
          <w:lang w:val="en-US" w:eastAsia="zh-CN"/>
        </w:rPr>
        <w:t>招标人</w:t>
      </w:r>
      <w:r>
        <w:rPr>
          <w:rFonts w:hint="eastAsia" w:ascii="宋体" w:hAnsi="宋体" w:eastAsia="宋体" w:cs="宋体"/>
          <w:color w:val="auto"/>
          <w:lang w:val="en-US" w:eastAsia="zh-CN"/>
        </w:rPr>
        <w:t>临时性物品搬运工作。</w:t>
      </w:r>
    </w:p>
    <w:p w14:paraId="2521B806">
      <w:pPr>
        <w:keepNext w:val="0"/>
        <w:keepLines w:val="0"/>
        <w:pageBreakBefore w:val="0"/>
        <w:widowControl w:val="0"/>
        <w:numPr>
          <w:ilvl w:val="0"/>
          <w:numId w:val="10"/>
        </w:numPr>
        <w:tabs>
          <w:tab w:val="left" w:pos="540"/>
        </w:tabs>
        <w:kinsoku/>
        <w:wordWrap/>
        <w:overflowPunct/>
        <w:topLinePunct w:val="0"/>
        <w:autoSpaceDE/>
        <w:autoSpaceDN/>
        <w:bidi w:val="0"/>
        <w:adjustRightInd w:val="0"/>
        <w:snapToGrid/>
        <w:spacing w:line="324" w:lineRule="auto"/>
        <w:ind w:firstLine="420"/>
        <w:jc w:val="left"/>
        <w:textAlignment w:val="auto"/>
        <w:rPr>
          <w:rFonts w:hint="eastAsia" w:ascii="宋体" w:hAnsi="宋体" w:eastAsia="宋体" w:cs="宋体"/>
          <w:b/>
          <w:color w:val="auto"/>
          <w:highlight w:val="none"/>
        </w:rPr>
      </w:pPr>
      <w:r>
        <w:rPr>
          <w:rFonts w:hint="eastAsia" w:ascii="宋体" w:hAnsi="宋体" w:eastAsia="宋体" w:cs="宋体"/>
          <w:color w:val="auto"/>
          <w:lang w:val="en-US" w:eastAsia="zh-CN"/>
        </w:rPr>
        <w:t>应具备与本项目相关的信息化管理系统。</w:t>
      </w:r>
    </w:p>
    <w:p w14:paraId="2F07CF01">
      <w:pPr>
        <w:keepNext w:val="0"/>
        <w:keepLines w:val="0"/>
        <w:pageBreakBefore w:val="0"/>
        <w:widowControl w:val="0"/>
        <w:numPr>
          <w:ilvl w:val="0"/>
          <w:numId w:val="9"/>
        </w:numPr>
        <w:tabs>
          <w:tab w:val="left" w:pos="540"/>
        </w:tabs>
        <w:kinsoku/>
        <w:wordWrap/>
        <w:overflowPunct/>
        <w:topLinePunct w:val="0"/>
        <w:autoSpaceDE/>
        <w:autoSpaceDN/>
        <w:bidi w:val="0"/>
        <w:adjustRightInd w:val="0"/>
        <w:snapToGrid/>
        <w:spacing w:line="312" w:lineRule="auto"/>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服务要求</w:t>
      </w:r>
    </w:p>
    <w:p w14:paraId="5876AA70">
      <w:pPr>
        <w:keepNext w:val="0"/>
        <w:keepLines w:val="0"/>
        <w:pageBreakBefore w:val="0"/>
        <w:widowControl w:val="0"/>
        <w:numPr>
          <w:ilvl w:val="0"/>
          <w:numId w:val="11"/>
        </w:numPr>
        <w:tabs>
          <w:tab w:val="left" w:pos="540"/>
        </w:tabs>
        <w:kinsoku/>
        <w:wordWrap/>
        <w:overflowPunct/>
        <w:topLinePunct w:val="0"/>
        <w:autoSpaceDE/>
        <w:autoSpaceDN/>
        <w:bidi w:val="0"/>
        <w:adjustRightInd w:val="0"/>
        <w:snapToGrid/>
        <w:spacing w:line="312" w:lineRule="auto"/>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服务项目需求</w:t>
      </w:r>
    </w:p>
    <w:p w14:paraId="3F3BDE00">
      <w:pPr>
        <w:pStyle w:val="38"/>
        <w:keepNext w:val="0"/>
        <w:keepLines w:val="0"/>
        <w:pageBreakBefore w:val="0"/>
        <w:numPr>
          <w:ilvl w:val="0"/>
          <w:numId w:val="12"/>
        </w:numPr>
        <w:tabs>
          <w:tab w:val="left" w:pos="0"/>
        </w:tabs>
        <w:kinsoku/>
        <w:wordWrap/>
        <w:overflowPunct/>
        <w:topLinePunct w:val="0"/>
        <w:autoSpaceDE/>
        <w:autoSpaceDN/>
        <w:bidi w:val="0"/>
        <w:snapToGrid/>
        <w:spacing w:line="324" w:lineRule="auto"/>
        <w:ind w:left="5" w:leftChars="0" w:firstLine="41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三水文化中心安保巡护服务：设固定岗位8个，</w:t>
      </w:r>
      <w:r>
        <w:rPr>
          <w:rFonts w:hint="eastAsia" w:ascii="宋体" w:hAnsi="宋体" w:cs="宋体"/>
          <w:color w:val="auto"/>
          <w:sz w:val="21"/>
          <w:szCs w:val="21"/>
          <w:highlight w:val="none"/>
          <w:lang w:val="en-US" w:eastAsia="zh-CN"/>
        </w:rPr>
        <w:t>每个固定岗位</w:t>
      </w:r>
      <w:r>
        <w:rPr>
          <w:rFonts w:hint="eastAsia" w:ascii="宋体" w:hAnsi="宋体" w:eastAsia="宋体" w:cs="宋体"/>
          <w:color w:val="auto"/>
          <w:sz w:val="21"/>
          <w:szCs w:val="21"/>
          <w:highlight w:val="none"/>
          <w:lang w:val="en-US" w:eastAsia="zh-CN"/>
        </w:rPr>
        <w:t>须24小时连续值守。服务范围包括入口驻点、场馆内驻点、全区域治安巡护、车场巡逻、值班管理，以及来访车辆与人员台账的建立、更新与整理。</w:t>
      </w:r>
    </w:p>
    <w:p w14:paraId="402925D4">
      <w:pPr>
        <w:pStyle w:val="38"/>
        <w:keepNext w:val="0"/>
        <w:keepLines w:val="0"/>
        <w:pageBreakBefore w:val="0"/>
        <w:numPr>
          <w:ilvl w:val="0"/>
          <w:numId w:val="12"/>
        </w:numPr>
        <w:tabs>
          <w:tab w:val="left" w:pos="0"/>
        </w:tabs>
        <w:kinsoku/>
        <w:wordWrap/>
        <w:overflowPunct/>
        <w:topLinePunct w:val="0"/>
        <w:autoSpaceDE/>
        <w:autoSpaceDN/>
        <w:bidi w:val="0"/>
        <w:snapToGrid/>
        <w:spacing w:line="324" w:lineRule="auto"/>
        <w:ind w:left="5" w:leftChars="0" w:firstLine="41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广东云东海湿地公园安保巡护服务：设固定岗位4个，</w:t>
      </w:r>
      <w:r>
        <w:rPr>
          <w:rFonts w:hint="eastAsia" w:ascii="宋体" w:hAnsi="宋体" w:cs="宋体"/>
          <w:color w:val="auto"/>
          <w:sz w:val="21"/>
          <w:szCs w:val="21"/>
          <w:highlight w:val="none"/>
          <w:lang w:val="en-US" w:eastAsia="zh-CN"/>
        </w:rPr>
        <w:t>每个固定岗位</w:t>
      </w:r>
      <w:r>
        <w:rPr>
          <w:rFonts w:hint="eastAsia" w:ascii="宋体" w:hAnsi="宋体" w:eastAsia="宋体" w:cs="宋体"/>
          <w:color w:val="auto"/>
          <w:sz w:val="21"/>
          <w:szCs w:val="21"/>
          <w:highlight w:val="none"/>
          <w:lang w:val="en-US" w:eastAsia="zh-CN"/>
        </w:rPr>
        <w:t>须24小时连续值守。服务范围包括全区域治安巡护、值班管理、车场巡护管理及来访车辆与人员台账的建立、更新与整理。</w:t>
      </w:r>
    </w:p>
    <w:p w14:paraId="1873766D">
      <w:pPr>
        <w:keepNext w:val="0"/>
        <w:keepLines w:val="0"/>
        <w:pageBreakBefore w:val="0"/>
        <w:widowControl w:val="0"/>
        <w:numPr>
          <w:ilvl w:val="0"/>
          <w:numId w:val="12"/>
        </w:numPr>
        <w:tabs>
          <w:tab w:val="left" w:pos="0"/>
          <w:tab w:val="left" w:pos="540"/>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临时增员因</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临时保障或专项任务需要，可在上述基础上追加人员，追加上限8人，工时8小时/班，月休4天。</w:t>
      </w:r>
    </w:p>
    <w:p w14:paraId="19CD234C">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spacing w:line="324" w:lineRule="auto"/>
        <w:ind w:left="420" w:leftChars="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（二）</w:t>
      </w:r>
      <w:r>
        <w:rPr>
          <w:rFonts w:hint="eastAsia" w:ascii="宋体" w:hAnsi="宋体" w:eastAsia="宋体" w:cs="宋体"/>
          <w:color w:val="auto"/>
          <w:sz w:val="21"/>
          <w:szCs w:val="21"/>
          <w:lang w:val="en-US" w:eastAsia="zh-CN"/>
        </w:rPr>
        <w:t>人员要求</w:t>
      </w:r>
    </w:p>
    <w:p w14:paraId="6161A3C3">
      <w:pPr>
        <w:keepNext w:val="0"/>
        <w:keepLines w:val="0"/>
        <w:pageBreakBefore w:val="0"/>
        <w:widowControl w:val="0"/>
        <w:numPr>
          <w:ilvl w:val="0"/>
          <w:numId w:val="13"/>
        </w:numPr>
        <w:tabs>
          <w:tab w:val="left" w:pos="0"/>
          <w:tab w:val="left" w:pos="540"/>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拟派专项服务队伍人员均须具有由公安机关颁发的保安员证。</w:t>
      </w:r>
    </w:p>
    <w:p w14:paraId="5DA10CBA">
      <w:pPr>
        <w:keepNext w:val="0"/>
        <w:keepLines w:val="0"/>
        <w:pageBreakBefore w:val="0"/>
        <w:widowControl w:val="0"/>
        <w:numPr>
          <w:ilvl w:val="0"/>
          <w:numId w:val="13"/>
        </w:numPr>
        <w:tabs>
          <w:tab w:val="left" w:pos="0"/>
          <w:tab w:val="left" w:pos="540"/>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拟派专项服务队伍须具有高级保安管理师(国家资格)、高级安全技术管理师、高级建(构)筑物消防员证书的人员为本项目提供管理服务，并提供相应的现场服务。</w:t>
      </w:r>
    </w:p>
    <w:p w14:paraId="216FE87A">
      <w:pPr>
        <w:keepNext w:val="0"/>
        <w:keepLines w:val="0"/>
        <w:pageBreakBefore w:val="0"/>
        <w:widowControl w:val="0"/>
        <w:numPr>
          <w:ilvl w:val="0"/>
          <w:numId w:val="13"/>
        </w:numPr>
        <w:tabs>
          <w:tab w:val="left" w:pos="0"/>
          <w:tab w:val="left" w:pos="540"/>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应向招标人提供服务人员的身份证件、保安员证、健康证明材料等相关资料供招标人备案（该备案仅为程序性备案，不减免中标人对人员的管理责任、不减免中标人对人员信息真实性的核查责任）；招标人有权对拟派的保安员进行岗前培训，对不符合要求的人员，招标人有权提出撤换。在服务期间，中标人不得随意调换在岗服务人员，如需进行调换时，应事先与招标人沟通，经招标人同意后方可更换。如中标人在岗服务人员因病或因事请假的，中标人应安排替补符合资质要求的人员到岗，保证本合同约定的固定岗位数量，不得影响招标人的工作。</w:t>
      </w:r>
    </w:p>
    <w:p w14:paraId="1B29AE8C">
      <w:pPr>
        <w:keepNext w:val="0"/>
        <w:keepLines w:val="0"/>
        <w:pageBreakBefore w:val="0"/>
        <w:widowControl w:val="0"/>
        <w:numPr>
          <w:ilvl w:val="0"/>
          <w:numId w:val="13"/>
        </w:numPr>
        <w:tabs>
          <w:tab w:val="left" w:pos="0"/>
          <w:tab w:val="left" w:pos="540"/>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男女不限（女性年龄18-50岁，男性年龄为18-55岁），初中及以上文化水平。</w:t>
      </w:r>
    </w:p>
    <w:p w14:paraId="13112C5E">
      <w:pPr>
        <w:keepNext w:val="0"/>
        <w:keepLines w:val="0"/>
        <w:pageBreakBefore w:val="0"/>
        <w:widowControl w:val="0"/>
        <w:numPr>
          <w:ilvl w:val="0"/>
          <w:numId w:val="13"/>
        </w:numPr>
        <w:tabs>
          <w:tab w:val="left" w:pos="0"/>
          <w:tab w:val="left" w:pos="540"/>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身体健康，无传染病及精神病史。</w:t>
      </w:r>
    </w:p>
    <w:p w14:paraId="46CA9DFD">
      <w:pPr>
        <w:keepNext w:val="0"/>
        <w:keepLines w:val="0"/>
        <w:pageBreakBefore w:val="0"/>
        <w:widowControl w:val="0"/>
        <w:numPr>
          <w:ilvl w:val="0"/>
          <w:numId w:val="13"/>
        </w:numPr>
        <w:tabs>
          <w:tab w:val="left" w:pos="0"/>
          <w:tab w:val="left" w:pos="540"/>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遵纪守法，品行良好，人格健全，保证派造人员无违法犯罪记录。</w:t>
      </w:r>
    </w:p>
    <w:p w14:paraId="767E4B1B">
      <w:pPr>
        <w:keepNext w:val="0"/>
        <w:keepLines w:val="0"/>
        <w:pageBreakBefore w:val="0"/>
        <w:widowControl w:val="0"/>
        <w:numPr>
          <w:ilvl w:val="0"/>
          <w:numId w:val="13"/>
        </w:numPr>
        <w:tabs>
          <w:tab w:val="left" w:pos="0"/>
          <w:tab w:val="left" w:pos="540"/>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衣貌整洁，服装统一，服从管理，佩戴统一工作牌（卡）；敬业爱岗，工作认真，责任心强；会讲普通话，以礼待人。</w:t>
      </w:r>
    </w:p>
    <w:p w14:paraId="56AFBAB3">
      <w:pPr>
        <w:keepNext w:val="0"/>
        <w:keepLines w:val="0"/>
        <w:pageBreakBefore w:val="0"/>
        <w:widowControl w:val="0"/>
        <w:numPr>
          <w:ilvl w:val="0"/>
          <w:numId w:val="13"/>
        </w:numPr>
        <w:tabs>
          <w:tab w:val="left" w:pos="0"/>
          <w:tab w:val="left" w:pos="540"/>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掌握安全保卫基本技能，能正确使用多类消防、物防、技防器械和设备。</w:t>
      </w:r>
    </w:p>
    <w:p w14:paraId="06A72793">
      <w:pPr>
        <w:keepNext w:val="0"/>
        <w:keepLines w:val="0"/>
        <w:pageBreakBefore w:val="0"/>
        <w:widowControl w:val="0"/>
        <w:numPr>
          <w:ilvl w:val="0"/>
          <w:numId w:val="13"/>
        </w:numPr>
        <w:tabs>
          <w:tab w:val="left" w:pos="0"/>
          <w:tab w:val="left" w:pos="540"/>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熟悉安保警械的使用，具有一定的搏击能力。</w:t>
      </w:r>
    </w:p>
    <w:p w14:paraId="30B84E47">
      <w:pPr>
        <w:keepNext w:val="0"/>
        <w:keepLines w:val="0"/>
        <w:pageBreakBefore w:val="0"/>
        <w:widowControl w:val="0"/>
        <w:numPr>
          <w:ilvl w:val="0"/>
          <w:numId w:val="13"/>
        </w:numPr>
        <w:tabs>
          <w:tab w:val="left" w:pos="0"/>
          <w:tab w:val="left" w:pos="540"/>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根据工作需要，要求保安员站形象岗（男性保安员身高不低于1.68米，女性保安身高不低于1.6米）；夜间作业或天气阴暗时应穿反光衣。</w:t>
      </w:r>
    </w:p>
    <w:p w14:paraId="2B42220E">
      <w:pPr>
        <w:keepNext w:val="0"/>
        <w:keepLines w:val="0"/>
        <w:pageBreakBefore w:val="0"/>
        <w:widowControl w:val="0"/>
        <w:numPr>
          <w:ilvl w:val="0"/>
          <w:numId w:val="13"/>
        </w:numPr>
        <w:tabs>
          <w:tab w:val="left" w:pos="0"/>
          <w:tab w:val="left" w:pos="540"/>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中标人自主安排人员轮值，但必须保证每个固定岗位24小时有人值守。</w:t>
      </w:r>
    </w:p>
    <w:p w14:paraId="335E9F90">
      <w:pPr>
        <w:keepNext w:val="0"/>
        <w:keepLines w:val="0"/>
        <w:pageBreakBefore w:val="0"/>
        <w:widowControl w:val="0"/>
        <w:numPr>
          <w:ilvl w:val="0"/>
          <w:numId w:val="9"/>
        </w:numPr>
        <w:tabs>
          <w:tab w:val="left" w:pos="540"/>
          <w:tab w:val="clear" w:pos="420"/>
        </w:tabs>
        <w:kinsoku/>
        <w:wordWrap/>
        <w:overflowPunct/>
        <w:topLinePunct w:val="0"/>
        <w:autoSpaceDE/>
        <w:autoSpaceDN/>
        <w:bidi w:val="0"/>
        <w:adjustRightInd w:val="0"/>
        <w:snapToGrid/>
        <w:spacing w:line="312" w:lineRule="auto"/>
        <w:ind w:left="420" w:leftChars="0" w:hanging="420" w:firstLineChars="0"/>
        <w:textAlignment w:val="auto"/>
        <w:rPr>
          <w:rFonts w:hint="eastAsia" w:ascii="宋体" w:hAnsi="宋体" w:cs="宋体"/>
          <w:b/>
          <w:bCs/>
          <w:color w:val="auto"/>
          <w:sz w:val="21"/>
          <w:szCs w:val="24"/>
          <w:lang w:val="en-US" w:eastAsia="zh-CN"/>
        </w:rPr>
      </w:pPr>
      <w:r>
        <w:rPr>
          <w:rFonts w:hint="eastAsia" w:ascii="宋体" w:hAnsi="宋体" w:cs="宋体"/>
          <w:b/>
          <w:bCs/>
          <w:color w:val="auto"/>
          <w:sz w:val="21"/>
          <w:szCs w:val="24"/>
          <w:lang w:val="en-US" w:eastAsia="zh-CN"/>
        </w:rPr>
        <w:t>人员配备要求</w:t>
      </w:r>
    </w:p>
    <w:p w14:paraId="44F35D59">
      <w:pPr>
        <w:keepNext w:val="0"/>
        <w:keepLines w:val="0"/>
        <w:pageBreakBefore w:val="0"/>
        <w:widowControl w:val="0"/>
        <w:numPr>
          <w:ilvl w:val="0"/>
          <w:numId w:val="14"/>
        </w:numPr>
        <w:kinsoku/>
        <w:wordWrap/>
        <w:overflowPunct/>
        <w:topLinePunct w:val="0"/>
        <w:autoSpaceDE/>
        <w:autoSpaceDN/>
        <w:bidi w:val="0"/>
        <w:adjustRightInd/>
        <w:snapToGrid/>
        <w:spacing w:line="324"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按照</w:t>
      </w:r>
      <w:r>
        <w:rPr>
          <w:rFonts w:hint="eastAsia" w:ascii="宋体" w:hAnsi="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实际要求配备</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rPr>
        <w:t>服务人员不得随意更换；如需更换的，则必须征得</w:t>
      </w:r>
      <w:r>
        <w:rPr>
          <w:rFonts w:hint="eastAsia" w:ascii="宋体" w:hAnsi="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的同意，经试用符合要求方可更换，且在更换前应保证不少于</w:t>
      </w:r>
      <w:r>
        <w:rPr>
          <w:rFonts w:hint="eastAsia" w:ascii="宋体" w:hAnsi="宋体" w:eastAsia="宋体" w:cs="宋体"/>
          <w:b w:val="0"/>
          <w:bCs/>
          <w:color w:val="auto"/>
          <w:sz w:val="21"/>
          <w:szCs w:val="21"/>
          <w:highlight w:val="none"/>
          <w:lang w:val="en-US" w:eastAsia="zh-CN"/>
        </w:rPr>
        <w:t>原有数量的</w:t>
      </w:r>
      <w:r>
        <w:rPr>
          <w:rFonts w:hint="eastAsia" w:ascii="宋体" w:hAnsi="宋体" w:eastAsia="宋体" w:cs="宋体"/>
          <w:b w:val="0"/>
          <w:bCs/>
          <w:color w:val="auto"/>
          <w:sz w:val="21"/>
          <w:szCs w:val="21"/>
          <w:highlight w:val="none"/>
        </w:rPr>
        <w:t>服务人员在岗。</w:t>
      </w:r>
    </w:p>
    <w:p w14:paraId="7CE7BC97">
      <w:pPr>
        <w:keepNext w:val="0"/>
        <w:keepLines w:val="0"/>
        <w:pageBreakBefore w:val="0"/>
        <w:widowControl w:val="0"/>
        <w:numPr>
          <w:ilvl w:val="0"/>
          <w:numId w:val="14"/>
        </w:numPr>
        <w:kinsoku/>
        <w:wordWrap/>
        <w:overflowPunct/>
        <w:topLinePunct w:val="0"/>
        <w:autoSpaceDE/>
        <w:autoSpaceDN/>
        <w:bidi w:val="0"/>
        <w:adjustRightInd/>
        <w:snapToGrid/>
        <w:spacing w:line="324"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有义务做好服务人员的岗前培训工作</w:t>
      </w: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须遵守与本项目相关的法律法规，对违反相关法律要求的，</w:t>
      </w:r>
      <w:r>
        <w:rPr>
          <w:rFonts w:hint="eastAsia" w:ascii="宋体" w:hAnsi="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有权追究其法律责任。</w:t>
      </w:r>
    </w:p>
    <w:p w14:paraId="64E04FE9">
      <w:pPr>
        <w:keepNext w:val="0"/>
        <w:keepLines w:val="0"/>
        <w:pageBreakBefore w:val="0"/>
        <w:widowControl w:val="0"/>
        <w:numPr>
          <w:ilvl w:val="0"/>
          <w:numId w:val="14"/>
        </w:numPr>
        <w:kinsoku/>
        <w:wordWrap/>
        <w:overflowPunct/>
        <w:topLinePunct w:val="0"/>
        <w:autoSpaceDE/>
        <w:autoSpaceDN/>
        <w:bidi w:val="0"/>
        <w:adjustRightInd/>
        <w:snapToGrid/>
        <w:spacing w:line="324"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在</w:t>
      </w:r>
      <w:r>
        <w:rPr>
          <w:rFonts w:hint="eastAsia" w:ascii="宋体"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服务过程中，</w:t>
      </w:r>
      <w:r>
        <w:rPr>
          <w:rFonts w:hint="eastAsia" w:ascii="宋体" w:hAnsi="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有权要求</w:t>
      </w:r>
      <w:r>
        <w:rPr>
          <w:rFonts w:hint="eastAsia" w:ascii="宋体"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对服务人员进行岗位调配，对不能胜任或不符合业务要求的服务人员进行更换。因服务人员个人出现违反工作纪律问题及业务过失，</w:t>
      </w:r>
      <w:r>
        <w:rPr>
          <w:rFonts w:hint="eastAsia" w:ascii="宋体" w:hAnsi="宋体" w:eastAsia="宋体" w:cs="宋体"/>
          <w:b w:val="0"/>
          <w:bCs/>
          <w:color w:val="auto"/>
          <w:sz w:val="21"/>
          <w:szCs w:val="21"/>
          <w:highlight w:val="none"/>
          <w:lang w:eastAsia="zh-CN"/>
        </w:rPr>
        <w:t>遭受</w:t>
      </w:r>
      <w:r>
        <w:rPr>
          <w:rFonts w:hint="eastAsia" w:ascii="宋体" w:hAnsi="宋体" w:eastAsia="宋体" w:cs="宋体"/>
          <w:b w:val="0"/>
          <w:bCs/>
          <w:color w:val="auto"/>
          <w:sz w:val="21"/>
          <w:szCs w:val="21"/>
          <w:highlight w:val="none"/>
        </w:rPr>
        <w:t>投诉</w:t>
      </w:r>
      <w:r>
        <w:rPr>
          <w:rFonts w:hint="eastAsia" w:ascii="宋体" w:hAnsi="宋体" w:eastAsia="宋体" w:cs="宋体"/>
          <w:b w:val="0"/>
          <w:bCs/>
          <w:color w:val="auto"/>
          <w:sz w:val="21"/>
          <w:szCs w:val="21"/>
          <w:highlight w:val="none"/>
          <w:lang w:eastAsia="zh-CN"/>
        </w:rPr>
        <w:t>且</w:t>
      </w:r>
      <w:r>
        <w:rPr>
          <w:rFonts w:hint="eastAsia" w:ascii="宋体" w:hAnsi="宋体" w:eastAsia="宋体" w:cs="宋体"/>
          <w:b w:val="0"/>
          <w:bCs/>
          <w:color w:val="auto"/>
          <w:sz w:val="21"/>
          <w:szCs w:val="21"/>
          <w:highlight w:val="none"/>
        </w:rPr>
        <w:t>造成不良影响等行为的，</w:t>
      </w:r>
      <w:r>
        <w:rPr>
          <w:rFonts w:hint="eastAsia" w:ascii="宋体" w:hAnsi="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有权利要求</w:t>
      </w:r>
      <w:r>
        <w:rPr>
          <w:rFonts w:hint="eastAsia" w:ascii="宋体"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lang w:eastAsia="zh-CN"/>
        </w:rPr>
        <w:t>及时更换</w:t>
      </w:r>
      <w:r>
        <w:rPr>
          <w:rFonts w:hint="eastAsia" w:ascii="宋体" w:hAnsi="宋体" w:eastAsia="宋体" w:cs="宋体"/>
          <w:b w:val="0"/>
          <w:bCs/>
          <w:color w:val="auto"/>
          <w:sz w:val="21"/>
          <w:szCs w:val="21"/>
          <w:highlight w:val="none"/>
        </w:rPr>
        <w:t>服务人员。</w:t>
      </w:r>
    </w:p>
    <w:p w14:paraId="56B3C02A">
      <w:pPr>
        <w:keepNext w:val="0"/>
        <w:keepLines w:val="0"/>
        <w:pageBreakBefore w:val="0"/>
        <w:widowControl w:val="0"/>
        <w:numPr>
          <w:ilvl w:val="0"/>
          <w:numId w:val="14"/>
        </w:numPr>
        <w:kinsoku/>
        <w:wordWrap/>
        <w:overflowPunct/>
        <w:topLinePunct w:val="0"/>
        <w:autoSpaceDE/>
        <w:autoSpaceDN/>
        <w:bidi w:val="0"/>
        <w:adjustRightInd/>
        <w:snapToGrid/>
        <w:spacing w:line="324"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服务人员须经</w:t>
      </w:r>
      <w:r>
        <w:rPr>
          <w:rFonts w:hint="eastAsia" w:ascii="宋体" w:hAnsi="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审核确认后方能上岗。未经</w:t>
      </w:r>
      <w:r>
        <w:rPr>
          <w:rFonts w:hint="eastAsia" w:ascii="宋体" w:hAnsi="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审核确认的人员，</w:t>
      </w:r>
      <w:r>
        <w:rPr>
          <w:rFonts w:hint="eastAsia" w:ascii="宋体" w:hAnsi="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可以不予接纳，</w:t>
      </w:r>
      <w:r>
        <w:rPr>
          <w:rFonts w:hint="eastAsia" w:ascii="宋体"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与</w:t>
      </w:r>
      <w:r>
        <w:rPr>
          <w:rFonts w:hint="eastAsia" w:ascii="宋体" w:hAnsi="宋体" w:eastAsia="宋体" w:cs="宋体"/>
          <w:b w:val="0"/>
          <w:bCs/>
          <w:color w:val="auto"/>
          <w:sz w:val="21"/>
          <w:szCs w:val="21"/>
          <w:highlight w:val="none"/>
          <w:lang w:eastAsia="zh-CN"/>
        </w:rPr>
        <w:t>服务人员成立劳动合同关系</w:t>
      </w:r>
      <w:r>
        <w:rPr>
          <w:rFonts w:hint="eastAsia" w:ascii="宋体" w:hAnsi="宋体" w:eastAsia="宋体" w:cs="宋体"/>
          <w:b w:val="0"/>
          <w:bCs/>
          <w:color w:val="auto"/>
          <w:sz w:val="21"/>
          <w:szCs w:val="21"/>
          <w:highlight w:val="none"/>
        </w:rPr>
        <w:t>而承担的法律责任与</w:t>
      </w:r>
      <w:r>
        <w:rPr>
          <w:rFonts w:hint="eastAsia" w:ascii="宋体" w:hAnsi="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无关。</w:t>
      </w:r>
    </w:p>
    <w:p w14:paraId="2AEC1BF0">
      <w:pPr>
        <w:keepNext w:val="0"/>
        <w:keepLines w:val="0"/>
        <w:pageBreakBefore w:val="0"/>
        <w:widowControl w:val="0"/>
        <w:numPr>
          <w:ilvl w:val="0"/>
          <w:numId w:val="14"/>
        </w:numPr>
        <w:kinsoku/>
        <w:wordWrap/>
        <w:overflowPunct/>
        <w:topLinePunct w:val="0"/>
        <w:autoSpaceDE/>
        <w:autoSpaceDN/>
        <w:bidi w:val="0"/>
        <w:adjustRightInd/>
        <w:snapToGrid/>
        <w:spacing w:line="324" w:lineRule="auto"/>
        <w:ind w:left="0" w:leftChars="0" w:firstLine="420" w:firstLineChars="200"/>
        <w:textAlignment w:val="auto"/>
        <w:rPr>
          <w:rFonts w:hint="eastAsia" w:ascii="宋体" w:hAnsi="宋体" w:eastAsia="宋体" w:cs="宋体"/>
          <w:b w:val="0"/>
          <w:bCs/>
          <w:color w:val="auto"/>
          <w:highlight w:val="none"/>
        </w:rPr>
      </w:pPr>
      <w:r>
        <w:rPr>
          <w:rFonts w:hint="eastAsia" w:ascii="宋体" w:hAnsi="宋体" w:cs="宋体"/>
          <w:b w:val="0"/>
          <w:bCs/>
          <w:color w:val="auto"/>
          <w:sz w:val="21"/>
          <w:szCs w:val="21"/>
          <w:highlight w:val="none"/>
          <w:lang w:eastAsia="zh-CN"/>
        </w:rPr>
        <w:t>中标人须</w:t>
      </w:r>
      <w:r>
        <w:rPr>
          <w:rFonts w:hint="eastAsia" w:ascii="宋体" w:hAnsi="宋体" w:eastAsia="宋体" w:cs="宋体"/>
          <w:b w:val="0"/>
          <w:bCs/>
          <w:color w:val="auto"/>
          <w:sz w:val="21"/>
          <w:szCs w:val="21"/>
          <w:highlight w:val="none"/>
        </w:rPr>
        <w:t>按有关劳动法规为本项目服务人员</w:t>
      </w:r>
      <w:r>
        <w:rPr>
          <w:rFonts w:hint="eastAsia" w:ascii="宋体" w:hAnsi="宋体" w:eastAsia="宋体" w:cs="宋体"/>
          <w:b w:val="0"/>
          <w:bCs/>
          <w:color w:val="auto"/>
          <w:sz w:val="21"/>
          <w:szCs w:val="21"/>
          <w:highlight w:val="none"/>
          <w:lang w:val="en-US" w:eastAsia="zh-CN"/>
        </w:rPr>
        <w:t>签订</w:t>
      </w:r>
      <w:r>
        <w:rPr>
          <w:rFonts w:hint="eastAsia" w:ascii="宋体" w:hAnsi="宋体" w:eastAsia="宋体" w:cs="宋体"/>
          <w:b w:val="0"/>
          <w:bCs/>
          <w:color w:val="auto"/>
          <w:sz w:val="21"/>
          <w:szCs w:val="21"/>
          <w:highlight w:val="none"/>
        </w:rPr>
        <w:t>劳动合同</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为其办理</w:t>
      </w:r>
      <w:r>
        <w:rPr>
          <w:rFonts w:hint="eastAsia" w:ascii="宋体" w:hAnsi="宋体" w:eastAsia="宋体" w:cs="宋体"/>
          <w:b w:val="0"/>
          <w:bCs/>
          <w:color w:val="auto"/>
          <w:sz w:val="21"/>
          <w:szCs w:val="21"/>
          <w:highlight w:val="none"/>
        </w:rPr>
        <w:t>社会保险</w:t>
      </w:r>
      <w:r>
        <w:rPr>
          <w:rFonts w:hint="eastAsia" w:ascii="宋体" w:hAnsi="宋体" w:eastAsia="宋体" w:cs="宋体"/>
          <w:b w:val="0"/>
          <w:bCs/>
          <w:color w:val="auto"/>
          <w:sz w:val="21"/>
          <w:szCs w:val="21"/>
          <w:highlight w:val="none"/>
          <w:lang w:eastAsia="zh-CN"/>
        </w:rPr>
        <w:t>、公积金；</w:t>
      </w:r>
      <w:r>
        <w:rPr>
          <w:rFonts w:hint="eastAsia" w:ascii="宋体" w:hAnsi="宋体" w:eastAsia="宋体" w:cs="宋体"/>
          <w:b w:val="0"/>
          <w:bCs/>
          <w:color w:val="auto"/>
          <w:sz w:val="21"/>
          <w:szCs w:val="21"/>
          <w:highlight w:val="none"/>
          <w:lang w:val="en-US" w:eastAsia="zh-CN"/>
        </w:rPr>
        <w:t>按时发放</w:t>
      </w:r>
      <w:r>
        <w:rPr>
          <w:rFonts w:hint="eastAsia" w:ascii="宋体" w:hAnsi="宋体" w:eastAsia="宋体" w:cs="宋体"/>
          <w:b w:val="0"/>
          <w:bCs/>
          <w:color w:val="auto"/>
          <w:sz w:val="21"/>
          <w:szCs w:val="21"/>
          <w:highlight w:val="none"/>
        </w:rPr>
        <w:t>薪酬</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缴纳</w:t>
      </w:r>
      <w:r>
        <w:rPr>
          <w:rFonts w:hint="eastAsia" w:ascii="宋体" w:hAnsi="宋体" w:eastAsia="宋体" w:cs="宋体"/>
          <w:b w:val="0"/>
          <w:bCs/>
          <w:color w:val="auto"/>
          <w:sz w:val="21"/>
          <w:szCs w:val="21"/>
          <w:highlight w:val="none"/>
        </w:rPr>
        <w:t>个人所得税等</w:t>
      </w:r>
      <w:r>
        <w:rPr>
          <w:rFonts w:hint="eastAsia" w:ascii="宋体" w:hAnsi="宋体" w:cs="宋体"/>
          <w:b w:val="0"/>
          <w:bCs/>
          <w:color w:val="auto"/>
          <w:sz w:val="21"/>
          <w:szCs w:val="21"/>
          <w:highlight w:val="none"/>
          <w:lang w:eastAsia="zh-CN"/>
        </w:rPr>
        <w:t>；中标人应</w:t>
      </w:r>
      <w:r>
        <w:rPr>
          <w:rFonts w:hint="eastAsia" w:ascii="宋体" w:hAnsi="宋体" w:eastAsia="宋体" w:cs="宋体"/>
          <w:b w:val="0"/>
          <w:bCs/>
          <w:color w:val="auto"/>
          <w:sz w:val="21"/>
          <w:szCs w:val="21"/>
          <w:highlight w:val="none"/>
        </w:rPr>
        <w:t>根据当地有关社保规定征缴服务人员的社会保险等</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若国家、省、市政府在征缴期间有新的政策规定，</w:t>
      </w:r>
      <w:r>
        <w:rPr>
          <w:rFonts w:hint="eastAsia" w:ascii="宋体"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必须及时按新规定进行调整。</w:t>
      </w:r>
      <w:r>
        <w:rPr>
          <w:rFonts w:hint="eastAsia" w:ascii="宋体" w:hAnsi="宋体" w:cs="宋体"/>
          <w:b w:val="0"/>
          <w:bCs/>
          <w:color w:val="auto"/>
          <w:sz w:val="21"/>
          <w:szCs w:val="21"/>
          <w:highlight w:val="none"/>
          <w:lang w:eastAsia="zh-CN"/>
        </w:rPr>
        <w:t>因中标人违法用工导致影响本合同履行的，招标人有权单方解除本合同并没收中标人履约保证金；因中标人违法用工导致招标人产生损失的，中标人须赔偿招标人损失</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有权将本项目项下的服务费用、履约保证金优先用于抵扣损失</w:t>
      </w:r>
      <w:r>
        <w:rPr>
          <w:rFonts w:hint="eastAsia" w:ascii="宋体" w:hAnsi="宋体" w:eastAsia="宋体" w:cs="宋体"/>
          <w:b w:val="0"/>
          <w:bCs/>
          <w:color w:val="auto"/>
          <w:lang w:eastAsia="zh-CN"/>
        </w:rPr>
        <w:t>。</w:t>
      </w:r>
    </w:p>
    <w:p w14:paraId="4D384EBB">
      <w:pPr>
        <w:keepNext w:val="0"/>
        <w:keepLines w:val="0"/>
        <w:pageBreakBefore w:val="0"/>
        <w:widowControl w:val="0"/>
        <w:numPr>
          <w:ilvl w:val="-1"/>
          <w:numId w:val="0"/>
        </w:numPr>
        <w:tabs>
          <w:tab w:val="left" w:pos="540"/>
        </w:tabs>
        <w:kinsoku/>
        <w:wordWrap/>
        <w:overflowPunct/>
        <w:topLinePunct w:val="0"/>
        <w:autoSpaceDE/>
        <w:autoSpaceDN/>
        <w:bidi w:val="0"/>
        <w:adjustRightInd w:val="0"/>
        <w:snapToGrid/>
        <w:spacing w:line="312" w:lineRule="auto"/>
        <w:ind w:left="0" w:leftChars="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服务期间，服务人员发生各种事故，包括治安、安全、交通和违反计划生育、劳资纠纷</w:t>
      </w:r>
      <w:r>
        <w:rPr>
          <w:rFonts w:hint="eastAsia" w:ascii="宋体" w:hAnsi="宋体" w:cs="宋体"/>
          <w:b w:val="0"/>
          <w:bCs/>
          <w:color w:val="auto"/>
          <w:sz w:val="21"/>
          <w:szCs w:val="21"/>
          <w:highlight w:val="none"/>
          <w:lang w:eastAsia="zh-CN"/>
        </w:rPr>
        <w:t>、工伤</w:t>
      </w:r>
      <w:r>
        <w:rPr>
          <w:rFonts w:hint="eastAsia" w:ascii="宋体" w:hAnsi="宋体" w:eastAsia="宋体" w:cs="宋体"/>
          <w:b w:val="0"/>
          <w:bCs/>
          <w:color w:val="auto"/>
          <w:sz w:val="21"/>
          <w:szCs w:val="21"/>
          <w:highlight w:val="none"/>
        </w:rPr>
        <w:t>等事件及其他各种损失，由</w:t>
      </w:r>
      <w:r>
        <w:rPr>
          <w:rFonts w:hint="eastAsia" w:ascii="宋体" w:hAnsi="宋体" w:cs="宋体"/>
          <w:b w:val="0"/>
          <w:bCs/>
          <w:color w:val="auto"/>
          <w:sz w:val="21"/>
          <w:szCs w:val="21"/>
          <w:highlight w:val="none"/>
          <w:lang w:eastAsia="zh-CN"/>
        </w:rPr>
        <w:t>中标人自行</w:t>
      </w:r>
      <w:r>
        <w:rPr>
          <w:rFonts w:hint="eastAsia" w:ascii="宋体" w:hAnsi="宋体" w:eastAsia="宋体" w:cs="宋体"/>
          <w:b w:val="0"/>
          <w:bCs/>
          <w:color w:val="auto"/>
          <w:sz w:val="21"/>
          <w:szCs w:val="21"/>
          <w:highlight w:val="none"/>
        </w:rPr>
        <w:t>承担和负责赔偿</w:t>
      </w:r>
      <w:r>
        <w:rPr>
          <w:rFonts w:hint="eastAsia" w:ascii="宋体" w:hAnsi="宋体" w:cs="宋体"/>
          <w:b w:val="0"/>
          <w:bCs/>
          <w:color w:val="auto"/>
          <w:sz w:val="21"/>
          <w:szCs w:val="21"/>
          <w:highlight w:val="none"/>
          <w:lang w:eastAsia="zh-CN"/>
        </w:rPr>
        <w:t>，与招标人无关；</w:t>
      </w:r>
      <w:r>
        <w:rPr>
          <w:rFonts w:hint="eastAsia" w:ascii="宋体" w:hAnsi="宋体" w:cs="宋体"/>
          <w:bCs/>
          <w:color w:val="auto"/>
          <w:szCs w:val="21"/>
          <w:highlight w:val="none"/>
        </w:rPr>
        <w:t>如由此造成</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承担损失的，</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保留向</w:t>
      </w:r>
      <w:r>
        <w:rPr>
          <w:rFonts w:hint="eastAsia" w:ascii="宋体" w:hAnsi="宋体" w:cs="宋体"/>
          <w:bCs/>
          <w:color w:val="auto"/>
          <w:szCs w:val="21"/>
          <w:highlight w:val="none"/>
          <w:lang w:eastAsia="zh-CN"/>
        </w:rPr>
        <w:t>中标人</w:t>
      </w:r>
      <w:r>
        <w:rPr>
          <w:rFonts w:hint="eastAsia" w:ascii="宋体" w:hAnsi="宋体" w:cs="宋体"/>
          <w:bCs/>
          <w:color w:val="auto"/>
          <w:szCs w:val="21"/>
          <w:highlight w:val="none"/>
        </w:rPr>
        <w:t>追索的权利，</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有权将本项目项下的服务费用、履约保证金优先用于抵扣损失</w:t>
      </w:r>
      <w:r>
        <w:rPr>
          <w:rFonts w:hint="eastAsia" w:ascii="宋体" w:hAnsi="宋体" w:eastAsia="宋体" w:cs="宋体"/>
          <w:b w:val="0"/>
          <w:bCs/>
          <w:color w:val="auto"/>
          <w:sz w:val="21"/>
          <w:szCs w:val="21"/>
          <w:highlight w:val="none"/>
        </w:rPr>
        <w:t>。</w:t>
      </w:r>
    </w:p>
    <w:p w14:paraId="0A688E43">
      <w:pPr>
        <w:pStyle w:val="47"/>
        <w:numPr>
          <w:ilvl w:val="0"/>
          <w:numId w:val="0"/>
        </w:numPr>
        <w:spacing w:line="360" w:lineRule="auto"/>
        <w:rPr>
          <w:rFonts w:hint="eastAsia" w:ascii="宋体" w:hAnsi="宋体" w:eastAsia="宋体" w:cs="宋体"/>
          <w:b/>
          <w:bCs/>
          <w:color w:val="000000"/>
          <w:sz w:val="21"/>
          <w:szCs w:val="21"/>
          <w:highlight w:val="white"/>
        </w:rPr>
      </w:pP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五</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highlight w:val="white"/>
        </w:rPr>
        <w:t>服务对照执行标准</w:t>
      </w:r>
    </w:p>
    <w:p w14:paraId="64D1554D">
      <w:pPr>
        <w:pStyle w:val="47"/>
        <w:numPr>
          <w:ilvl w:val="0"/>
          <w:numId w:val="15"/>
        </w:numPr>
        <w:spacing w:line="360" w:lineRule="auto"/>
        <w:ind w:left="0" w:leftChars="0" w:firstLine="420" w:firstLineChars="200"/>
        <w:rPr>
          <w:rFonts w:hint="eastAsia" w:ascii="宋体" w:hAnsi="宋体" w:eastAsia="宋体" w:cs="宋体"/>
          <w:bCs/>
          <w:color w:val="000000"/>
          <w:sz w:val="21"/>
          <w:szCs w:val="21"/>
          <w:highlight w:val="white"/>
        </w:rPr>
      </w:pPr>
      <w:r>
        <w:rPr>
          <w:rFonts w:hint="eastAsia" w:ascii="宋体" w:hAnsi="宋体" w:eastAsia="宋体" w:cs="宋体"/>
          <w:bCs/>
          <w:color w:val="000000"/>
          <w:sz w:val="21"/>
          <w:szCs w:val="21"/>
          <w:highlight w:val="white"/>
        </w:rPr>
        <w:t>符合中华人民共和国国家和履约地相关安全质量标准、行业技术规范标准；</w:t>
      </w:r>
    </w:p>
    <w:p w14:paraId="1F45BDF9">
      <w:pPr>
        <w:pStyle w:val="47"/>
        <w:numPr>
          <w:ilvl w:val="0"/>
          <w:numId w:val="15"/>
        </w:numPr>
        <w:spacing w:line="360" w:lineRule="auto"/>
        <w:ind w:left="0" w:leftChars="0" w:firstLine="420" w:firstLineChars="200"/>
        <w:rPr>
          <w:rFonts w:hint="eastAsia" w:ascii="宋体" w:hAnsi="宋体" w:eastAsia="宋体" w:cs="宋体"/>
          <w:bCs/>
          <w:color w:val="000000"/>
          <w:sz w:val="21"/>
          <w:szCs w:val="21"/>
          <w:highlight w:val="white"/>
        </w:rPr>
      </w:pPr>
      <w:r>
        <w:rPr>
          <w:rFonts w:hint="eastAsia" w:ascii="宋体" w:hAnsi="宋体" w:eastAsia="宋体" w:cs="宋体"/>
          <w:bCs/>
          <w:color w:val="000000"/>
          <w:sz w:val="21"/>
          <w:szCs w:val="21"/>
          <w:highlight w:val="white"/>
        </w:rPr>
        <w:t>符合采购文件和响应承诺中各方共同认可的合理要求；</w:t>
      </w:r>
    </w:p>
    <w:p w14:paraId="35CD4A9C">
      <w:pPr>
        <w:pStyle w:val="47"/>
        <w:numPr>
          <w:ilvl w:val="0"/>
          <w:numId w:val="15"/>
        </w:numPr>
        <w:spacing w:line="360" w:lineRule="auto"/>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000000"/>
          <w:sz w:val="21"/>
          <w:szCs w:val="21"/>
          <w:highlight w:val="white"/>
        </w:rPr>
        <w:t>上述各类标准与法规必须是有关官方机构最新发布的现行标准版本。</w:t>
      </w:r>
    </w:p>
    <w:p w14:paraId="5172630D">
      <w:pPr>
        <w:keepNext w:val="0"/>
        <w:keepLines w:val="0"/>
        <w:pageBreakBefore w:val="0"/>
        <w:widowControl w:val="0"/>
        <w:numPr>
          <w:ilvl w:val="-1"/>
          <w:numId w:val="0"/>
        </w:numPr>
        <w:tabs>
          <w:tab w:val="left" w:pos="540"/>
        </w:tabs>
        <w:kinsoku/>
        <w:wordWrap/>
        <w:overflowPunct/>
        <w:topLinePunct w:val="0"/>
        <w:autoSpaceDE/>
        <w:autoSpaceDN/>
        <w:bidi w:val="0"/>
        <w:adjustRightInd w:val="0"/>
        <w:snapToGrid/>
        <w:spacing w:line="312" w:lineRule="auto"/>
        <w:ind w:left="0" w:leftChars="0" w:firstLine="0" w:firstLineChars="0"/>
        <w:textAlignment w:val="auto"/>
        <w:rPr>
          <w:rFonts w:hint="eastAsia" w:ascii="宋体" w:hAnsi="宋体" w:eastAsia="宋体" w:cs="宋体"/>
          <w:b/>
          <w:bCs/>
          <w:color w:val="auto"/>
          <w:sz w:val="21"/>
          <w:szCs w:val="24"/>
          <w:lang w:val="en-US" w:eastAsia="zh-CN"/>
        </w:rPr>
      </w:pPr>
    </w:p>
    <w:p w14:paraId="3F582A3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eastAsia="宋体" w:cs="宋体"/>
          <w:b/>
          <w:color w:val="auto"/>
          <w:lang w:val="en-US" w:eastAsia="zh-CN"/>
        </w:rPr>
      </w:pPr>
      <w:r>
        <w:rPr>
          <w:rFonts w:hint="eastAsia" w:ascii="宋体" w:hAnsi="宋体" w:eastAsia="宋体" w:cs="宋体"/>
          <w:b/>
          <w:color w:val="auto"/>
          <w:lang w:eastAsia="zh-CN"/>
        </w:rPr>
        <w:t>第二部分</w:t>
      </w:r>
      <w:r>
        <w:rPr>
          <w:rFonts w:hint="eastAsia" w:ascii="宋体" w:hAnsi="宋体" w:eastAsia="宋体" w:cs="宋体"/>
          <w:b/>
          <w:color w:val="auto"/>
          <w:lang w:val="en-US" w:eastAsia="zh-CN"/>
        </w:rPr>
        <w:t xml:space="preserve">  商务要求</w:t>
      </w:r>
    </w:p>
    <w:p w14:paraId="56E8F6EF">
      <w:pPr>
        <w:keepNext w:val="0"/>
        <w:keepLines w:val="0"/>
        <w:pageBreakBefore w:val="0"/>
        <w:widowControl w:val="0"/>
        <w:numPr>
          <w:ilvl w:val="0"/>
          <w:numId w:val="16"/>
        </w:numPr>
        <w:tabs>
          <w:tab w:val="left" w:pos="540"/>
        </w:tabs>
        <w:kinsoku/>
        <w:wordWrap/>
        <w:overflowPunct/>
        <w:topLinePunct w:val="0"/>
        <w:autoSpaceDE/>
        <w:autoSpaceDN/>
        <w:bidi w:val="0"/>
        <w:adjustRightInd w:val="0"/>
        <w:snapToGri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报价要求</w:t>
      </w:r>
    </w:p>
    <w:p w14:paraId="32775DEF">
      <w:pPr>
        <w:keepNext w:val="0"/>
        <w:keepLines w:val="0"/>
        <w:pageBreakBefore w:val="0"/>
        <w:widowControl w:val="0"/>
        <w:numPr>
          <w:ilvl w:val="0"/>
          <w:numId w:val="17"/>
        </w:numPr>
        <w:tabs>
          <w:tab w:val="left" w:pos="540"/>
        </w:tabs>
        <w:kinsoku/>
        <w:wordWrap/>
        <w:overflowPunct/>
        <w:topLinePunct w:val="0"/>
        <w:autoSpaceDE/>
        <w:autoSpaceDN/>
        <w:bidi w:val="0"/>
        <w:adjustRightInd w:val="0"/>
        <w:snapToGrid/>
        <w:spacing w:line="312" w:lineRule="auto"/>
        <w:ind w:left="0" w:leftChars="0" w:firstLine="42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报价时</w:t>
      </w:r>
      <w:r>
        <w:rPr>
          <w:rFonts w:hint="eastAsia" w:ascii="宋体" w:hAnsi="宋体" w:eastAsia="宋体" w:cs="宋体"/>
          <w:color w:val="auto"/>
          <w:sz w:val="21"/>
          <w:szCs w:val="21"/>
          <w:highlight w:val="none"/>
          <w:lang w:eastAsia="zh-CN"/>
        </w:rPr>
        <w:t>应详细列明报价的具体构成（</w:t>
      </w:r>
      <w:r>
        <w:rPr>
          <w:rFonts w:hint="eastAsia" w:ascii="宋体" w:hAnsi="宋体" w:eastAsia="宋体" w:cs="宋体"/>
          <w:color w:val="auto"/>
          <w:sz w:val="21"/>
          <w:szCs w:val="21"/>
          <w:highlight w:val="none"/>
          <w:lang w:val="en-US" w:eastAsia="zh-CN"/>
        </w:rPr>
        <w:t>须包含三水文化中心安保驻点及巡护服务费、广东</w:t>
      </w:r>
      <w:r>
        <w:rPr>
          <w:rFonts w:hint="eastAsia" w:ascii="宋体" w:hAnsi="宋体" w:cs="宋体"/>
          <w:color w:val="auto"/>
          <w:sz w:val="21"/>
          <w:szCs w:val="21"/>
          <w:highlight w:val="none"/>
          <w:lang w:val="en-US" w:eastAsia="zh-CN"/>
        </w:rPr>
        <w:t>三水</w:t>
      </w:r>
      <w:r>
        <w:rPr>
          <w:rFonts w:hint="eastAsia" w:ascii="宋体" w:hAnsi="宋体" w:eastAsia="宋体" w:cs="宋体"/>
          <w:color w:val="auto"/>
          <w:sz w:val="21"/>
          <w:szCs w:val="21"/>
          <w:highlight w:val="none"/>
          <w:lang w:val="en-US" w:eastAsia="zh-CN"/>
        </w:rPr>
        <w:t>云东海湿地公园安保驻点及巡护服务费、</w:t>
      </w:r>
      <w:r>
        <w:rPr>
          <w:rFonts w:hint="eastAsia" w:ascii="宋体" w:hAnsi="宋体" w:cs="宋体"/>
          <w:color w:val="000000"/>
          <w:sz w:val="21"/>
          <w:szCs w:val="21"/>
          <w:highlight w:val="none"/>
          <w:lang w:val="en-US" w:eastAsia="zh-CN"/>
        </w:rPr>
        <w:t>临时增员费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合计的</w:t>
      </w:r>
      <w:r>
        <w:rPr>
          <w:rFonts w:hint="eastAsia" w:ascii="宋体" w:hAnsi="宋体" w:eastAsia="宋体" w:cs="宋体"/>
          <w:color w:val="auto"/>
          <w:sz w:val="21"/>
          <w:szCs w:val="21"/>
        </w:rPr>
        <w:t>投标报价不得高于本项目最高限价。本项目最高限价为人民币</w:t>
      </w:r>
      <w:r>
        <w:rPr>
          <w:rFonts w:hint="eastAsia" w:ascii="宋体" w:hAnsi="宋体" w:eastAsia="宋体" w:cs="宋体"/>
          <w:color w:val="auto"/>
          <w:sz w:val="21"/>
          <w:szCs w:val="21"/>
          <w:lang w:eastAsia="zh-CN"/>
        </w:rPr>
        <w:t>2,637,600.00</w:t>
      </w:r>
      <w:r>
        <w:rPr>
          <w:rFonts w:hint="eastAsia" w:ascii="宋体" w:hAnsi="宋体" w:eastAsia="宋体" w:cs="宋体"/>
          <w:color w:val="auto"/>
          <w:sz w:val="21"/>
          <w:szCs w:val="21"/>
        </w:rPr>
        <w:t xml:space="preserve">元。 </w:t>
      </w:r>
    </w:p>
    <w:p w14:paraId="53C7455F">
      <w:pPr>
        <w:keepNext w:val="0"/>
        <w:keepLines w:val="0"/>
        <w:pageBreakBefore w:val="0"/>
        <w:widowControl w:val="0"/>
        <w:numPr>
          <w:ilvl w:val="0"/>
          <w:numId w:val="17"/>
        </w:numPr>
        <w:tabs>
          <w:tab w:val="left" w:pos="540"/>
        </w:tabs>
        <w:kinsoku/>
        <w:wordWrap/>
        <w:overflowPunct/>
        <w:topLinePunct w:val="0"/>
        <w:autoSpaceDE/>
        <w:autoSpaceDN/>
        <w:bidi w:val="0"/>
        <w:adjustRightInd w:val="0"/>
        <w:snapToGrid/>
        <w:spacing w:line="312" w:lineRule="auto"/>
        <w:ind w:left="0" w:leftChars="0" w:firstLine="42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rPr>
        <w:t>报价方式为</w:t>
      </w:r>
      <w:r>
        <w:rPr>
          <w:rFonts w:hint="eastAsia" w:ascii="宋体" w:hAnsi="宋体" w:eastAsia="宋体" w:cs="宋体"/>
          <w:color w:val="auto"/>
          <w:sz w:val="21"/>
          <w:szCs w:val="21"/>
          <w:lang w:val="en-US" w:eastAsia="zh-CN"/>
        </w:rPr>
        <w:t>佛山市三水云东海创智城产业发展有限公司安保服务的总价</w:t>
      </w:r>
      <w:r>
        <w:rPr>
          <w:rFonts w:hint="eastAsia" w:ascii="宋体" w:hAnsi="宋体" w:eastAsia="宋体" w:cs="宋体"/>
          <w:color w:val="auto"/>
          <w:sz w:val="21"/>
          <w:szCs w:val="21"/>
        </w:rPr>
        <w:t>包干价（含税）。投标总价指投标人为完成本项目所收取的全部费用，包含但不限于以下费用：</w:t>
      </w:r>
      <w:r>
        <w:rPr>
          <w:rFonts w:hint="eastAsia" w:ascii="宋体" w:hAnsi="宋体" w:eastAsia="宋体" w:cs="宋体"/>
          <w:color w:val="auto"/>
          <w:sz w:val="21"/>
          <w:szCs w:val="21"/>
          <w:lang w:val="en-US" w:eastAsia="zh-CN"/>
        </w:rPr>
        <w:t>安保服务费、服装费、安保器材费、</w:t>
      </w:r>
      <w:r>
        <w:rPr>
          <w:rFonts w:hint="eastAsia" w:ascii="宋体" w:hAnsi="宋体" w:eastAsia="宋体" w:cs="宋体"/>
          <w:color w:val="auto"/>
          <w:sz w:val="21"/>
          <w:szCs w:val="21"/>
        </w:rPr>
        <w:t>人员工资及五险一金、绩效工资（含加班费，夜班费）、福利待遇含高温补贴、节日慰问费、年终奖、住宿餐费补贴等各类补贴）、商业意外险、各项税费、安保专用工具设备及完成本项目其他可预见和不可预见的所有费用等。投标人必须自行考虑本项目在实施期间的一切可能产生的费用。在合同执行过程中，</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将不再另行支付与本项目相关的任何费用。</w:t>
      </w:r>
    </w:p>
    <w:p w14:paraId="559E6774">
      <w:pPr>
        <w:keepNext w:val="0"/>
        <w:keepLines w:val="0"/>
        <w:pageBreakBefore w:val="0"/>
        <w:widowControl w:val="0"/>
        <w:numPr>
          <w:ilvl w:val="0"/>
          <w:numId w:val="17"/>
        </w:numPr>
        <w:tabs>
          <w:tab w:val="left" w:pos="540"/>
        </w:tabs>
        <w:kinsoku/>
        <w:wordWrap/>
        <w:overflowPunct/>
        <w:topLinePunct w:val="0"/>
        <w:autoSpaceDE/>
        <w:autoSpaceDN/>
        <w:bidi w:val="0"/>
        <w:adjustRightInd w:val="0"/>
        <w:snapToGrid/>
        <w:spacing w:line="312" w:lineRule="auto"/>
        <w:ind w:left="0" w:leftChars="0" w:firstLine="42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rPr>
        <w:t>报价已包含五险一金费用，中标人提供的服务人员如存在工伤、产假等情况的，中标人需补充对应的服务人员，相关的费用已包含在报价中，</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不额外支付其他费用</w:t>
      </w:r>
      <w:r>
        <w:rPr>
          <w:rFonts w:hint="eastAsia" w:ascii="宋体" w:hAnsi="宋体" w:eastAsia="宋体" w:cs="宋体"/>
          <w:color w:val="auto"/>
          <w:sz w:val="21"/>
          <w:szCs w:val="21"/>
          <w:lang w:eastAsia="zh-CN"/>
        </w:rPr>
        <w:t>。</w:t>
      </w:r>
    </w:p>
    <w:p w14:paraId="5450F4C7">
      <w:pPr>
        <w:keepNext w:val="0"/>
        <w:keepLines w:val="0"/>
        <w:pageBreakBefore w:val="0"/>
        <w:widowControl w:val="0"/>
        <w:numPr>
          <w:ilvl w:val="0"/>
          <w:numId w:val="17"/>
        </w:numPr>
        <w:tabs>
          <w:tab w:val="left" w:pos="540"/>
        </w:tabs>
        <w:kinsoku/>
        <w:wordWrap/>
        <w:overflowPunct/>
        <w:topLinePunct w:val="0"/>
        <w:autoSpaceDE/>
        <w:autoSpaceDN/>
        <w:bidi w:val="0"/>
        <w:adjustRightInd w:val="0"/>
        <w:snapToGrid/>
        <w:spacing w:line="312" w:lineRule="auto"/>
        <w:ind w:left="0" w:leftChars="0" w:firstLine="42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服务期间，如有涉及户外作业的，</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根据工作情况为服务人员购买</w:t>
      </w:r>
      <w:r>
        <w:rPr>
          <w:rFonts w:hint="eastAsia" w:ascii="宋体" w:hAnsi="宋体" w:eastAsia="宋体" w:cs="宋体"/>
          <w:b w:val="0"/>
          <w:bCs/>
          <w:color w:val="auto"/>
          <w:sz w:val="21"/>
          <w:szCs w:val="21"/>
          <w:highlight w:val="none"/>
          <w:lang w:eastAsia="zh-CN"/>
        </w:rPr>
        <w:t>人身意外等</w:t>
      </w:r>
      <w:r>
        <w:rPr>
          <w:rFonts w:hint="eastAsia" w:ascii="宋体" w:hAnsi="宋体" w:eastAsia="宋体" w:cs="宋体"/>
          <w:b w:val="0"/>
          <w:bCs/>
          <w:color w:val="auto"/>
          <w:sz w:val="21"/>
          <w:szCs w:val="21"/>
          <w:highlight w:val="none"/>
        </w:rPr>
        <w:t>保险，费用由</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负责。</w:t>
      </w:r>
    </w:p>
    <w:p w14:paraId="7FE063FF">
      <w:pPr>
        <w:keepNext w:val="0"/>
        <w:keepLines w:val="0"/>
        <w:pageBreakBefore w:val="0"/>
        <w:widowControl w:val="0"/>
        <w:numPr>
          <w:ilvl w:val="0"/>
          <w:numId w:val="16"/>
        </w:numPr>
        <w:tabs>
          <w:tab w:val="left" w:pos="540"/>
        </w:tabs>
        <w:kinsoku/>
        <w:wordWrap/>
        <w:overflowPunct/>
        <w:topLinePunct w:val="0"/>
        <w:autoSpaceDE/>
        <w:autoSpaceDN/>
        <w:bidi w:val="0"/>
        <w:adjustRightInd w:val="0"/>
        <w:snapToGri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服务期</w:t>
      </w:r>
    </w:p>
    <w:p w14:paraId="08A15034">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spacing w:line="312"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snapToGrid/>
          <w:color w:val="auto"/>
          <w:spacing w:val="0"/>
          <w:kern w:val="2"/>
          <w:sz w:val="21"/>
          <w:szCs w:val="21"/>
          <w:highlight w:val="none"/>
          <w:lang w:val="en-US" w:eastAsia="zh-CN"/>
        </w:rPr>
        <w:t>自合同签订之日起1年，即从2025年10月1日至2026年9月30日。</w:t>
      </w:r>
    </w:p>
    <w:p w14:paraId="2C876C77">
      <w:pPr>
        <w:keepNext w:val="0"/>
        <w:keepLines w:val="0"/>
        <w:pageBreakBefore w:val="0"/>
        <w:widowControl w:val="0"/>
        <w:numPr>
          <w:ilvl w:val="0"/>
          <w:numId w:val="16"/>
        </w:numPr>
        <w:tabs>
          <w:tab w:val="left" w:pos="540"/>
        </w:tabs>
        <w:kinsoku/>
        <w:wordWrap/>
        <w:overflowPunct/>
        <w:topLinePunct w:val="0"/>
        <w:autoSpaceDE/>
        <w:autoSpaceDN/>
        <w:bidi w:val="0"/>
        <w:adjustRightInd w:val="0"/>
        <w:snapToGri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服务地点</w:t>
      </w:r>
    </w:p>
    <w:p w14:paraId="299265FB">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spacing w:line="312" w:lineRule="auto"/>
        <w:ind w:leftChars="0" w:firstLine="420" w:firstLineChars="200"/>
        <w:textAlignment w:val="auto"/>
        <w:rPr>
          <w:rFonts w:hint="eastAsia" w:ascii="宋体" w:hAnsi="宋体" w:eastAsia="宋体" w:cs="宋体"/>
          <w:snapToGrid/>
          <w:color w:val="auto"/>
          <w:spacing w:val="0"/>
          <w:kern w:val="2"/>
          <w:sz w:val="21"/>
          <w:szCs w:val="21"/>
          <w:highlight w:val="none"/>
          <w:lang w:val="en-US" w:eastAsia="zh-CN"/>
        </w:rPr>
      </w:pPr>
      <w:r>
        <w:rPr>
          <w:rFonts w:hint="eastAsia" w:ascii="宋体" w:hAnsi="宋体" w:eastAsia="宋体" w:cs="宋体"/>
          <w:snapToGrid/>
          <w:color w:val="auto"/>
          <w:spacing w:val="0"/>
          <w:kern w:val="2"/>
          <w:sz w:val="21"/>
          <w:szCs w:val="21"/>
          <w:highlight w:val="none"/>
          <w:lang w:val="en-US" w:eastAsia="zh-CN"/>
        </w:rPr>
        <w:t>招标人指定地点（佛山市内）。</w:t>
      </w:r>
    </w:p>
    <w:p w14:paraId="461B7118">
      <w:pPr>
        <w:keepNext w:val="0"/>
        <w:keepLines w:val="0"/>
        <w:pageBreakBefore w:val="0"/>
        <w:widowControl w:val="0"/>
        <w:numPr>
          <w:ilvl w:val="0"/>
          <w:numId w:val="16"/>
        </w:numPr>
        <w:tabs>
          <w:tab w:val="left" w:pos="540"/>
        </w:tabs>
        <w:kinsoku/>
        <w:wordWrap/>
        <w:overflowPunct/>
        <w:topLinePunct w:val="0"/>
        <w:autoSpaceDE/>
        <w:autoSpaceDN/>
        <w:bidi w:val="0"/>
        <w:adjustRightInd w:val="0"/>
        <w:snapToGri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人员配备要求</w:t>
      </w:r>
    </w:p>
    <w:p w14:paraId="0DC60F3E">
      <w:pPr>
        <w:keepNext w:val="0"/>
        <w:keepLines w:val="0"/>
        <w:pageBreakBefore w:val="0"/>
        <w:widowControl w:val="0"/>
        <w:numPr>
          <w:ilvl w:val="0"/>
          <w:numId w:val="18"/>
        </w:numPr>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按照</w:t>
      </w:r>
      <w:r>
        <w:rPr>
          <w:rFonts w:hint="eastAsia" w:ascii="宋体" w:hAnsi="宋体" w:eastAsia="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实际要求配备</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rPr>
        <w:t>服务人员不得随意更换；如需更换的，则必须征得</w:t>
      </w:r>
      <w:r>
        <w:rPr>
          <w:rFonts w:hint="eastAsia" w:ascii="宋体" w:hAnsi="宋体" w:eastAsia="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的同意，经试用符合要求方可更换，且在更换前应保证不少于</w:t>
      </w:r>
      <w:r>
        <w:rPr>
          <w:rFonts w:hint="eastAsia" w:ascii="宋体" w:hAnsi="宋体" w:eastAsia="宋体" w:cs="宋体"/>
          <w:b w:val="0"/>
          <w:bCs/>
          <w:color w:val="auto"/>
          <w:sz w:val="21"/>
          <w:szCs w:val="21"/>
          <w:highlight w:val="none"/>
          <w:lang w:val="en-US" w:eastAsia="zh-CN"/>
        </w:rPr>
        <w:t>原有数量的</w:t>
      </w:r>
      <w:r>
        <w:rPr>
          <w:rFonts w:hint="eastAsia" w:ascii="宋体" w:hAnsi="宋体" w:eastAsia="宋体" w:cs="宋体"/>
          <w:b w:val="0"/>
          <w:bCs/>
          <w:color w:val="auto"/>
          <w:sz w:val="21"/>
          <w:szCs w:val="21"/>
          <w:highlight w:val="none"/>
        </w:rPr>
        <w:t>服务人员在岗。</w:t>
      </w:r>
    </w:p>
    <w:p w14:paraId="74AE9DC2">
      <w:pPr>
        <w:keepNext w:val="0"/>
        <w:keepLines w:val="0"/>
        <w:pageBreakBefore w:val="0"/>
        <w:widowControl w:val="0"/>
        <w:numPr>
          <w:ilvl w:val="0"/>
          <w:numId w:val="18"/>
        </w:numPr>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有义务做好服务人员的岗前培训工作</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须遵守与本项目相关的法律法规，对违反相关法律要求的，</w:t>
      </w:r>
      <w:r>
        <w:rPr>
          <w:rFonts w:hint="eastAsia" w:ascii="宋体" w:hAnsi="宋体" w:eastAsia="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有权追究其法律责任。</w:t>
      </w:r>
    </w:p>
    <w:p w14:paraId="59F8C8F1">
      <w:pPr>
        <w:keepNext w:val="0"/>
        <w:keepLines w:val="0"/>
        <w:pageBreakBefore w:val="0"/>
        <w:widowControl w:val="0"/>
        <w:numPr>
          <w:ilvl w:val="0"/>
          <w:numId w:val="18"/>
        </w:numPr>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在</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服务过程中，</w:t>
      </w:r>
      <w:r>
        <w:rPr>
          <w:rFonts w:hint="eastAsia" w:ascii="宋体" w:hAnsi="宋体" w:eastAsia="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有权要求</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对服务人员进行岗位调配，对不能胜任或不符合业务要求的服务人员进行更换。因服务人员个人出现违反工作纪律问题及业务过失，</w:t>
      </w:r>
      <w:r>
        <w:rPr>
          <w:rFonts w:hint="eastAsia" w:ascii="宋体" w:hAnsi="宋体" w:eastAsia="宋体" w:cs="宋体"/>
          <w:b w:val="0"/>
          <w:bCs/>
          <w:color w:val="auto"/>
          <w:sz w:val="21"/>
          <w:szCs w:val="21"/>
          <w:highlight w:val="none"/>
          <w:lang w:eastAsia="zh-CN"/>
        </w:rPr>
        <w:t>遭受</w:t>
      </w:r>
      <w:r>
        <w:rPr>
          <w:rFonts w:hint="eastAsia" w:ascii="宋体" w:hAnsi="宋体" w:eastAsia="宋体" w:cs="宋体"/>
          <w:b w:val="0"/>
          <w:bCs/>
          <w:color w:val="auto"/>
          <w:sz w:val="21"/>
          <w:szCs w:val="21"/>
          <w:highlight w:val="none"/>
        </w:rPr>
        <w:t>投诉</w:t>
      </w:r>
      <w:r>
        <w:rPr>
          <w:rFonts w:hint="eastAsia" w:ascii="宋体" w:hAnsi="宋体" w:eastAsia="宋体" w:cs="宋体"/>
          <w:b w:val="0"/>
          <w:bCs/>
          <w:color w:val="auto"/>
          <w:sz w:val="21"/>
          <w:szCs w:val="21"/>
          <w:highlight w:val="none"/>
          <w:lang w:eastAsia="zh-CN"/>
        </w:rPr>
        <w:t>且</w:t>
      </w:r>
      <w:r>
        <w:rPr>
          <w:rFonts w:hint="eastAsia" w:ascii="宋体" w:hAnsi="宋体" w:eastAsia="宋体" w:cs="宋体"/>
          <w:b w:val="0"/>
          <w:bCs/>
          <w:color w:val="auto"/>
          <w:sz w:val="21"/>
          <w:szCs w:val="21"/>
          <w:highlight w:val="none"/>
        </w:rPr>
        <w:t>造成不良影响等行为的，</w:t>
      </w:r>
      <w:r>
        <w:rPr>
          <w:rFonts w:hint="eastAsia" w:ascii="宋体" w:hAnsi="宋体" w:eastAsia="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有权利要求</w:t>
      </w:r>
      <w:r>
        <w:rPr>
          <w:rFonts w:hint="eastAsia" w:ascii="宋体" w:hAnsi="宋体" w:eastAsia="宋体" w:cs="宋体"/>
          <w:b w:val="0"/>
          <w:bCs/>
          <w:color w:val="auto"/>
          <w:sz w:val="21"/>
          <w:szCs w:val="21"/>
          <w:highlight w:val="none"/>
          <w:lang w:eastAsia="zh-CN"/>
        </w:rPr>
        <w:t>中标人及时更换</w:t>
      </w:r>
      <w:r>
        <w:rPr>
          <w:rFonts w:hint="eastAsia" w:ascii="宋体" w:hAnsi="宋体" w:eastAsia="宋体" w:cs="宋体"/>
          <w:b w:val="0"/>
          <w:bCs/>
          <w:color w:val="auto"/>
          <w:sz w:val="21"/>
          <w:szCs w:val="21"/>
          <w:highlight w:val="none"/>
        </w:rPr>
        <w:t>服务人员。</w:t>
      </w:r>
    </w:p>
    <w:p w14:paraId="010E907E">
      <w:pPr>
        <w:keepNext w:val="0"/>
        <w:keepLines w:val="0"/>
        <w:pageBreakBefore w:val="0"/>
        <w:widowControl w:val="0"/>
        <w:numPr>
          <w:ilvl w:val="0"/>
          <w:numId w:val="18"/>
        </w:numPr>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服务人员须经</w:t>
      </w:r>
      <w:r>
        <w:rPr>
          <w:rFonts w:hint="eastAsia" w:ascii="宋体" w:hAnsi="宋体" w:eastAsia="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审核确认后方能上岗。未经</w:t>
      </w:r>
      <w:r>
        <w:rPr>
          <w:rFonts w:hint="eastAsia" w:ascii="宋体" w:hAnsi="宋体" w:eastAsia="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审核确认的人员，</w:t>
      </w:r>
      <w:r>
        <w:rPr>
          <w:rFonts w:hint="eastAsia" w:ascii="宋体" w:hAnsi="宋体" w:eastAsia="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可以不予接纳，</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与</w:t>
      </w:r>
      <w:r>
        <w:rPr>
          <w:rFonts w:hint="eastAsia" w:ascii="宋体" w:hAnsi="宋体" w:eastAsia="宋体" w:cs="宋体"/>
          <w:b w:val="0"/>
          <w:bCs/>
          <w:color w:val="auto"/>
          <w:sz w:val="21"/>
          <w:szCs w:val="21"/>
          <w:highlight w:val="none"/>
          <w:lang w:eastAsia="zh-CN"/>
        </w:rPr>
        <w:t>服务人员成立劳动合同关系</w:t>
      </w:r>
      <w:r>
        <w:rPr>
          <w:rFonts w:hint="eastAsia" w:ascii="宋体" w:hAnsi="宋体" w:eastAsia="宋体" w:cs="宋体"/>
          <w:b w:val="0"/>
          <w:bCs/>
          <w:color w:val="auto"/>
          <w:sz w:val="21"/>
          <w:szCs w:val="21"/>
          <w:highlight w:val="none"/>
        </w:rPr>
        <w:t>而承担的法律责任与</w:t>
      </w:r>
      <w:r>
        <w:rPr>
          <w:rFonts w:hint="eastAsia" w:ascii="宋体" w:hAnsi="宋体" w:eastAsia="宋体" w:cs="宋体"/>
          <w:b w:val="0"/>
          <w:bCs/>
          <w:color w:val="auto"/>
          <w:sz w:val="21"/>
          <w:szCs w:val="21"/>
          <w:highlight w:val="none"/>
          <w:lang w:eastAsia="zh-CN"/>
        </w:rPr>
        <w:t>招标人</w:t>
      </w:r>
      <w:r>
        <w:rPr>
          <w:rFonts w:hint="eastAsia" w:ascii="宋体" w:hAnsi="宋体" w:eastAsia="宋体" w:cs="宋体"/>
          <w:b w:val="0"/>
          <w:bCs/>
          <w:color w:val="auto"/>
          <w:sz w:val="21"/>
          <w:szCs w:val="21"/>
          <w:highlight w:val="none"/>
        </w:rPr>
        <w:t>无关。</w:t>
      </w:r>
    </w:p>
    <w:p w14:paraId="11553452">
      <w:pPr>
        <w:keepNext w:val="0"/>
        <w:keepLines w:val="0"/>
        <w:pageBreakBefore w:val="0"/>
        <w:widowControl w:val="0"/>
        <w:numPr>
          <w:ilvl w:val="0"/>
          <w:numId w:val="18"/>
        </w:numPr>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中标人须按有关劳动法规为本项目服务人员签订劳动合同；</w:t>
      </w:r>
      <w:r>
        <w:rPr>
          <w:rFonts w:hint="eastAsia" w:ascii="宋体" w:hAnsi="宋体" w:eastAsia="宋体" w:cs="宋体"/>
          <w:b w:val="0"/>
          <w:bCs/>
          <w:color w:val="auto"/>
          <w:sz w:val="21"/>
          <w:szCs w:val="21"/>
          <w:highlight w:val="none"/>
          <w:lang w:val="en-US" w:eastAsia="zh-CN"/>
        </w:rPr>
        <w:t>为其办理</w:t>
      </w:r>
      <w:r>
        <w:rPr>
          <w:rFonts w:hint="eastAsia" w:ascii="宋体" w:hAnsi="宋体" w:eastAsia="宋体" w:cs="宋体"/>
          <w:b w:val="0"/>
          <w:bCs/>
          <w:color w:val="auto"/>
          <w:sz w:val="21"/>
          <w:szCs w:val="21"/>
          <w:highlight w:val="none"/>
        </w:rPr>
        <w:t>社会保险</w:t>
      </w:r>
      <w:r>
        <w:rPr>
          <w:rFonts w:hint="eastAsia" w:ascii="宋体" w:hAnsi="宋体" w:eastAsia="宋体" w:cs="宋体"/>
          <w:b w:val="0"/>
          <w:bCs/>
          <w:color w:val="auto"/>
          <w:sz w:val="21"/>
          <w:szCs w:val="21"/>
          <w:highlight w:val="none"/>
          <w:lang w:eastAsia="zh-CN"/>
        </w:rPr>
        <w:t>、公积金；</w:t>
      </w:r>
      <w:r>
        <w:rPr>
          <w:rFonts w:hint="eastAsia" w:ascii="宋体" w:hAnsi="宋体" w:eastAsia="宋体" w:cs="宋体"/>
          <w:b w:val="0"/>
          <w:bCs/>
          <w:color w:val="auto"/>
          <w:sz w:val="21"/>
          <w:szCs w:val="21"/>
          <w:highlight w:val="none"/>
          <w:lang w:val="en-US" w:eastAsia="zh-CN"/>
        </w:rPr>
        <w:t>按时发放</w:t>
      </w:r>
      <w:r>
        <w:rPr>
          <w:rFonts w:hint="eastAsia" w:ascii="宋体" w:hAnsi="宋体" w:eastAsia="宋体" w:cs="宋体"/>
          <w:b w:val="0"/>
          <w:bCs/>
          <w:color w:val="auto"/>
          <w:sz w:val="21"/>
          <w:szCs w:val="21"/>
          <w:highlight w:val="none"/>
        </w:rPr>
        <w:t>薪酬</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缴纳个人所得税等</w:t>
      </w:r>
      <w:r>
        <w:rPr>
          <w:rFonts w:hint="eastAsia" w:ascii="宋体" w:hAnsi="宋体" w:eastAsia="宋体" w:cs="宋体"/>
          <w:b w:val="0"/>
          <w:bCs/>
          <w:color w:val="auto"/>
          <w:sz w:val="21"/>
          <w:szCs w:val="21"/>
          <w:highlight w:val="none"/>
          <w:lang w:eastAsia="zh-CN"/>
        </w:rPr>
        <w:t>，中标人根据当地有关社保规定征缴服务人员的社会保险等；</w:t>
      </w:r>
      <w:r>
        <w:rPr>
          <w:rFonts w:hint="eastAsia" w:ascii="宋体" w:hAnsi="宋体" w:eastAsia="宋体" w:cs="宋体"/>
          <w:b w:val="0"/>
          <w:bCs/>
          <w:color w:val="auto"/>
          <w:sz w:val="21"/>
          <w:szCs w:val="21"/>
          <w:highlight w:val="none"/>
        </w:rPr>
        <w:t>若国家、省、市政府在征缴期间有新的政策规定，</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必须及时按新规定进行调整。</w:t>
      </w:r>
      <w:r>
        <w:rPr>
          <w:rFonts w:hint="eastAsia" w:ascii="宋体" w:hAnsi="宋体" w:eastAsia="宋体" w:cs="宋体"/>
          <w:b w:val="0"/>
          <w:bCs/>
          <w:color w:val="auto"/>
          <w:sz w:val="21"/>
          <w:szCs w:val="21"/>
          <w:highlight w:val="none"/>
          <w:lang w:eastAsia="zh-CN"/>
        </w:rPr>
        <w:t>因中标人违法用工导致影响本项目合同履行的，招标人有权单方解除合同并不予退还中标人履约保证金；因中标人违法用工导致招标人产生损失的，中标人须赔偿招标人损失，招标人有权将本项目项下的服务费用、履约保证金优先用于抵扣损失。</w:t>
      </w:r>
    </w:p>
    <w:p w14:paraId="32FE661B">
      <w:pPr>
        <w:keepNext w:val="0"/>
        <w:keepLines w:val="0"/>
        <w:pageBreakBefore w:val="0"/>
        <w:widowControl w:val="0"/>
        <w:numPr>
          <w:ilvl w:val="0"/>
          <w:numId w:val="18"/>
        </w:numPr>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服务期间，服务人员发生各种事故，包括治安、安全、交通和违反计划生育、劳资纠纷、工伤等事件及其他各种损失，由中标人自行承担和负责赔偿，与招标人无关；如由此造成招标人承担损失的，招标人保留向中标人追索的权利，招标人有权将本项目项下的服务费用、履约保证金优先用于抵扣损失</w:t>
      </w:r>
      <w:r>
        <w:rPr>
          <w:rFonts w:hint="eastAsia" w:ascii="宋体" w:hAnsi="宋体" w:eastAsia="宋体" w:cs="宋体"/>
          <w:b w:val="0"/>
          <w:bCs/>
          <w:color w:val="auto"/>
          <w:sz w:val="21"/>
          <w:szCs w:val="21"/>
          <w:highlight w:val="none"/>
        </w:rPr>
        <w:t>。</w:t>
      </w:r>
    </w:p>
    <w:p w14:paraId="60B613C6">
      <w:pPr>
        <w:keepNext w:val="0"/>
        <w:keepLines w:val="0"/>
        <w:pageBreakBefore w:val="0"/>
        <w:widowControl w:val="0"/>
        <w:numPr>
          <w:ilvl w:val="0"/>
          <w:numId w:val="18"/>
        </w:numPr>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人视实际情况需要，将提前向中标人发出人员需求的通知书，中标人收到通知书后按招标人要求按时按人员按要求提供相应服务。如招标人需要中标人增加服务人员的，按所增加服务人员到岗当天起参照同岗位人员的单价限价计算相关服务费，所增加服务人员首次到岗至月结时间不足一个月的则按实际到岗天数计算。</w:t>
      </w:r>
    </w:p>
    <w:p w14:paraId="40EFA1AA">
      <w:pPr>
        <w:keepNext w:val="0"/>
        <w:keepLines w:val="0"/>
        <w:pageBreakBefore w:val="0"/>
        <w:widowControl w:val="0"/>
        <w:numPr>
          <w:ilvl w:val="0"/>
          <w:numId w:val="16"/>
        </w:numPr>
        <w:tabs>
          <w:tab w:val="left" w:pos="540"/>
        </w:tabs>
        <w:kinsoku/>
        <w:wordWrap/>
        <w:overflowPunct/>
        <w:topLinePunct w:val="0"/>
        <w:autoSpaceDE/>
        <w:autoSpaceDN/>
        <w:bidi w:val="0"/>
        <w:adjustRightInd w:val="0"/>
        <w:snapToGri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验收标准</w:t>
      </w:r>
    </w:p>
    <w:p w14:paraId="3F1E1100">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spacing w:line="312" w:lineRule="auto"/>
        <w:ind w:leftChars="0" w:firstLine="420" w:firstLineChars="200"/>
        <w:textAlignment w:val="auto"/>
        <w:rPr>
          <w:rFonts w:hint="eastAsia" w:ascii="宋体" w:hAnsi="宋体" w:eastAsia="宋体" w:cs="宋体"/>
          <w:snapToGrid/>
          <w:color w:val="auto"/>
          <w:spacing w:val="0"/>
          <w:kern w:val="2"/>
          <w:sz w:val="21"/>
          <w:szCs w:val="21"/>
          <w:highlight w:val="none"/>
          <w:lang w:val="en-US" w:eastAsia="zh-CN"/>
        </w:rPr>
      </w:pPr>
      <w:r>
        <w:rPr>
          <w:rFonts w:hint="eastAsia" w:ascii="宋体" w:hAnsi="宋体" w:eastAsia="宋体" w:cs="宋体"/>
          <w:snapToGrid/>
          <w:color w:val="auto"/>
          <w:spacing w:val="0"/>
          <w:kern w:val="2"/>
          <w:sz w:val="21"/>
          <w:szCs w:val="21"/>
          <w:highlight w:val="none"/>
          <w:lang w:val="en-US" w:eastAsia="zh-CN"/>
        </w:rPr>
        <w:t>招标人根据工作实际对中标人进行考核（每月至少一次不定期考核），对中标人的工作进行督促检查，发现没有达到工作要求可根据每一项检查内容对中标人给予相应的扣分，服务期内招标人发现需要整改的，中标人应在招标人要求时限内进行整改，逾期或不积极配合的，或出现上述情况累计达3次或以上的，招标人有权单方面解除合同并不予退还中标人履约保证金，同时中标人承担相应的责任和赔偿招标人损失。</w:t>
      </w:r>
    </w:p>
    <w:p w14:paraId="7B82F4C4">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spacing w:line="312" w:lineRule="auto"/>
        <w:ind w:leftChars="0" w:firstLine="422" w:firstLineChars="200"/>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highlight w:val="none"/>
        </w:rPr>
        <w:t>以下考核表仅供参考，</w:t>
      </w:r>
      <w:r>
        <w:rPr>
          <w:rFonts w:hint="eastAsia" w:ascii="宋体" w:hAnsi="宋体" w:eastAsia="宋体" w:cs="宋体"/>
          <w:b/>
          <w:bCs/>
          <w:color w:val="auto"/>
          <w:sz w:val="21"/>
          <w:szCs w:val="21"/>
          <w:highlight w:val="none"/>
        </w:rPr>
        <w:t>对</w:t>
      </w:r>
      <w:r>
        <w:rPr>
          <w:rFonts w:hint="eastAsia" w:ascii="宋体" w:hAnsi="宋体" w:eastAsia="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rPr>
        <w:t>实行考核计分制，每月最高100分。</w:t>
      </w:r>
      <w:r>
        <w:rPr>
          <w:rFonts w:hint="eastAsia" w:ascii="宋体" w:hAnsi="宋体" w:eastAsia="宋体" w:cs="宋体"/>
          <w:b/>
          <w:color w:val="auto"/>
          <w:sz w:val="21"/>
          <w:szCs w:val="21"/>
          <w:highlight w:val="none"/>
        </w:rPr>
        <w:t>具体考核细则将由</w:t>
      </w:r>
      <w:r>
        <w:rPr>
          <w:rFonts w:hint="eastAsia" w:ascii="宋体" w:hAnsi="宋体" w:eastAsia="宋体" w:cs="宋体"/>
          <w:b/>
          <w:color w:val="auto"/>
          <w:sz w:val="21"/>
          <w:szCs w:val="21"/>
          <w:highlight w:val="none"/>
          <w:lang w:eastAsia="zh-CN"/>
        </w:rPr>
        <w:t>招标人</w:t>
      </w:r>
      <w:r>
        <w:rPr>
          <w:rFonts w:hint="eastAsia" w:ascii="宋体" w:hAnsi="宋体" w:eastAsia="宋体" w:cs="宋体"/>
          <w:b/>
          <w:color w:val="auto"/>
          <w:sz w:val="21"/>
          <w:szCs w:val="21"/>
          <w:highlight w:val="none"/>
        </w:rPr>
        <w:t>根据实际情况修改，</w:t>
      </w:r>
      <w:r>
        <w:rPr>
          <w:rFonts w:hint="eastAsia" w:ascii="宋体" w:hAnsi="宋体" w:eastAsia="宋体" w:cs="宋体"/>
          <w:b/>
          <w:color w:val="auto"/>
          <w:sz w:val="21"/>
          <w:szCs w:val="21"/>
          <w:highlight w:val="none"/>
          <w:lang w:eastAsia="zh-CN"/>
        </w:rPr>
        <w:t>招标人</w:t>
      </w:r>
      <w:r>
        <w:rPr>
          <w:rFonts w:hint="eastAsia" w:ascii="宋体" w:hAnsi="宋体" w:eastAsia="宋体" w:cs="宋体"/>
          <w:b/>
          <w:color w:val="auto"/>
          <w:sz w:val="21"/>
          <w:szCs w:val="21"/>
          <w:highlight w:val="none"/>
        </w:rPr>
        <w:t>对考核表保持最终修改权和解释权。</w:t>
      </w:r>
    </w:p>
    <w:tbl>
      <w:tblPr>
        <w:tblStyle w:val="19"/>
        <w:tblW w:w="500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4"/>
        <w:gridCol w:w="375"/>
        <w:gridCol w:w="1380"/>
        <w:gridCol w:w="1739"/>
        <w:gridCol w:w="1877"/>
        <w:gridCol w:w="1651"/>
        <w:gridCol w:w="874"/>
      </w:tblGrid>
      <w:tr w14:paraId="6419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5000" w:type="pct"/>
            <w:gridSpan w:val="7"/>
            <w:tcBorders>
              <w:top w:val="nil"/>
              <w:left w:val="nil"/>
              <w:bottom w:val="nil"/>
              <w:right w:val="nil"/>
            </w:tcBorders>
            <w:noWrap w:val="0"/>
            <w:vAlign w:val="center"/>
          </w:tcPr>
          <w:p w14:paraId="6B152521">
            <w:pPr>
              <w:keepNext w:val="0"/>
              <w:keepLines w:val="0"/>
              <w:pageBreakBefore w:val="0"/>
              <w:widowControl/>
              <w:suppressLineNumbers w:val="0"/>
              <w:kinsoku/>
              <w:wordWrap/>
              <w:overflowPunct/>
              <w:topLinePunct w:val="0"/>
              <w:autoSpaceDE/>
              <w:autoSpaceDN/>
              <w:bidi w:val="0"/>
              <w:snapToGrid/>
              <w:spacing w:line="240" w:lineRule="auto"/>
              <w:jc w:val="center"/>
              <w:textAlignment w:val="top"/>
              <w:rPr>
                <w:rFonts w:hint="eastAsia" w:ascii="宋体" w:hAnsi="宋体" w:eastAsia="宋体" w:cs="宋体"/>
                <w:b/>
                <w:bCs/>
                <w:i w:val="0"/>
                <w:iCs w:val="0"/>
                <w:color w:val="auto"/>
                <w:sz w:val="21"/>
                <w:szCs w:val="21"/>
                <w:u w:val="single"/>
              </w:rPr>
            </w:pPr>
            <w:r>
              <w:rPr>
                <w:rFonts w:hint="eastAsia" w:ascii="宋体" w:hAnsi="宋体" w:eastAsia="宋体" w:cs="宋体"/>
                <w:b/>
                <w:bCs/>
                <w:i w:val="0"/>
                <w:iCs w:val="0"/>
                <w:color w:val="auto"/>
                <w:sz w:val="21"/>
                <w:szCs w:val="21"/>
                <w:u w:val="none"/>
              </w:rPr>
              <w:t>保安服务质量考核表</w:t>
            </w:r>
          </w:p>
        </w:tc>
      </w:tr>
      <w:tr w14:paraId="7F43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5000" w:type="pct"/>
            <w:gridSpan w:val="7"/>
            <w:tcBorders>
              <w:top w:val="nil"/>
              <w:left w:val="nil"/>
              <w:bottom w:val="single" w:color="auto" w:sz="4" w:space="0"/>
              <w:right w:val="nil"/>
            </w:tcBorders>
            <w:noWrap/>
            <w:vAlign w:val="center"/>
          </w:tcPr>
          <w:p w14:paraId="21854B48">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auto"/>
                <w:sz w:val="21"/>
                <w:szCs w:val="21"/>
                <w:u w:val="none"/>
              </w:rPr>
            </w:pPr>
            <w:r>
              <w:rPr>
                <w:rStyle w:val="42"/>
                <w:rFonts w:hint="eastAsia" w:ascii="宋体" w:hAnsi="宋体" w:eastAsia="宋体" w:cs="宋体"/>
                <w:color w:val="auto"/>
                <w:sz w:val="21"/>
                <w:szCs w:val="21"/>
                <w:u w:val="none"/>
                <w:lang w:val="en-US" w:eastAsia="zh-CN" w:bidi="ar"/>
              </w:rPr>
              <w:t>项目地点：                                         日期：____年__月__日至____年__月__日</w:t>
            </w:r>
          </w:p>
        </w:tc>
      </w:tr>
      <w:tr w14:paraId="46C1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800" w:type="pct"/>
            <w:vMerge w:val="restart"/>
            <w:tcBorders>
              <w:top w:val="single" w:color="auto" w:sz="4" w:space="0"/>
              <w:left w:val="single" w:color="auto" w:sz="4" w:space="0"/>
              <w:bottom w:val="single" w:color="auto" w:sz="4" w:space="0"/>
              <w:right w:val="single" w:color="auto" w:sz="4" w:space="0"/>
            </w:tcBorders>
            <w:noWrap w:val="0"/>
            <w:vAlign w:val="center"/>
          </w:tcPr>
          <w:p w14:paraId="1B768E5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第一部分</w:t>
            </w:r>
          </w:p>
          <w:p w14:paraId="2A7AC47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日常工作考核</w:t>
            </w: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53CB587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z w:val="21"/>
                <w:szCs w:val="21"/>
                <w:u w:val="none"/>
              </w:rPr>
              <w:t>考核项目</w:t>
            </w:r>
          </w:p>
        </w:tc>
        <w:tc>
          <w:tcPr>
            <w:tcW w:w="2801" w:type="pct"/>
            <w:gridSpan w:val="3"/>
            <w:tcBorders>
              <w:top w:val="single" w:color="auto" w:sz="4" w:space="0"/>
              <w:left w:val="single" w:color="auto" w:sz="4" w:space="0"/>
              <w:bottom w:val="single" w:color="auto" w:sz="4" w:space="0"/>
              <w:right w:val="single" w:color="auto" w:sz="4" w:space="0"/>
            </w:tcBorders>
            <w:noWrap w:val="0"/>
            <w:vAlign w:val="center"/>
          </w:tcPr>
          <w:p w14:paraId="0D4AC08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z w:val="21"/>
                <w:szCs w:val="21"/>
                <w:u w:val="none"/>
              </w:rPr>
              <w:t>评分标准及内容</w:t>
            </w:r>
          </w:p>
        </w:tc>
        <w:tc>
          <w:tcPr>
            <w:tcW w:w="464" w:type="pct"/>
            <w:tcBorders>
              <w:top w:val="single" w:color="auto" w:sz="4" w:space="0"/>
              <w:left w:val="single" w:color="auto" w:sz="4" w:space="0"/>
              <w:bottom w:val="single" w:color="auto" w:sz="4" w:space="0"/>
              <w:right w:val="single" w:color="auto" w:sz="4" w:space="0"/>
            </w:tcBorders>
            <w:noWrap/>
            <w:vAlign w:val="center"/>
          </w:tcPr>
          <w:p w14:paraId="3A7A644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得分</w:t>
            </w:r>
          </w:p>
        </w:tc>
      </w:tr>
      <w:tr w14:paraId="3E4F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67E3677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1DB2C2D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在岗情况与纪律</w:t>
            </w:r>
          </w:p>
          <w:p w14:paraId="129107B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3EAD18D9">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15分：</w:t>
            </w:r>
            <w:r>
              <w:rPr>
                <w:rFonts w:hint="eastAsia" w:ascii="宋体" w:hAnsi="宋体" w:eastAsia="宋体" w:cs="宋体"/>
                <w:i w:val="0"/>
                <w:iCs w:val="0"/>
                <w:color w:val="auto"/>
                <w:sz w:val="21"/>
                <w:szCs w:val="21"/>
                <w:u w:val="none"/>
                <w:lang w:val="en-US" w:eastAsia="zh-CN"/>
              </w:rPr>
              <w:t>在岗</w:t>
            </w:r>
            <w:r>
              <w:rPr>
                <w:rFonts w:hint="eastAsia" w:ascii="宋体" w:hAnsi="宋体" w:eastAsia="宋体" w:cs="宋体"/>
                <w:i w:val="0"/>
                <w:iCs w:val="0"/>
                <w:color w:val="auto"/>
                <w:sz w:val="21"/>
                <w:szCs w:val="21"/>
                <w:u w:val="none"/>
              </w:rPr>
              <w:t>，无任何</w:t>
            </w:r>
            <w:r>
              <w:rPr>
                <w:rFonts w:hint="eastAsia" w:ascii="宋体" w:hAnsi="宋体" w:eastAsia="宋体" w:cs="宋体"/>
                <w:i w:val="0"/>
                <w:iCs w:val="0"/>
                <w:color w:val="auto"/>
                <w:sz w:val="21"/>
                <w:szCs w:val="21"/>
                <w:u w:val="none"/>
                <w:lang w:val="en-US" w:eastAsia="zh-CN"/>
              </w:rPr>
              <w:t>脱岗或者串岗</w:t>
            </w:r>
            <w:r>
              <w:rPr>
                <w:rFonts w:hint="eastAsia" w:ascii="宋体" w:hAnsi="宋体" w:eastAsia="宋体" w:cs="宋体"/>
                <w:i w:val="0"/>
                <w:iCs w:val="0"/>
                <w:color w:val="auto"/>
                <w:sz w:val="21"/>
                <w:szCs w:val="21"/>
                <w:u w:val="none"/>
              </w:rPr>
              <w:t>，严格遵守各项规章制度。</w:t>
            </w:r>
          </w:p>
          <w:p w14:paraId="3DC23866">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10-13分：偶有</w:t>
            </w:r>
            <w:r>
              <w:rPr>
                <w:rFonts w:hint="eastAsia" w:ascii="宋体" w:hAnsi="宋体" w:eastAsia="宋体" w:cs="宋体"/>
                <w:i w:val="0"/>
                <w:iCs w:val="0"/>
                <w:color w:val="auto"/>
                <w:sz w:val="21"/>
                <w:szCs w:val="21"/>
                <w:u w:val="none"/>
                <w:lang w:val="en-US" w:eastAsia="zh-CN"/>
              </w:rPr>
              <w:t>脱岗或者串岗</w:t>
            </w:r>
            <w:r>
              <w:rPr>
                <w:rFonts w:hint="eastAsia" w:ascii="宋体" w:hAnsi="宋体" w:eastAsia="宋体" w:cs="宋体"/>
                <w:i w:val="0"/>
                <w:iCs w:val="0"/>
                <w:color w:val="auto"/>
                <w:sz w:val="21"/>
                <w:szCs w:val="21"/>
                <w:u w:val="none"/>
              </w:rPr>
              <w:t>（1-2次），基本遵守纪律。</w:t>
            </w:r>
          </w:p>
          <w:p w14:paraId="4C45B14A">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w:t>
            </w:r>
            <w:r>
              <w:rPr>
                <w:rFonts w:hint="eastAsia" w:ascii="宋体" w:hAnsi="宋体" w:eastAsia="宋体" w:cs="宋体"/>
                <w:i w:val="0"/>
                <w:iCs w:val="0"/>
                <w:color w:val="auto"/>
                <w:sz w:val="21"/>
                <w:szCs w:val="21"/>
                <w:u w:val="none"/>
                <w:lang w:val="en-US" w:eastAsia="zh-CN"/>
              </w:rPr>
              <w:t>离岗</w:t>
            </w:r>
            <w:r>
              <w:rPr>
                <w:rFonts w:hint="eastAsia" w:ascii="宋体" w:hAnsi="宋体" w:eastAsia="宋体" w:cs="宋体"/>
                <w:i w:val="0"/>
                <w:iCs w:val="0"/>
                <w:color w:val="auto"/>
                <w:sz w:val="21"/>
                <w:szCs w:val="21"/>
                <w:u w:val="none"/>
              </w:rPr>
              <w:t>，或多次违纪，屡教不改。</w:t>
            </w:r>
          </w:p>
        </w:tc>
        <w:tc>
          <w:tcPr>
            <w:tcW w:w="464" w:type="pct"/>
            <w:tcBorders>
              <w:top w:val="single" w:color="auto" w:sz="4" w:space="0"/>
              <w:left w:val="single" w:color="auto" w:sz="4" w:space="0"/>
              <w:bottom w:val="single" w:color="auto" w:sz="4" w:space="0"/>
              <w:right w:val="single" w:color="auto" w:sz="4" w:space="0"/>
            </w:tcBorders>
            <w:noWrap/>
            <w:vAlign w:val="top"/>
          </w:tcPr>
          <w:p w14:paraId="36AF87C9">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02B2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5A400E0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64E92AD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仪容仪表</w:t>
            </w:r>
          </w:p>
          <w:p w14:paraId="544F291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7095E498">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10分：制服整洁统一，穿戴规范，精神饱满，姿态端正。</w:t>
            </w:r>
          </w:p>
          <w:p w14:paraId="22B628B9">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5-8分：基本符合要求，但偶有细节不整（如未戴帽、衣扣未扣）。</w:t>
            </w:r>
          </w:p>
          <w:p w14:paraId="0C72BE2E">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0分：仪容不整，严重影响公司形象。</w:t>
            </w:r>
          </w:p>
        </w:tc>
        <w:tc>
          <w:tcPr>
            <w:tcW w:w="464" w:type="pct"/>
            <w:tcBorders>
              <w:top w:val="single" w:color="auto" w:sz="4" w:space="0"/>
              <w:left w:val="single" w:color="auto" w:sz="4" w:space="0"/>
              <w:bottom w:val="single" w:color="auto" w:sz="4" w:space="0"/>
              <w:right w:val="single" w:color="auto" w:sz="4" w:space="0"/>
            </w:tcBorders>
            <w:noWrap/>
            <w:vAlign w:val="top"/>
          </w:tcPr>
          <w:p w14:paraId="5D8DDAB7">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3EA9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098A53D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0F7A18F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岗位职责履行</w:t>
            </w:r>
          </w:p>
          <w:p w14:paraId="6EA59ED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6DE76B3D">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15分：完全熟悉并出色履行岗位职责，工作主动性强。</w:t>
            </w:r>
          </w:p>
          <w:p w14:paraId="7D1CC614">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10-13分：能完成基本工作，但缺乏主动性，需督促。</w:t>
            </w:r>
          </w:p>
          <w:p w14:paraId="7D7FA758">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0分：玩忽职守，未能完成基本工作任务。</w:t>
            </w:r>
          </w:p>
        </w:tc>
        <w:tc>
          <w:tcPr>
            <w:tcW w:w="464" w:type="pct"/>
            <w:tcBorders>
              <w:top w:val="single" w:color="auto" w:sz="4" w:space="0"/>
              <w:left w:val="single" w:color="auto" w:sz="4" w:space="0"/>
              <w:bottom w:val="single" w:color="auto" w:sz="4" w:space="0"/>
              <w:right w:val="single" w:color="auto" w:sz="4" w:space="0"/>
            </w:tcBorders>
            <w:noWrap/>
            <w:vAlign w:val="top"/>
          </w:tcPr>
          <w:p w14:paraId="5FCA6101">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1178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43EF1DF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3BFA576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巡逻与检查</w:t>
            </w:r>
          </w:p>
          <w:p w14:paraId="4227C30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7AEB36F3">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5分：按时、按路线、按标准巡逻，记录清晰完整，能及时发现并上报隐患。</w:t>
            </w:r>
          </w:p>
          <w:p w14:paraId="548E3918">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3分：能完成巡逻，但记录潦草或不及时，发现问题能力一般。</w:t>
            </w:r>
          </w:p>
          <w:p w14:paraId="04C8A8C2">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0分：未按规定巡逻，或记录造假。</w:t>
            </w:r>
          </w:p>
        </w:tc>
        <w:tc>
          <w:tcPr>
            <w:tcW w:w="464" w:type="pct"/>
            <w:tcBorders>
              <w:top w:val="single" w:color="auto" w:sz="4" w:space="0"/>
              <w:left w:val="single" w:color="auto" w:sz="4" w:space="0"/>
              <w:bottom w:val="single" w:color="auto" w:sz="4" w:space="0"/>
              <w:right w:val="single" w:color="auto" w:sz="4" w:space="0"/>
            </w:tcBorders>
            <w:noWrap/>
            <w:vAlign w:val="top"/>
          </w:tcPr>
          <w:p w14:paraId="3B15A707">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5A61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800" w:type="pct"/>
            <w:vMerge w:val="restart"/>
            <w:tcBorders>
              <w:top w:val="single" w:color="auto" w:sz="4" w:space="0"/>
              <w:left w:val="single" w:color="auto" w:sz="4" w:space="0"/>
              <w:bottom w:val="single" w:color="auto" w:sz="4" w:space="0"/>
              <w:right w:val="single" w:color="auto" w:sz="4" w:space="0"/>
            </w:tcBorders>
            <w:noWrap/>
            <w:vAlign w:val="center"/>
          </w:tcPr>
          <w:p w14:paraId="08F7B2E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第二部分</w:t>
            </w:r>
          </w:p>
          <w:p w14:paraId="6F0AB5D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专业技能与知识考核</w:t>
            </w: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1BC8E3A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sz w:val="21"/>
                <w:szCs w:val="21"/>
                <w:u w:val="none"/>
              </w:rPr>
              <w:t>考核项目</w:t>
            </w:r>
          </w:p>
        </w:tc>
        <w:tc>
          <w:tcPr>
            <w:tcW w:w="2801" w:type="pct"/>
            <w:gridSpan w:val="3"/>
            <w:tcBorders>
              <w:top w:val="single" w:color="auto" w:sz="4" w:space="0"/>
              <w:left w:val="single" w:color="auto" w:sz="4" w:space="0"/>
              <w:bottom w:val="single" w:color="auto" w:sz="4" w:space="0"/>
              <w:right w:val="single" w:color="auto" w:sz="4" w:space="0"/>
            </w:tcBorders>
            <w:noWrap w:val="0"/>
            <w:vAlign w:val="center"/>
          </w:tcPr>
          <w:p w14:paraId="11A5D1B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sz w:val="21"/>
                <w:szCs w:val="21"/>
                <w:u w:val="none"/>
              </w:rPr>
              <w:t>评分标准及内容</w:t>
            </w:r>
          </w:p>
        </w:tc>
        <w:tc>
          <w:tcPr>
            <w:tcW w:w="464" w:type="pct"/>
            <w:tcBorders>
              <w:top w:val="single" w:color="auto" w:sz="4" w:space="0"/>
              <w:left w:val="single" w:color="auto" w:sz="4" w:space="0"/>
              <w:bottom w:val="single" w:color="auto" w:sz="4" w:space="0"/>
              <w:right w:val="single" w:color="auto" w:sz="4" w:space="0"/>
            </w:tcBorders>
            <w:noWrap/>
            <w:vAlign w:val="center"/>
          </w:tcPr>
          <w:p w14:paraId="2767CDC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sz w:val="21"/>
                <w:szCs w:val="21"/>
                <w:u w:val="none"/>
                <w:lang w:val="en-US" w:eastAsia="zh-CN"/>
              </w:rPr>
              <w:t>得分</w:t>
            </w:r>
          </w:p>
        </w:tc>
      </w:tr>
      <w:tr w14:paraId="49D0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2162608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092983E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消防知识与技能</w:t>
            </w:r>
          </w:p>
          <w:p w14:paraId="4B9FB8B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4228EC2E">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5分：熟练掌握消防器材使用、报警流程、疏散逃生知识，能熟练操作消防控制系 统。</w:t>
            </w:r>
          </w:p>
          <w:p w14:paraId="449B1965">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3分：了解基本知识，但操作不熟练或需他人指导。</w:t>
            </w:r>
          </w:p>
          <w:p w14:paraId="4462DE6B">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0分：完全不懂，或操作错误造成风险。</w:t>
            </w:r>
          </w:p>
        </w:tc>
        <w:tc>
          <w:tcPr>
            <w:tcW w:w="464" w:type="pct"/>
            <w:tcBorders>
              <w:top w:val="single" w:color="auto" w:sz="4" w:space="0"/>
              <w:left w:val="single" w:color="auto" w:sz="4" w:space="0"/>
              <w:bottom w:val="single" w:color="auto" w:sz="4" w:space="0"/>
              <w:right w:val="single" w:color="auto" w:sz="4" w:space="0"/>
            </w:tcBorders>
            <w:noWrap/>
            <w:vAlign w:val="top"/>
          </w:tcPr>
          <w:p w14:paraId="2A7D83C0">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2CA4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3673B46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137AE95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应急处理能力</w:t>
            </w:r>
          </w:p>
          <w:p w14:paraId="4B5F562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368B7537">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10分：遇突发事件（纠纷、火警、盗窃等）能沉着冷静，按预案正确处置，报告 及时。</w:t>
            </w:r>
          </w:p>
          <w:p w14:paraId="0F82ED83">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5-8分：能进行基本处置和报告，但略显慌乱或程序不完整。</w:t>
            </w:r>
          </w:p>
          <w:p w14:paraId="57B09CD8">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0分：面对事件不知所措，处置严重失误。</w:t>
            </w:r>
          </w:p>
        </w:tc>
        <w:tc>
          <w:tcPr>
            <w:tcW w:w="464" w:type="pct"/>
            <w:tcBorders>
              <w:top w:val="single" w:color="auto" w:sz="4" w:space="0"/>
              <w:left w:val="single" w:color="auto" w:sz="4" w:space="0"/>
              <w:bottom w:val="single" w:color="auto" w:sz="4" w:space="0"/>
              <w:right w:val="single" w:color="auto" w:sz="4" w:space="0"/>
            </w:tcBorders>
            <w:noWrap/>
            <w:vAlign w:val="top"/>
          </w:tcPr>
          <w:p w14:paraId="1367200D">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6F4B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6648F39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69D3516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出入管理与登记</w:t>
            </w:r>
          </w:p>
          <w:p w14:paraId="5448F21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59B8B4C2">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5分：严格执行出入管理规定，登记准确无误，核实身份仔细，服务礼貌。</w:t>
            </w:r>
          </w:p>
          <w:p w14:paraId="666DCECF">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3分：能执行规定，但偶有疏忽或登记不完整。</w:t>
            </w:r>
          </w:p>
          <w:p w14:paraId="63F16B2B">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0分：管理松散，形同虚设。</w:t>
            </w:r>
          </w:p>
        </w:tc>
        <w:tc>
          <w:tcPr>
            <w:tcW w:w="464" w:type="pct"/>
            <w:tcBorders>
              <w:top w:val="single" w:color="auto" w:sz="4" w:space="0"/>
              <w:left w:val="single" w:color="auto" w:sz="4" w:space="0"/>
              <w:bottom w:val="single" w:color="auto" w:sz="4" w:space="0"/>
              <w:right w:val="single" w:color="auto" w:sz="4" w:space="0"/>
            </w:tcBorders>
            <w:noWrap/>
            <w:vAlign w:val="top"/>
          </w:tcPr>
          <w:p w14:paraId="31ACF90C">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6AB2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2295B15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6B2FCFD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监控设备操作</w:t>
            </w:r>
          </w:p>
          <w:p w14:paraId="738B7C1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0CCCA7EF">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5分：熟练操作监控系统，会调取、备份录像，能及时发现屏幕异常。</w:t>
            </w:r>
          </w:p>
          <w:p w14:paraId="2C7D9EAE">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3分：能进行基本操作，但调取录像等复杂操作需协助。</w:t>
            </w:r>
          </w:p>
          <w:p w14:paraId="72E77459">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0分：不会操作或操作错误导致设备问题。</w:t>
            </w:r>
          </w:p>
        </w:tc>
        <w:tc>
          <w:tcPr>
            <w:tcW w:w="464" w:type="pct"/>
            <w:tcBorders>
              <w:top w:val="single" w:color="auto" w:sz="4" w:space="0"/>
              <w:left w:val="single" w:color="auto" w:sz="4" w:space="0"/>
              <w:bottom w:val="single" w:color="auto" w:sz="4" w:space="0"/>
              <w:right w:val="single" w:color="auto" w:sz="4" w:space="0"/>
            </w:tcBorders>
            <w:noWrap/>
            <w:vAlign w:val="top"/>
          </w:tcPr>
          <w:p w14:paraId="2B746AE3">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176A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800" w:type="pct"/>
            <w:vMerge w:val="restart"/>
            <w:tcBorders>
              <w:top w:val="single" w:color="auto" w:sz="4" w:space="0"/>
              <w:left w:val="single" w:color="auto" w:sz="4" w:space="0"/>
              <w:bottom w:val="single" w:color="auto" w:sz="4" w:space="0"/>
              <w:right w:val="single" w:color="auto" w:sz="4" w:space="0"/>
            </w:tcBorders>
            <w:noWrap/>
            <w:vAlign w:val="center"/>
          </w:tcPr>
          <w:p w14:paraId="0EDBA56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第三部分</w:t>
            </w:r>
          </w:p>
          <w:p w14:paraId="0F6A843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综合素质评估</w:t>
            </w: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03CEC68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sz w:val="21"/>
                <w:szCs w:val="21"/>
                <w:u w:val="none"/>
              </w:rPr>
              <w:t>考核项目</w:t>
            </w:r>
          </w:p>
        </w:tc>
        <w:tc>
          <w:tcPr>
            <w:tcW w:w="2801" w:type="pct"/>
            <w:gridSpan w:val="3"/>
            <w:tcBorders>
              <w:top w:val="single" w:color="auto" w:sz="4" w:space="0"/>
              <w:left w:val="single" w:color="auto" w:sz="4" w:space="0"/>
              <w:bottom w:val="single" w:color="auto" w:sz="4" w:space="0"/>
              <w:right w:val="single" w:color="auto" w:sz="4" w:space="0"/>
            </w:tcBorders>
            <w:noWrap w:val="0"/>
            <w:vAlign w:val="center"/>
          </w:tcPr>
          <w:p w14:paraId="3962944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sz w:val="21"/>
                <w:szCs w:val="21"/>
                <w:u w:val="none"/>
              </w:rPr>
              <w:t>评分标准及内容</w:t>
            </w:r>
          </w:p>
        </w:tc>
        <w:tc>
          <w:tcPr>
            <w:tcW w:w="464" w:type="pct"/>
            <w:tcBorders>
              <w:top w:val="single" w:color="auto" w:sz="4" w:space="0"/>
              <w:left w:val="single" w:color="auto" w:sz="4" w:space="0"/>
              <w:bottom w:val="single" w:color="auto" w:sz="4" w:space="0"/>
              <w:right w:val="single" w:color="auto" w:sz="4" w:space="0"/>
            </w:tcBorders>
            <w:noWrap/>
            <w:vAlign w:val="center"/>
          </w:tcPr>
          <w:p w14:paraId="4370AE1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sz w:val="21"/>
                <w:szCs w:val="21"/>
                <w:u w:val="none"/>
                <w:lang w:val="en-US" w:eastAsia="zh-CN"/>
              </w:rPr>
              <w:t>得分</w:t>
            </w:r>
          </w:p>
        </w:tc>
      </w:tr>
      <w:tr w14:paraId="6208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16DE281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1121A6B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服务态度与沟通</w:t>
            </w:r>
          </w:p>
          <w:p w14:paraId="16740E2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765ED91C">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10分：主动热情，礼貌待人，沟通顺畅，能有效化解冲突，客户/业主评价好。</w:t>
            </w:r>
          </w:p>
          <w:p w14:paraId="476E2E55">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5-8分：态度一般，能完成基本沟通，无投诉。</w:t>
            </w:r>
          </w:p>
          <w:p w14:paraId="2A2EC515">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0分：态度恶劣，与人发生冲突，遭有效投诉。</w:t>
            </w:r>
          </w:p>
        </w:tc>
        <w:tc>
          <w:tcPr>
            <w:tcW w:w="464" w:type="pct"/>
            <w:tcBorders>
              <w:top w:val="single" w:color="auto" w:sz="4" w:space="0"/>
              <w:left w:val="single" w:color="auto" w:sz="4" w:space="0"/>
              <w:bottom w:val="single" w:color="auto" w:sz="4" w:space="0"/>
              <w:right w:val="single" w:color="auto" w:sz="4" w:space="0"/>
            </w:tcBorders>
            <w:noWrap/>
            <w:vAlign w:val="top"/>
          </w:tcPr>
          <w:p w14:paraId="6158E61D">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5BF3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45C2791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0FF0372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团队合作与责任</w:t>
            </w:r>
          </w:p>
          <w:p w14:paraId="2B0BB47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心</w:t>
            </w:r>
          </w:p>
          <w:p w14:paraId="5F61EF8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095997C6">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5分：有强烈责任心，积极主动协助同事，维护团队荣誉，服从工作安排。</w:t>
            </w:r>
          </w:p>
          <w:p w14:paraId="136B861F">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3分：能完成本职工作，团队协作性一般。</w:t>
            </w:r>
          </w:p>
          <w:p w14:paraId="56DAE935">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0分：推卸责任，缺乏合作精神，影响团队氛围。</w:t>
            </w:r>
          </w:p>
        </w:tc>
        <w:tc>
          <w:tcPr>
            <w:tcW w:w="464" w:type="pct"/>
            <w:tcBorders>
              <w:top w:val="single" w:color="auto" w:sz="4" w:space="0"/>
              <w:left w:val="single" w:color="auto" w:sz="4" w:space="0"/>
              <w:bottom w:val="single" w:color="auto" w:sz="4" w:space="0"/>
              <w:right w:val="single" w:color="auto" w:sz="4" w:space="0"/>
            </w:tcBorders>
            <w:noWrap/>
            <w:vAlign w:val="top"/>
          </w:tcPr>
          <w:p w14:paraId="567C0BCC">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22CC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3EF6094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03E3726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主动性与学习能</w:t>
            </w:r>
          </w:p>
          <w:p w14:paraId="7608CEF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力</w:t>
            </w:r>
          </w:p>
          <w:p w14:paraId="1701643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725769C8">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5分：工作积极主动，善于发现并提出问题，乐于学习新知识和技能。</w:t>
            </w:r>
          </w:p>
          <w:p w14:paraId="0F4C58D4">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3分：完成指令性工作，学习主动性一般。</w:t>
            </w:r>
          </w:p>
          <w:p w14:paraId="655C5AC7">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0分：工作消极怠工，拒绝学习新事物。</w:t>
            </w:r>
          </w:p>
        </w:tc>
        <w:tc>
          <w:tcPr>
            <w:tcW w:w="464" w:type="pct"/>
            <w:tcBorders>
              <w:top w:val="single" w:color="auto" w:sz="4" w:space="0"/>
              <w:left w:val="single" w:color="auto" w:sz="4" w:space="0"/>
              <w:bottom w:val="single" w:color="auto" w:sz="4" w:space="0"/>
              <w:right w:val="single" w:color="auto" w:sz="4" w:space="0"/>
            </w:tcBorders>
            <w:noWrap/>
            <w:vAlign w:val="top"/>
          </w:tcPr>
          <w:p w14:paraId="683B6071">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668B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535" w:type="pct"/>
            <w:gridSpan w:val="6"/>
            <w:tcBorders>
              <w:top w:val="single" w:color="auto" w:sz="4" w:space="0"/>
              <w:left w:val="single" w:color="auto" w:sz="4" w:space="0"/>
              <w:bottom w:val="single" w:color="auto" w:sz="4" w:space="0"/>
              <w:right w:val="single" w:color="auto" w:sz="4" w:space="0"/>
            </w:tcBorders>
            <w:noWrap/>
            <w:vAlign w:val="center"/>
          </w:tcPr>
          <w:p w14:paraId="527CE0A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总计得分</w:t>
            </w:r>
          </w:p>
        </w:tc>
        <w:tc>
          <w:tcPr>
            <w:tcW w:w="464" w:type="pct"/>
            <w:tcBorders>
              <w:top w:val="single" w:color="auto" w:sz="4" w:space="0"/>
              <w:left w:val="single" w:color="auto" w:sz="4" w:space="0"/>
              <w:bottom w:val="single" w:color="auto" w:sz="4" w:space="0"/>
              <w:right w:val="single" w:color="auto" w:sz="4" w:space="0"/>
            </w:tcBorders>
            <w:noWrap/>
            <w:vAlign w:val="center"/>
          </w:tcPr>
          <w:p w14:paraId="677D5FB7">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p>
        </w:tc>
      </w:tr>
      <w:tr w14:paraId="5282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2658" w:type="pct"/>
            <w:gridSpan w:val="4"/>
            <w:tcBorders>
              <w:top w:val="single" w:color="auto" w:sz="4" w:space="0"/>
              <w:left w:val="single" w:color="auto" w:sz="4" w:space="0"/>
              <w:bottom w:val="nil"/>
              <w:right w:val="nil"/>
            </w:tcBorders>
            <w:noWrap/>
            <w:vAlign w:val="center"/>
          </w:tcPr>
          <w:p w14:paraId="5AD166A0">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招标人：佛山市三水云东海创智城产业发展有限公司</w:t>
            </w:r>
          </w:p>
        </w:tc>
        <w:tc>
          <w:tcPr>
            <w:tcW w:w="2341" w:type="pct"/>
            <w:gridSpan w:val="3"/>
            <w:tcBorders>
              <w:top w:val="single" w:color="auto" w:sz="4" w:space="0"/>
              <w:left w:val="nil"/>
              <w:bottom w:val="nil"/>
              <w:right w:val="single" w:color="auto" w:sz="4" w:space="0"/>
            </w:tcBorders>
            <w:noWrap/>
            <w:vAlign w:val="center"/>
          </w:tcPr>
          <w:p w14:paraId="534896EA">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中标人：</w:t>
            </w:r>
          </w:p>
        </w:tc>
      </w:tr>
      <w:tr w14:paraId="0549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99" w:type="pct"/>
            <w:gridSpan w:val="2"/>
            <w:tcBorders>
              <w:top w:val="nil"/>
              <w:left w:val="single" w:color="auto" w:sz="4" w:space="0"/>
              <w:bottom w:val="nil"/>
              <w:right w:val="nil"/>
            </w:tcBorders>
            <w:noWrap/>
            <w:vAlign w:val="center"/>
          </w:tcPr>
          <w:p w14:paraId="62CBACA1">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评分人签名：</w:t>
            </w:r>
          </w:p>
        </w:tc>
        <w:tc>
          <w:tcPr>
            <w:tcW w:w="1659" w:type="pct"/>
            <w:gridSpan w:val="2"/>
            <w:tcBorders>
              <w:top w:val="nil"/>
              <w:left w:val="nil"/>
              <w:bottom w:val="nil"/>
              <w:right w:val="nil"/>
            </w:tcBorders>
            <w:noWrap/>
            <w:vAlign w:val="center"/>
          </w:tcPr>
          <w:p w14:paraId="4E10483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998" w:type="pct"/>
            <w:tcBorders>
              <w:top w:val="nil"/>
              <w:left w:val="nil"/>
              <w:bottom w:val="nil"/>
              <w:right w:val="nil"/>
            </w:tcBorders>
            <w:noWrap/>
            <w:vAlign w:val="center"/>
          </w:tcPr>
          <w:p w14:paraId="698334BA">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sz w:val="21"/>
                <w:szCs w:val="21"/>
                <w:lang w:val="en-US" w:eastAsia="zh-CN"/>
              </w:rPr>
              <w:t>项目负责人</w:t>
            </w:r>
            <w:r>
              <w:rPr>
                <w:rStyle w:val="43"/>
                <w:rFonts w:hint="eastAsia" w:ascii="宋体" w:hAnsi="宋体" w:eastAsia="宋体" w:cs="宋体"/>
                <w:color w:val="auto"/>
                <w:sz w:val="21"/>
                <w:szCs w:val="21"/>
                <w:lang w:val="en-US" w:eastAsia="zh-CN" w:bidi="ar"/>
              </w:rPr>
              <w:t>签名</w:t>
            </w:r>
            <w:r>
              <w:rPr>
                <w:rFonts w:hint="eastAsia" w:ascii="宋体" w:hAnsi="宋体" w:eastAsia="宋体" w:cs="宋体"/>
                <w:i w:val="0"/>
                <w:iCs w:val="0"/>
                <w:color w:val="auto"/>
                <w:kern w:val="0"/>
                <w:sz w:val="21"/>
                <w:szCs w:val="21"/>
                <w:u w:val="none"/>
                <w:lang w:val="en-US" w:eastAsia="zh-CN" w:bidi="ar"/>
              </w:rPr>
              <w:t>：</w:t>
            </w:r>
          </w:p>
        </w:tc>
        <w:tc>
          <w:tcPr>
            <w:tcW w:w="1343" w:type="pct"/>
            <w:gridSpan w:val="2"/>
            <w:tcBorders>
              <w:top w:val="nil"/>
              <w:left w:val="nil"/>
              <w:bottom w:val="nil"/>
              <w:right w:val="single" w:color="auto" w:sz="4" w:space="0"/>
            </w:tcBorders>
            <w:noWrap/>
            <w:vAlign w:val="center"/>
          </w:tcPr>
          <w:p w14:paraId="3C3FAEEC">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p>
        </w:tc>
      </w:tr>
      <w:tr w14:paraId="459F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99" w:type="pct"/>
            <w:gridSpan w:val="2"/>
            <w:tcBorders>
              <w:top w:val="nil"/>
              <w:left w:val="single" w:color="auto" w:sz="4" w:space="0"/>
              <w:bottom w:val="nil"/>
              <w:right w:val="nil"/>
            </w:tcBorders>
            <w:noWrap/>
            <w:vAlign w:val="center"/>
          </w:tcPr>
          <w:p w14:paraId="048BCECC">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项目负责人签名：</w:t>
            </w:r>
          </w:p>
        </w:tc>
        <w:tc>
          <w:tcPr>
            <w:tcW w:w="1659" w:type="pct"/>
            <w:gridSpan w:val="2"/>
            <w:tcBorders>
              <w:top w:val="nil"/>
              <w:left w:val="nil"/>
              <w:bottom w:val="nil"/>
              <w:right w:val="nil"/>
            </w:tcBorders>
            <w:noWrap/>
            <w:vAlign w:val="center"/>
          </w:tcPr>
          <w:p w14:paraId="381FDE2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2341" w:type="pct"/>
            <w:gridSpan w:val="3"/>
            <w:tcBorders>
              <w:top w:val="nil"/>
              <w:left w:val="nil"/>
              <w:bottom w:val="nil"/>
              <w:right w:val="single" w:color="auto" w:sz="4" w:space="0"/>
            </w:tcBorders>
            <w:noWrap/>
            <w:vAlign w:val="center"/>
          </w:tcPr>
          <w:p w14:paraId="619082AD">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p>
        </w:tc>
      </w:tr>
      <w:tr w14:paraId="19CE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99" w:type="pct"/>
            <w:gridSpan w:val="2"/>
            <w:tcBorders>
              <w:top w:val="nil"/>
              <w:left w:val="single" w:color="auto" w:sz="4" w:space="0"/>
              <w:bottom w:val="single" w:color="auto" w:sz="4" w:space="0"/>
              <w:right w:val="nil"/>
            </w:tcBorders>
            <w:noWrap/>
            <w:vAlign w:val="center"/>
          </w:tcPr>
          <w:p w14:paraId="7BD01948">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领导签名：</w:t>
            </w:r>
          </w:p>
        </w:tc>
        <w:tc>
          <w:tcPr>
            <w:tcW w:w="1659" w:type="pct"/>
            <w:gridSpan w:val="2"/>
            <w:tcBorders>
              <w:top w:val="nil"/>
              <w:left w:val="nil"/>
              <w:bottom w:val="single" w:color="auto" w:sz="4" w:space="0"/>
              <w:right w:val="nil"/>
            </w:tcBorders>
            <w:noWrap/>
            <w:vAlign w:val="center"/>
          </w:tcPr>
          <w:p w14:paraId="21D3AC1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2341" w:type="pct"/>
            <w:gridSpan w:val="3"/>
            <w:tcBorders>
              <w:top w:val="nil"/>
              <w:left w:val="nil"/>
              <w:bottom w:val="single" w:color="auto" w:sz="4" w:space="0"/>
              <w:right w:val="single" w:color="auto" w:sz="4" w:space="0"/>
            </w:tcBorders>
            <w:noWrap/>
            <w:vAlign w:val="center"/>
          </w:tcPr>
          <w:p w14:paraId="324BF762">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p>
        </w:tc>
      </w:tr>
    </w:tbl>
    <w:p w14:paraId="3295F850">
      <w:pPr>
        <w:keepNext w:val="0"/>
        <w:keepLines w:val="0"/>
        <w:pageBreakBefore w:val="0"/>
        <w:widowControl w:val="0"/>
        <w:numPr>
          <w:ilvl w:val="0"/>
          <w:numId w:val="19"/>
        </w:numPr>
        <w:tabs>
          <w:tab w:val="left" w:pos="540"/>
        </w:tabs>
        <w:kinsoku/>
        <w:wordWrap/>
        <w:overflowPunct/>
        <w:topLinePunct w:val="0"/>
        <w:autoSpaceDE/>
        <w:autoSpaceDN/>
        <w:bidi w:val="0"/>
        <w:adjustRightInd w:val="0"/>
        <w:snapToGrid/>
        <w:spacing w:line="312" w:lineRule="auto"/>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备注：对</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实行考核计分制，每月最高100分。</w:t>
      </w:r>
    </w:p>
    <w:p w14:paraId="28ACEA7C">
      <w:pPr>
        <w:keepNext w:val="0"/>
        <w:keepLines w:val="0"/>
        <w:pageBreakBefore w:val="0"/>
        <w:widowControl w:val="0"/>
        <w:numPr>
          <w:ilvl w:val="0"/>
          <w:numId w:val="19"/>
        </w:numPr>
        <w:tabs>
          <w:tab w:val="left" w:pos="540"/>
        </w:tabs>
        <w:kinsoku/>
        <w:wordWrap/>
        <w:overflowPunct/>
        <w:topLinePunct w:val="0"/>
        <w:autoSpaceDE/>
        <w:autoSpaceDN/>
        <w:bidi w:val="0"/>
        <w:adjustRightInd w:val="0"/>
        <w:snapToGrid/>
        <w:spacing w:line="312" w:lineRule="auto"/>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每月备注：每月得分值≥80分，则</w:t>
      </w:r>
      <w:r>
        <w:rPr>
          <w:rFonts w:hint="eastAsia" w:ascii="宋体" w:hAnsi="宋体" w:eastAsia="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rPr>
        <w:t>向</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全额支付该月服务费；得分＜80分的则每少1分扣该月服务费1%，依此类推；每月得分值≤70分的则一次性扣除该月服务费的15%，连续3个月考核平均分值≤60分的，</w:t>
      </w:r>
      <w:r>
        <w:rPr>
          <w:rFonts w:hint="eastAsia" w:ascii="宋体" w:hAnsi="宋体" w:eastAsia="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rPr>
        <w:t>有权解除合同并不予退还</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履约保证金，由此造成</w:t>
      </w:r>
      <w:r>
        <w:rPr>
          <w:rFonts w:hint="eastAsia" w:ascii="宋体" w:hAnsi="宋体" w:eastAsia="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rPr>
        <w:t>损失的，</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还须赔偿</w:t>
      </w:r>
      <w:r>
        <w:rPr>
          <w:rFonts w:hint="eastAsia" w:ascii="宋体" w:hAnsi="宋体" w:eastAsia="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rPr>
        <w:t>损失。</w:t>
      </w:r>
    </w:p>
    <w:p w14:paraId="01BBEBA9">
      <w:pPr>
        <w:keepNext w:val="0"/>
        <w:keepLines w:val="0"/>
        <w:pageBreakBefore w:val="0"/>
        <w:widowControl w:val="0"/>
        <w:numPr>
          <w:ilvl w:val="0"/>
          <w:numId w:val="16"/>
        </w:numPr>
        <w:tabs>
          <w:tab w:val="left" w:pos="540"/>
        </w:tabs>
        <w:kinsoku/>
        <w:wordWrap/>
        <w:overflowPunct/>
        <w:topLinePunct w:val="0"/>
        <w:autoSpaceDE/>
        <w:autoSpaceDN/>
        <w:bidi w:val="0"/>
        <w:adjustRightInd w:val="0"/>
        <w:snapToGri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保密要求</w:t>
      </w:r>
    </w:p>
    <w:p w14:paraId="66223BE4">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spacing w:line="312" w:lineRule="auto"/>
        <w:ind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rPr>
        <w:t>中标人应对本项目实施过程中涉及的数据资源、文件资料及合同具体内容等</w:t>
      </w:r>
      <w:r>
        <w:rPr>
          <w:rFonts w:hint="eastAsia" w:ascii="宋体" w:hAnsi="宋体" w:eastAsia="宋体" w:cs="宋体"/>
          <w:color w:val="auto"/>
          <w:sz w:val="21"/>
          <w:szCs w:val="21"/>
          <w:lang w:val="en-US" w:eastAsia="zh-CN"/>
        </w:rPr>
        <w:t>所有关于本</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资料进行保密。未经过</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书面文件许可，中标人不得以任何方式向第三方透露，且保密责任不因合同的中止或解除而失效。如有关技术文档和数据资料被泄密，给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造成损失的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中标人应承担赔偿责任；构成犯罪的，依法追究中标人刑事责任。</w:t>
      </w:r>
    </w:p>
    <w:p w14:paraId="094CDFEE">
      <w:pPr>
        <w:keepNext w:val="0"/>
        <w:keepLines w:val="0"/>
        <w:pageBreakBefore w:val="0"/>
        <w:widowControl w:val="0"/>
        <w:numPr>
          <w:ilvl w:val="0"/>
          <w:numId w:val="16"/>
        </w:numPr>
        <w:tabs>
          <w:tab w:val="left" w:pos="540"/>
        </w:tabs>
        <w:kinsoku/>
        <w:wordWrap/>
        <w:overflowPunct/>
        <w:topLinePunct w:val="0"/>
        <w:autoSpaceDE/>
        <w:autoSpaceDN/>
        <w:bidi w:val="0"/>
        <w:adjustRightInd w:val="0"/>
        <w:snapToGri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履约保证金</w:t>
      </w:r>
    </w:p>
    <w:p w14:paraId="254434A2">
      <w:pPr>
        <w:keepNext w:val="0"/>
        <w:keepLines w:val="0"/>
        <w:pageBreakBefore w:val="0"/>
        <w:widowControl w:val="0"/>
        <w:numPr>
          <w:ilvl w:val="0"/>
          <w:numId w:val="20"/>
        </w:numPr>
        <w:tabs>
          <w:tab w:val="left" w:pos="425"/>
        </w:tabs>
        <w:kinsoku/>
        <w:wordWrap/>
        <w:overflowPunct/>
        <w:topLinePunct w:val="0"/>
        <w:autoSpaceDE/>
        <w:autoSpaceDN/>
        <w:bidi w:val="0"/>
        <w:adjustRightInd w:val="0"/>
        <w:snapToGrid/>
        <w:spacing w:line="312"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履约保证金的金额为</w:t>
      </w:r>
      <w:r>
        <w:rPr>
          <w:rFonts w:hint="eastAsia" w:ascii="宋体" w:hAnsi="宋体" w:eastAsia="宋体" w:cs="宋体"/>
          <w:color w:val="auto"/>
          <w:sz w:val="21"/>
          <w:szCs w:val="21"/>
          <w:highlight w:val="none"/>
          <w:lang w:val="en-US" w:eastAsia="zh-CN"/>
        </w:rPr>
        <w:t>人民币壹拾万元整（RMB100,000.00）</w:t>
      </w:r>
      <w:r>
        <w:rPr>
          <w:rFonts w:hint="eastAsia" w:ascii="宋体" w:hAnsi="宋体" w:eastAsia="宋体" w:cs="宋体"/>
          <w:color w:val="auto"/>
          <w:sz w:val="21"/>
          <w:szCs w:val="21"/>
          <w:highlight w:val="none"/>
        </w:rPr>
        <w:t>。履约保证金用于补偿</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因中标人不能完全履行其合同义务而蒙受的损失或中标人违反合同而作出的处罚。</w:t>
      </w:r>
    </w:p>
    <w:p w14:paraId="7BB940F2">
      <w:pPr>
        <w:keepNext w:val="0"/>
        <w:keepLines w:val="0"/>
        <w:pageBreakBefore w:val="0"/>
        <w:widowControl w:val="0"/>
        <w:numPr>
          <w:ilvl w:val="0"/>
          <w:numId w:val="20"/>
        </w:numPr>
        <w:tabs>
          <w:tab w:val="left" w:pos="425"/>
        </w:tabs>
        <w:kinsoku/>
        <w:wordWrap/>
        <w:overflowPunct/>
        <w:topLinePunct w:val="0"/>
        <w:autoSpaceDE/>
        <w:autoSpaceDN/>
        <w:bidi w:val="0"/>
        <w:adjustRightInd w:val="0"/>
        <w:snapToGrid/>
        <w:spacing w:line="312"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缴纳履约保证金的时间：合同签订后10个工作日内，中标人必须递交履约保证金，否则</w:t>
      </w:r>
      <w:r>
        <w:rPr>
          <w:rFonts w:hint="eastAsia" w:ascii="宋体" w:hAnsi="宋体" w:eastAsia="宋体" w:cs="宋体"/>
          <w:color w:val="auto"/>
          <w:sz w:val="21"/>
          <w:szCs w:val="21"/>
          <w:highlight w:val="none"/>
          <w:lang w:val="en-US" w:eastAsia="zh-CN"/>
        </w:rPr>
        <w:t>视为违约，</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有权单方面解除合同，由此造成的一切经济损失由中标人负责。</w:t>
      </w:r>
    </w:p>
    <w:p w14:paraId="5DF0832D">
      <w:pPr>
        <w:keepNext w:val="0"/>
        <w:keepLines w:val="0"/>
        <w:pageBreakBefore w:val="0"/>
        <w:widowControl w:val="0"/>
        <w:numPr>
          <w:ilvl w:val="0"/>
          <w:numId w:val="20"/>
        </w:numPr>
        <w:tabs>
          <w:tab w:val="left" w:pos="425"/>
        </w:tabs>
        <w:kinsoku/>
        <w:wordWrap/>
        <w:overflowPunct/>
        <w:topLinePunct w:val="0"/>
        <w:autoSpaceDE/>
        <w:autoSpaceDN/>
        <w:bidi w:val="0"/>
        <w:adjustRightInd w:val="0"/>
        <w:snapToGrid/>
        <w:spacing w:line="312"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履约保证金的形式：中标人应当以转账、支票、汇票、本票或者金融机构、担保机构出具的保函等非现金形式提交</w:t>
      </w:r>
      <w:r>
        <w:rPr>
          <w:rFonts w:hint="eastAsia" w:ascii="宋体" w:hAnsi="宋体" w:eastAsia="宋体" w:cs="宋体"/>
          <w:color w:val="auto"/>
          <w:sz w:val="21"/>
          <w:szCs w:val="21"/>
          <w:highlight w:val="none"/>
          <w:lang w:eastAsia="zh-CN"/>
        </w:rPr>
        <w:t>：</w:t>
      </w:r>
    </w:p>
    <w:p w14:paraId="477AD6B2">
      <w:pPr>
        <w:keepNext w:val="0"/>
        <w:keepLines w:val="0"/>
        <w:pageBreakBefore w:val="0"/>
        <w:widowControl w:val="0"/>
        <w:numPr>
          <w:ilvl w:val="0"/>
          <w:numId w:val="21"/>
        </w:numPr>
        <w:tabs>
          <w:tab w:val="left" w:pos="0"/>
        </w:tabs>
        <w:kinsoku/>
        <w:wordWrap/>
        <w:overflowPunct/>
        <w:topLinePunct w:val="0"/>
        <w:autoSpaceDE/>
        <w:autoSpaceDN/>
        <w:bidi w:val="0"/>
        <w:adjustRightInd w:val="0"/>
        <w:snapToGrid/>
        <w:spacing w:line="312" w:lineRule="auto"/>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若采用银行转账方式的，中标人将履约保证金转至</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指定账户。</w:t>
      </w:r>
    </w:p>
    <w:p w14:paraId="09A00F66">
      <w:pPr>
        <w:keepNext w:val="0"/>
        <w:keepLines w:val="0"/>
        <w:pageBreakBefore w:val="0"/>
        <w:widowControl w:val="0"/>
        <w:numPr>
          <w:ilvl w:val="0"/>
          <w:numId w:val="21"/>
        </w:numPr>
        <w:tabs>
          <w:tab w:val="left" w:pos="0"/>
        </w:tabs>
        <w:kinsoku/>
        <w:wordWrap/>
        <w:overflowPunct/>
        <w:topLinePunct w:val="0"/>
        <w:autoSpaceDE/>
        <w:autoSpaceDN/>
        <w:bidi w:val="0"/>
        <w:adjustRightInd w:val="0"/>
        <w:snapToGrid/>
        <w:spacing w:line="312" w:lineRule="auto"/>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若采用保函形式的，则保函有效期为：保函生效之日起至服务期满后60日止，中标人出具的保函应包括但不限于以下内容：</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名称、项目名称、中标人名称、担保金额、担保期限，保证方式为连带责任保证。</w:t>
      </w:r>
    </w:p>
    <w:p w14:paraId="1913C4DC">
      <w:pPr>
        <w:keepNext w:val="0"/>
        <w:keepLines w:val="0"/>
        <w:pageBreakBefore w:val="0"/>
        <w:widowControl w:val="0"/>
        <w:numPr>
          <w:ilvl w:val="0"/>
          <w:numId w:val="20"/>
        </w:numPr>
        <w:tabs>
          <w:tab w:val="left" w:pos="425"/>
        </w:tabs>
        <w:kinsoku/>
        <w:wordWrap/>
        <w:overflowPunct/>
        <w:topLinePunct w:val="0"/>
        <w:autoSpaceDE/>
        <w:autoSpaceDN/>
        <w:bidi w:val="0"/>
        <w:adjustRightInd w:val="0"/>
        <w:snapToGrid/>
        <w:spacing w:line="312"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履约保证金的退回：</w:t>
      </w:r>
      <w:r>
        <w:rPr>
          <w:rFonts w:hint="eastAsia" w:ascii="宋体" w:hAnsi="宋体" w:eastAsia="宋体" w:cs="宋体"/>
          <w:color w:val="auto"/>
          <w:sz w:val="21"/>
          <w:szCs w:val="21"/>
          <w:highlight w:val="none"/>
          <w:lang w:eastAsia="zh-CN"/>
        </w:rPr>
        <w:t>服务期</w:t>
      </w:r>
      <w:r>
        <w:rPr>
          <w:rFonts w:hint="eastAsia" w:ascii="宋体" w:hAnsi="宋体" w:eastAsia="宋体" w:cs="宋体"/>
          <w:color w:val="auto"/>
          <w:sz w:val="21"/>
          <w:szCs w:val="21"/>
          <w:highlight w:val="none"/>
          <w:lang w:val="en-US" w:eastAsia="zh-CN"/>
        </w:rPr>
        <w:t>满后</w:t>
      </w:r>
      <w:r>
        <w:rPr>
          <w:rFonts w:hint="eastAsia" w:ascii="宋体" w:hAnsi="宋体" w:eastAsia="宋体" w:cs="宋体"/>
          <w:color w:val="auto"/>
          <w:sz w:val="21"/>
          <w:szCs w:val="21"/>
          <w:highlight w:val="none"/>
        </w:rPr>
        <w:t>，中标人全面履行合同条款无任何违规违约行为，经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方可凭相关证明材料（如项目验收证明文件）到</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处办理退保手续，</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在收到相关材料后15个工作日内</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无息退还手续（</w:t>
      </w:r>
      <w:r>
        <w:rPr>
          <w:rFonts w:hint="eastAsia" w:ascii="宋体" w:hAnsi="宋体" w:eastAsia="宋体" w:cs="宋体"/>
          <w:color w:val="auto"/>
          <w:sz w:val="21"/>
          <w:szCs w:val="21"/>
        </w:rPr>
        <w:t>以保函形式递交的，过期自动失效</w:t>
      </w:r>
      <w:r>
        <w:rPr>
          <w:rFonts w:hint="eastAsia" w:ascii="宋体" w:hAnsi="宋体" w:eastAsia="宋体" w:cs="宋体"/>
          <w:color w:val="auto"/>
          <w:sz w:val="21"/>
          <w:szCs w:val="21"/>
          <w:highlight w:val="none"/>
        </w:rPr>
        <w:t>）。</w:t>
      </w:r>
    </w:p>
    <w:p w14:paraId="6B7D8779">
      <w:pPr>
        <w:keepNext w:val="0"/>
        <w:keepLines w:val="0"/>
        <w:pageBreakBefore w:val="0"/>
        <w:widowControl w:val="0"/>
        <w:numPr>
          <w:ilvl w:val="0"/>
          <w:numId w:val="20"/>
        </w:numPr>
        <w:tabs>
          <w:tab w:val="left" w:pos="425"/>
        </w:tabs>
        <w:kinsoku/>
        <w:wordWrap/>
        <w:overflowPunct/>
        <w:topLinePunct w:val="0"/>
        <w:autoSpaceDE/>
        <w:autoSpaceDN/>
        <w:bidi w:val="0"/>
        <w:adjustRightInd w:val="0"/>
        <w:snapToGrid/>
        <w:spacing w:line="312" w:lineRule="auto"/>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履约保证金扣除情形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如有违规违约行为或其他导致</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经济损失的行为，履约保证金将以扣除</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经济损失后的剩余金额无息退回；履约保证金不足以弥补损失的，中标人须补足损失金额。</w:t>
      </w:r>
    </w:p>
    <w:p w14:paraId="49DDC5FF">
      <w:pPr>
        <w:keepNext w:val="0"/>
        <w:keepLines w:val="0"/>
        <w:pageBreakBefore w:val="0"/>
        <w:widowControl w:val="0"/>
        <w:numPr>
          <w:ilvl w:val="0"/>
          <w:numId w:val="20"/>
        </w:numPr>
        <w:tabs>
          <w:tab w:val="left" w:pos="425"/>
        </w:tabs>
        <w:kinsoku/>
        <w:wordWrap/>
        <w:overflowPunct/>
        <w:topLinePunct w:val="0"/>
        <w:autoSpaceDE/>
        <w:autoSpaceDN/>
        <w:bidi w:val="0"/>
        <w:adjustRightInd w:val="0"/>
        <w:snapToGrid/>
        <w:spacing w:line="312" w:lineRule="auto"/>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履约保证金不予退还情形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服务过程中造成重大安全事故或未履行投标承诺或中标人自行终止合同或违反合同规定等情况，</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有权单方面解除合同并不予退还履约保证金。</w:t>
      </w:r>
    </w:p>
    <w:p w14:paraId="59576992">
      <w:pPr>
        <w:keepNext w:val="0"/>
        <w:keepLines w:val="0"/>
        <w:pageBreakBefore w:val="0"/>
        <w:widowControl w:val="0"/>
        <w:numPr>
          <w:ilvl w:val="0"/>
          <w:numId w:val="20"/>
        </w:numPr>
        <w:tabs>
          <w:tab w:val="left" w:pos="425"/>
        </w:tabs>
        <w:kinsoku/>
        <w:wordWrap/>
        <w:overflowPunct/>
        <w:topLinePunct w:val="0"/>
        <w:autoSpaceDE/>
        <w:autoSpaceDN/>
        <w:bidi w:val="0"/>
        <w:adjustRightInd w:val="0"/>
        <w:snapToGrid/>
        <w:spacing w:line="312" w:lineRule="auto"/>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逾期退还履约保证金的违约责任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每逾期一天</w:t>
      </w:r>
      <w:r>
        <w:rPr>
          <w:rFonts w:hint="eastAsia" w:ascii="宋体" w:hAnsi="宋体" w:eastAsia="宋体" w:cs="宋体"/>
          <w:color w:val="auto"/>
          <w:sz w:val="21"/>
          <w:szCs w:val="21"/>
          <w:highlight w:val="none"/>
          <w:lang w:val="en-US" w:eastAsia="zh-CN"/>
        </w:rPr>
        <w:t>退还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招标人支付履约保证金的万分之五作违约金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违约金累计最多不超过履约保证金金额的百分之五</w:t>
      </w:r>
      <w:r>
        <w:rPr>
          <w:rFonts w:hint="eastAsia" w:ascii="宋体" w:hAnsi="宋体" w:eastAsia="宋体" w:cs="宋体"/>
          <w:color w:val="auto"/>
          <w:sz w:val="21"/>
          <w:szCs w:val="21"/>
          <w:highlight w:val="none"/>
        </w:rPr>
        <w:t>。</w:t>
      </w:r>
    </w:p>
    <w:p w14:paraId="72E49F29">
      <w:pPr>
        <w:keepNext w:val="0"/>
        <w:keepLines w:val="0"/>
        <w:pageBreakBefore w:val="0"/>
        <w:widowControl w:val="0"/>
        <w:numPr>
          <w:ilvl w:val="0"/>
          <w:numId w:val="16"/>
        </w:numPr>
        <w:tabs>
          <w:tab w:val="left" w:pos="540"/>
        </w:tabs>
        <w:kinsoku/>
        <w:wordWrap/>
        <w:overflowPunct/>
        <w:topLinePunct w:val="0"/>
        <w:autoSpaceDE/>
        <w:autoSpaceDN/>
        <w:bidi w:val="0"/>
        <w:adjustRightInd w:val="0"/>
        <w:snapToGrid/>
        <w:spacing w:line="312"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p w14:paraId="2BF74B1F">
      <w:pPr>
        <w:keepNext w:val="0"/>
        <w:keepLines w:val="0"/>
        <w:pageBreakBefore w:val="0"/>
        <w:widowControl w:val="0"/>
        <w:numPr>
          <w:ilvl w:val="0"/>
          <w:numId w:val="22"/>
        </w:numPr>
        <w:tabs>
          <w:tab w:val="left" w:pos="2340"/>
        </w:tabs>
        <w:kinsoku/>
        <w:wordWrap/>
        <w:overflowPunct/>
        <w:topLinePunct w:val="0"/>
        <w:autoSpaceDE/>
        <w:autoSpaceDN/>
        <w:bidi w:val="0"/>
        <w:adjustRightInd w:val="0"/>
        <w:snapToGrid/>
        <w:spacing w:line="312" w:lineRule="auto"/>
        <w:ind w:left="0" w:leftChars="0" w:firstLine="42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w:t>
      </w:r>
      <w:r>
        <w:rPr>
          <w:rFonts w:hint="eastAsia" w:ascii="宋体" w:hAnsi="宋体" w:cs="宋体"/>
          <w:bCs/>
          <w:color w:val="auto"/>
          <w:sz w:val="21"/>
          <w:szCs w:val="21"/>
          <w:highlight w:val="none"/>
          <w:lang w:eastAsia="zh-CN"/>
        </w:rPr>
        <w:t>招标人</w:t>
      </w:r>
      <w:r>
        <w:rPr>
          <w:rFonts w:hint="eastAsia" w:ascii="宋体" w:hAnsi="宋体" w:eastAsia="宋体" w:cs="宋体"/>
          <w:bCs/>
          <w:color w:val="auto"/>
          <w:sz w:val="21"/>
          <w:szCs w:val="21"/>
          <w:highlight w:val="none"/>
        </w:rPr>
        <w:t>按下列程序付款：</w:t>
      </w:r>
    </w:p>
    <w:p w14:paraId="74A992D3">
      <w:pPr>
        <w:keepNext w:val="0"/>
        <w:keepLines w:val="0"/>
        <w:pageBreakBefore w:val="0"/>
        <w:widowControl w:val="0"/>
        <w:numPr>
          <w:ilvl w:val="0"/>
          <w:numId w:val="23"/>
        </w:numPr>
        <w:tabs>
          <w:tab w:val="left" w:pos="0"/>
          <w:tab w:val="clear" w:pos="425"/>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本项目安保服务费用按</w:t>
      </w:r>
      <w:r>
        <w:rPr>
          <w:rFonts w:hint="eastAsia" w:ascii="宋体" w:hAnsi="宋体" w:eastAsia="宋体" w:cs="宋体"/>
          <w:bCs/>
          <w:color w:val="auto"/>
          <w:sz w:val="21"/>
          <w:szCs w:val="21"/>
          <w:highlight w:val="none"/>
          <w:lang w:val="en-US" w:eastAsia="zh-CN"/>
        </w:rPr>
        <w:t>月度</w:t>
      </w:r>
      <w:r>
        <w:rPr>
          <w:rFonts w:hint="eastAsia" w:ascii="宋体" w:hAnsi="宋体" w:eastAsia="宋体" w:cs="宋体"/>
          <w:bCs/>
          <w:color w:val="auto"/>
          <w:sz w:val="21"/>
          <w:szCs w:val="21"/>
          <w:highlight w:val="none"/>
          <w:lang w:eastAsia="zh-CN"/>
        </w:rPr>
        <w:t>支付。</w:t>
      </w:r>
      <w:r>
        <w:rPr>
          <w:rFonts w:hint="eastAsia" w:ascii="宋体" w:hAnsi="宋体" w:eastAsia="宋体" w:cs="宋体"/>
          <w:bCs/>
          <w:color w:val="auto"/>
          <w:sz w:val="21"/>
          <w:szCs w:val="21"/>
          <w:highlight w:val="none"/>
          <w:lang w:val="en-US" w:eastAsia="zh-CN"/>
        </w:rPr>
        <w:t>中标人提供安保服务的当月费用，招标人于次月以银行转账方式支付</w:t>
      </w:r>
      <w:r>
        <w:rPr>
          <w:rFonts w:hint="eastAsia" w:ascii="宋体" w:hAnsi="宋体" w:eastAsia="宋体" w:cs="宋体"/>
          <w:bCs/>
          <w:color w:val="auto"/>
          <w:sz w:val="21"/>
          <w:szCs w:val="21"/>
          <w:highlight w:val="none"/>
          <w:lang w:eastAsia="zh-CN"/>
        </w:rPr>
        <w:t>。</w:t>
      </w:r>
    </w:p>
    <w:p w14:paraId="35F21A9F">
      <w:pPr>
        <w:keepNext w:val="0"/>
        <w:keepLines w:val="0"/>
        <w:pageBreakBefore w:val="0"/>
        <w:widowControl w:val="0"/>
        <w:numPr>
          <w:ilvl w:val="0"/>
          <w:numId w:val="23"/>
        </w:numPr>
        <w:tabs>
          <w:tab w:val="left" w:pos="0"/>
          <w:tab w:val="clear" w:pos="425"/>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中标人于次月5个自然日内提供合法有效的增值税专用发票（税率6%）给招标人，招标人应于收到中标人提供的发票后20个自然日内支付相应金额的服务费给中标人。</w:t>
      </w:r>
    </w:p>
    <w:p w14:paraId="7A300687">
      <w:pPr>
        <w:keepNext w:val="0"/>
        <w:keepLines w:val="0"/>
        <w:pageBreakBefore w:val="0"/>
        <w:widowControl w:val="0"/>
        <w:numPr>
          <w:ilvl w:val="0"/>
          <w:numId w:val="23"/>
        </w:numPr>
        <w:tabs>
          <w:tab w:val="left" w:pos="0"/>
          <w:tab w:val="clear" w:pos="425"/>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应付月度服务费用=结合每月的《保安服务质量考核标准》（如有扣罚对应扣除费用再进行支付）。</w:t>
      </w:r>
    </w:p>
    <w:p w14:paraId="7E88D194">
      <w:pPr>
        <w:keepNext w:val="0"/>
        <w:keepLines w:val="0"/>
        <w:pageBreakBefore w:val="0"/>
        <w:widowControl w:val="0"/>
        <w:numPr>
          <w:ilvl w:val="0"/>
          <w:numId w:val="22"/>
        </w:numPr>
        <w:tabs>
          <w:tab w:val="left" w:pos="2340"/>
        </w:tabs>
        <w:kinsoku/>
        <w:wordWrap/>
        <w:overflowPunct/>
        <w:topLinePunct w:val="0"/>
        <w:autoSpaceDE/>
        <w:autoSpaceDN/>
        <w:bidi w:val="0"/>
        <w:adjustRightInd w:val="0"/>
        <w:snapToGrid/>
        <w:spacing w:line="312" w:lineRule="auto"/>
        <w:ind w:left="0" w:leftChars="0" w:firstLine="42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凭以下有效文件与</w:t>
      </w:r>
      <w:r>
        <w:rPr>
          <w:rFonts w:hint="eastAsia" w:ascii="宋体" w:hAnsi="宋体" w:eastAsia="宋体" w:cs="宋体"/>
          <w:bCs/>
          <w:color w:val="auto"/>
          <w:sz w:val="21"/>
          <w:szCs w:val="21"/>
          <w:highlight w:val="none"/>
          <w:lang w:eastAsia="zh-CN"/>
        </w:rPr>
        <w:t>招标人</w:t>
      </w:r>
      <w:r>
        <w:rPr>
          <w:rFonts w:hint="eastAsia" w:ascii="宋体" w:hAnsi="宋体" w:eastAsia="宋体" w:cs="宋体"/>
          <w:bCs/>
          <w:color w:val="auto"/>
          <w:sz w:val="21"/>
          <w:szCs w:val="21"/>
          <w:highlight w:val="none"/>
        </w:rPr>
        <w:t>结算：</w:t>
      </w:r>
      <w:bookmarkStart w:id="230" w:name="_GoBack"/>
      <w:bookmarkEnd w:id="230"/>
    </w:p>
    <w:p w14:paraId="75214516">
      <w:pPr>
        <w:keepNext w:val="0"/>
        <w:keepLines w:val="0"/>
        <w:pageBreakBefore w:val="0"/>
        <w:widowControl w:val="0"/>
        <w:numPr>
          <w:ilvl w:val="0"/>
          <w:numId w:val="24"/>
        </w:numPr>
        <w:tabs>
          <w:tab w:val="left" w:pos="0"/>
          <w:tab w:val="clear" w:pos="425"/>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w:t>
      </w:r>
    </w:p>
    <w:p w14:paraId="64196BEC">
      <w:pPr>
        <w:keepNext w:val="0"/>
        <w:keepLines w:val="0"/>
        <w:pageBreakBefore w:val="0"/>
        <w:widowControl w:val="0"/>
        <w:numPr>
          <w:ilvl w:val="0"/>
          <w:numId w:val="24"/>
        </w:numPr>
        <w:tabs>
          <w:tab w:val="left" w:pos="0"/>
          <w:tab w:val="clear" w:pos="425"/>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开具的正式发票；</w:t>
      </w:r>
    </w:p>
    <w:p w14:paraId="2F23AE12">
      <w:pPr>
        <w:keepNext w:val="0"/>
        <w:keepLines w:val="0"/>
        <w:pageBreakBefore w:val="0"/>
        <w:widowControl w:val="0"/>
        <w:numPr>
          <w:ilvl w:val="0"/>
          <w:numId w:val="24"/>
        </w:numPr>
        <w:tabs>
          <w:tab w:val="left" w:pos="0"/>
          <w:tab w:val="clear" w:pos="425"/>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付款申请书</w:t>
      </w:r>
      <w:r>
        <w:rPr>
          <w:rFonts w:hint="eastAsia" w:ascii="宋体" w:hAnsi="宋体" w:eastAsia="宋体" w:cs="宋体"/>
          <w:bCs/>
          <w:color w:val="auto"/>
          <w:sz w:val="21"/>
          <w:szCs w:val="21"/>
          <w:highlight w:val="none"/>
        </w:rPr>
        <w:t>（加盖</w:t>
      </w:r>
      <w:r>
        <w:rPr>
          <w:rFonts w:hint="eastAsia" w:ascii="宋体" w:hAnsi="宋体" w:eastAsia="宋体" w:cs="宋体"/>
          <w:bCs/>
          <w:color w:val="auto"/>
          <w:sz w:val="21"/>
          <w:szCs w:val="21"/>
          <w:highlight w:val="none"/>
          <w:lang w:val="en-US" w:eastAsia="zh-CN"/>
        </w:rPr>
        <w:t>中标人</w:t>
      </w:r>
      <w:r>
        <w:rPr>
          <w:rFonts w:hint="eastAsia" w:ascii="宋体" w:hAnsi="宋体" w:eastAsia="宋体" w:cs="宋体"/>
          <w:bCs/>
          <w:color w:val="auto"/>
          <w:sz w:val="21"/>
          <w:szCs w:val="21"/>
          <w:highlight w:val="none"/>
        </w:rPr>
        <w:t>公章）；</w:t>
      </w:r>
    </w:p>
    <w:p w14:paraId="5D7DB7F0">
      <w:pPr>
        <w:keepNext w:val="0"/>
        <w:keepLines w:val="0"/>
        <w:pageBreakBefore w:val="0"/>
        <w:widowControl w:val="0"/>
        <w:numPr>
          <w:ilvl w:val="0"/>
          <w:numId w:val="24"/>
        </w:numPr>
        <w:tabs>
          <w:tab w:val="left" w:pos="0"/>
          <w:tab w:val="clear" w:pos="425"/>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中标通知书；</w:t>
      </w:r>
    </w:p>
    <w:p w14:paraId="0B10C4C8">
      <w:pPr>
        <w:keepNext w:val="0"/>
        <w:keepLines w:val="0"/>
        <w:pageBreakBefore w:val="0"/>
        <w:widowControl w:val="0"/>
        <w:numPr>
          <w:ilvl w:val="0"/>
          <w:numId w:val="24"/>
        </w:numPr>
        <w:tabs>
          <w:tab w:val="left" w:pos="0"/>
          <w:tab w:val="clear" w:pos="425"/>
        </w:tabs>
        <w:kinsoku/>
        <w:wordWrap/>
        <w:overflowPunct/>
        <w:topLinePunct w:val="0"/>
        <w:autoSpaceDE/>
        <w:autoSpaceDN/>
        <w:bidi w:val="0"/>
        <w:adjustRightInd w:val="0"/>
        <w:snapToGrid/>
        <w:spacing w:line="312" w:lineRule="auto"/>
        <w:ind w:left="5" w:leftChars="0" w:firstLine="415"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21"/>
          <w:sz w:val="21"/>
          <w:szCs w:val="21"/>
          <w:highlight w:val="none"/>
          <w:lang w:eastAsia="zh-CN"/>
        </w:rPr>
        <w:t>保安服务质量考核表</w:t>
      </w:r>
      <w:r>
        <w:rPr>
          <w:rFonts w:hint="eastAsia" w:ascii="宋体" w:hAnsi="宋体" w:eastAsia="宋体" w:cs="宋体"/>
          <w:bCs/>
          <w:color w:val="auto"/>
          <w:sz w:val="21"/>
          <w:szCs w:val="21"/>
          <w:highlight w:val="none"/>
        </w:rPr>
        <w:t>。</w:t>
      </w:r>
    </w:p>
    <w:p w14:paraId="1C1FDF36">
      <w:pPr>
        <w:keepNext w:val="0"/>
        <w:keepLines w:val="0"/>
        <w:pageBreakBefore w:val="0"/>
        <w:widowControl w:val="0"/>
        <w:numPr>
          <w:ilvl w:val="0"/>
          <w:numId w:val="22"/>
        </w:numPr>
        <w:tabs>
          <w:tab w:val="left" w:pos="2340"/>
        </w:tabs>
        <w:kinsoku/>
        <w:wordWrap/>
        <w:overflowPunct/>
        <w:topLinePunct w:val="0"/>
        <w:autoSpaceDE/>
        <w:autoSpaceDN/>
        <w:bidi w:val="0"/>
        <w:adjustRightInd w:val="0"/>
        <w:snapToGrid/>
        <w:spacing w:line="312" w:lineRule="auto"/>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收款方、出具发票方、合同乙方均必须与中标人名称一致。</w:t>
      </w:r>
    </w:p>
    <w:p w14:paraId="24380542">
      <w:pPr>
        <w:adjustRightInd w:val="0"/>
        <w:snapToGrid w:val="0"/>
        <w:spacing w:before="156" w:beforeLines="50" w:after="156" w:afterLines="50" w:line="360" w:lineRule="auto"/>
        <w:jc w:val="center"/>
        <w:outlineLvl w:val="0"/>
        <w:rPr>
          <w:rFonts w:hint="eastAsia" w:ascii="宋体" w:hAnsi="宋体"/>
          <w:b/>
          <w:bCs/>
          <w:color w:val="auto"/>
          <w:sz w:val="28"/>
        </w:rPr>
      </w:pPr>
      <w:r>
        <w:rPr>
          <w:rFonts w:hint="eastAsia" w:ascii="宋体" w:hAnsi="宋体" w:eastAsia="宋体"/>
          <w:b/>
          <w:bCs/>
          <w:color w:val="auto"/>
          <w:sz w:val="28"/>
          <w:szCs w:val="28"/>
          <w:highlight w:val="yellow"/>
        </w:rPr>
        <w:br w:type="column"/>
      </w:r>
      <w:bookmarkStart w:id="3" w:name="_Toc28618"/>
      <w:r>
        <w:rPr>
          <w:rFonts w:hint="eastAsia"/>
          <w:b/>
          <w:bCs/>
          <w:color w:val="auto"/>
          <w:sz w:val="28"/>
          <w:szCs w:val="28"/>
        </w:rPr>
        <w:t>第四章  评分体系与标准</w:t>
      </w:r>
      <w:bookmarkEnd w:id="3"/>
    </w:p>
    <w:p w14:paraId="64FBCC9A">
      <w:pPr>
        <w:keepNext w:val="0"/>
        <w:keepLines w:val="0"/>
        <w:pageBreakBefore w:val="0"/>
        <w:widowControl w:val="0"/>
        <w:numPr>
          <w:ilvl w:val="0"/>
          <w:numId w:val="25"/>
        </w:numPr>
        <w:tabs>
          <w:tab w:val="left" w:pos="630"/>
        </w:tabs>
        <w:kinsoku/>
        <w:wordWrap/>
        <w:overflowPunct/>
        <w:topLinePunct w:val="0"/>
        <w:autoSpaceDE w:val="0"/>
        <w:autoSpaceDN w:val="0"/>
        <w:bidi w:val="0"/>
        <w:adjustRightInd w:val="0"/>
        <w:snapToGrid/>
        <w:spacing w:line="324" w:lineRule="auto"/>
        <w:ind w:left="420" w:hanging="420"/>
        <w:textAlignment w:val="auto"/>
        <w:rPr>
          <w:rFonts w:ascii="宋体" w:cs="宋体"/>
          <w:color w:val="auto"/>
          <w:szCs w:val="21"/>
        </w:rPr>
      </w:pPr>
      <w:r>
        <w:rPr>
          <w:rFonts w:hint="eastAsia" w:ascii="宋体" w:cs="宋体"/>
          <w:color w:val="auto"/>
          <w:szCs w:val="21"/>
        </w:rPr>
        <w:t>本评标办法采用综合评分法。</w:t>
      </w:r>
    </w:p>
    <w:p w14:paraId="411F43C2">
      <w:pPr>
        <w:keepNext w:val="0"/>
        <w:keepLines w:val="0"/>
        <w:pageBreakBefore w:val="0"/>
        <w:widowControl w:val="0"/>
        <w:numPr>
          <w:ilvl w:val="0"/>
          <w:numId w:val="25"/>
        </w:numPr>
        <w:tabs>
          <w:tab w:val="left" w:pos="630"/>
        </w:tabs>
        <w:kinsoku/>
        <w:wordWrap/>
        <w:overflowPunct/>
        <w:topLinePunct w:val="0"/>
        <w:autoSpaceDE w:val="0"/>
        <w:autoSpaceDN w:val="0"/>
        <w:bidi w:val="0"/>
        <w:adjustRightInd w:val="0"/>
        <w:snapToGrid/>
        <w:spacing w:line="324" w:lineRule="auto"/>
        <w:ind w:left="420" w:hanging="420"/>
        <w:textAlignment w:val="auto"/>
        <w:rPr>
          <w:rFonts w:ascii="宋体" w:cs="宋体"/>
          <w:color w:val="auto"/>
          <w:szCs w:val="21"/>
          <w:highlight w:val="none"/>
        </w:rPr>
      </w:pPr>
      <w:r>
        <w:rPr>
          <w:rFonts w:hint="eastAsia" w:ascii="宋体" w:cs="宋体"/>
          <w:color w:val="auto"/>
          <w:szCs w:val="21"/>
        </w:rPr>
        <w:t>评标步骤</w:t>
      </w:r>
      <w:r>
        <w:rPr>
          <w:rFonts w:hint="eastAsia" w:ascii="宋体" w:cs="宋体"/>
          <w:color w:val="auto"/>
          <w:szCs w:val="21"/>
          <w:highlight w:val="none"/>
        </w:rPr>
        <w:t>：</w:t>
      </w:r>
      <w:r>
        <w:rPr>
          <w:rFonts w:hint="eastAsia" w:ascii="宋体" w:cs="宋体"/>
          <w:color w:val="auto"/>
          <w:szCs w:val="21"/>
          <w:highlight w:val="none"/>
          <w:lang w:eastAsia="zh-CN"/>
        </w:rPr>
        <w:t>招标人</w:t>
      </w:r>
      <w:r>
        <w:rPr>
          <w:rFonts w:hint="eastAsia" w:ascii="宋体" w:cs="宋体"/>
          <w:color w:val="auto"/>
          <w:szCs w:val="21"/>
          <w:highlight w:val="none"/>
        </w:rPr>
        <w:t>或</w:t>
      </w:r>
      <w:r>
        <w:rPr>
          <w:rFonts w:hint="eastAsia" w:ascii="宋体" w:cs="宋体"/>
          <w:color w:val="auto"/>
          <w:szCs w:val="21"/>
          <w:highlight w:val="none"/>
          <w:lang w:eastAsia="zh-CN"/>
        </w:rPr>
        <w:t>招标代理机构</w:t>
      </w:r>
      <w:r>
        <w:rPr>
          <w:rFonts w:hint="eastAsia" w:ascii="宋体" w:cs="宋体"/>
          <w:color w:val="auto"/>
          <w:szCs w:val="21"/>
          <w:highlight w:val="none"/>
        </w:rPr>
        <w:t>对投标人资格进行审查；评标委员会对符合资格的投标人的投标文件进行符合性审查，对符合性审查合格的投标文件进行技术、商务及价格的详细评审最后评标委员会出具评标报告。</w:t>
      </w:r>
    </w:p>
    <w:p w14:paraId="421C9944">
      <w:pPr>
        <w:keepNext w:val="0"/>
        <w:keepLines w:val="0"/>
        <w:pageBreakBefore w:val="0"/>
        <w:widowControl w:val="0"/>
        <w:numPr>
          <w:ilvl w:val="0"/>
          <w:numId w:val="25"/>
        </w:numPr>
        <w:tabs>
          <w:tab w:val="left" w:pos="630"/>
        </w:tabs>
        <w:kinsoku/>
        <w:wordWrap/>
        <w:overflowPunct/>
        <w:topLinePunct w:val="0"/>
        <w:autoSpaceDE w:val="0"/>
        <w:autoSpaceDN w:val="0"/>
        <w:bidi w:val="0"/>
        <w:adjustRightInd w:val="0"/>
        <w:snapToGrid/>
        <w:spacing w:line="324" w:lineRule="auto"/>
        <w:ind w:left="420" w:hanging="420"/>
        <w:textAlignment w:val="auto"/>
        <w:rPr>
          <w:rFonts w:ascii="宋体" w:cs="宋体"/>
          <w:color w:val="auto"/>
          <w:szCs w:val="21"/>
        </w:rPr>
      </w:pPr>
      <w:r>
        <w:rPr>
          <w:rFonts w:hint="eastAsia" w:ascii="宋体" w:hAnsi="宋体"/>
          <w:color w:val="auto"/>
          <w:szCs w:val="21"/>
          <w:highlight w:val="none"/>
        </w:rPr>
        <w:t>评标委员会成员对需要共</w:t>
      </w:r>
      <w:r>
        <w:rPr>
          <w:rFonts w:hint="eastAsia" w:ascii="宋体" w:hAnsi="宋体"/>
          <w:color w:val="auto"/>
          <w:szCs w:val="21"/>
        </w:rPr>
        <w:t>同认定的事项存在争议的，按照少数服从多数的原则作出结论。</w:t>
      </w:r>
    </w:p>
    <w:p w14:paraId="54B709B6">
      <w:pPr>
        <w:keepNext w:val="0"/>
        <w:keepLines w:val="0"/>
        <w:pageBreakBefore w:val="0"/>
        <w:widowControl w:val="0"/>
        <w:kinsoku/>
        <w:wordWrap/>
        <w:overflowPunct/>
        <w:topLinePunct w:val="0"/>
        <w:autoSpaceDE/>
        <w:autoSpaceDN/>
        <w:bidi w:val="0"/>
        <w:adjustRightInd w:val="0"/>
        <w:snapToGrid/>
        <w:spacing w:after="157" w:afterLines="50" w:line="360" w:lineRule="auto"/>
        <w:jc w:val="center"/>
        <w:textAlignment w:val="auto"/>
        <w:rPr>
          <w:rFonts w:hint="eastAsia" w:ascii="黑体" w:hAnsi="宋体" w:eastAsia="黑体" w:cs="宋体"/>
          <w:color w:val="auto"/>
          <w:sz w:val="28"/>
          <w:szCs w:val="28"/>
          <w:lang w:eastAsia="zh-CN"/>
        </w:rPr>
      </w:pPr>
      <w:r>
        <w:rPr>
          <w:rFonts w:hint="eastAsia" w:ascii="黑体" w:hAnsi="宋体" w:eastAsia="黑体" w:cs="宋体"/>
          <w:color w:val="auto"/>
          <w:sz w:val="28"/>
          <w:szCs w:val="28"/>
        </w:rPr>
        <w:t>资格性和符合性审查条款</w:t>
      </w:r>
    </w:p>
    <w:tbl>
      <w:tblPr>
        <w:tblStyle w:val="1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0"/>
        <w:gridCol w:w="1247"/>
        <w:gridCol w:w="6838"/>
      </w:tblGrid>
      <w:tr w14:paraId="4CC33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1110" w:type="dxa"/>
            <w:noWrap w:val="0"/>
            <w:vAlign w:val="center"/>
          </w:tcPr>
          <w:p w14:paraId="4078B75A">
            <w:pPr>
              <w:jc w:val="center"/>
              <w:rPr>
                <w:rFonts w:hint="eastAsia" w:ascii="宋体" w:cs="宋体"/>
                <w:b/>
                <w:color w:val="auto"/>
              </w:rPr>
            </w:pPr>
            <w:r>
              <w:rPr>
                <w:rStyle w:val="22"/>
                <w:rFonts w:ascii="宋体" w:hAnsi="宋体" w:cs="宋体"/>
                <w:color w:val="auto"/>
              </w:rPr>
              <w:t>审查项目</w:t>
            </w:r>
          </w:p>
        </w:tc>
        <w:tc>
          <w:tcPr>
            <w:tcW w:w="8085" w:type="dxa"/>
            <w:gridSpan w:val="2"/>
            <w:noWrap w:val="0"/>
            <w:vAlign w:val="center"/>
          </w:tcPr>
          <w:p w14:paraId="29B1C1F8">
            <w:pPr>
              <w:jc w:val="center"/>
              <w:rPr>
                <w:rFonts w:ascii="宋体" w:cs="宋体"/>
                <w:b/>
                <w:color w:val="auto"/>
              </w:rPr>
            </w:pPr>
            <w:r>
              <w:rPr>
                <w:rFonts w:hint="eastAsia" w:ascii="宋体" w:hAnsi="宋体" w:cs="宋体"/>
                <w:b/>
                <w:color w:val="auto"/>
              </w:rPr>
              <w:t>评 审 内 容</w:t>
            </w:r>
          </w:p>
        </w:tc>
      </w:tr>
      <w:tr w14:paraId="52789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1110" w:type="dxa"/>
            <w:vMerge w:val="restart"/>
            <w:noWrap w:val="0"/>
            <w:vAlign w:val="center"/>
          </w:tcPr>
          <w:p w14:paraId="79725198">
            <w:pPr>
              <w:jc w:val="center"/>
              <w:rPr>
                <w:rFonts w:ascii="宋体" w:cs="宋体"/>
                <w:color w:val="auto"/>
              </w:rPr>
            </w:pPr>
            <w:r>
              <w:rPr>
                <w:rFonts w:ascii="宋体" w:cs="宋体"/>
                <w:color w:val="auto"/>
              </w:rPr>
              <w:t>资格性</w:t>
            </w:r>
          </w:p>
          <w:p w14:paraId="592A6394">
            <w:pPr>
              <w:jc w:val="center"/>
              <w:rPr>
                <w:rFonts w:hint="eastAsia" w:ascii="宋体" w:cs="宋体"/>
                <w:color w:val="auto"/>
              </w:rPr>
            </w:pPr>
            <w:r>
              <w:rPr>
                <w:rFonts w:ascii="宋体" w:cs="宋体"/>
                <w:color w:val="auto"/>
              </w:rPr>
              <w:t>审查</w:t>
            </w:r>
          </w:p>
        </w:tc>
        <w:tc>
          <w:tcPr>
            <w:tcW w:w="1247" w:type="dxa"/>
            <w:vMerge w:val="restart"/>
            <w:tcBorders>
              <w:right w:val="single" w:color="auto" w:sz="4" w:space="0"/>
            </w:tcBorders>
            <w:noWrap w:val="0"/>
            <w:vAlign w:val="center"/>
          </w:tcPr>
          <w:p w14:paraId="4D3917DB">
            <w:pPr>
              <w:jc w:val="center"/>
              <w:rPr>
                <w:rFonts w:hint="eastAsia" w:ascii="宋体" w:hAnsi="宋体" w:cs="宋体"/>
                <w:b/>
                <w:color w:val="auto"/>
              </w:rPr>
            </w:pPr>
            <w:r>
              <w:rPr>
                <w:rFonts w:ascii="宋体" w:hAnsi="宋体" w:cs="宋体"/>
                <w:color w:val="auto"/>
              </w:rPr>
              <w:t>与</w:t>
            </w:r>
            <w:r>
              <w:rPr>
                <w:rFonts w:hint="eastAsia" w:ascii="宋体" w:hAnsi="宋体" w:cs="宋体"/>
                <w:color w:val="auto"/>
              </w:rPr>
              <w:t>投标邀请函</w:t>
            </w:r>
            <w:r>
              <w:rPr>
                <w:rFonts w:ascii="宋体" w:hAnsi="宋体" w:cs="宋体"/>
                <w:color w:val="auto"/>
              </w:rPr>
              <w:t>中</w:t>
            </w:r>
            <w:r>
              <w:rPr>
                <w:rFonts w:hint="eastAsia" w:ascii="宋体" w:hAnsi="宋体" w:cs="宋体"/>
                <w:color w:val="auto"/>
              </w:rPr>
              <w:t>“</w:t>
            </w:r>
            <w:r>
              <w:rPr>
                <w:rFonts w:ascii="宋体" w:hAnsi="宋体" w:cs="宋体"/>
                <w:color w:val="auto"/>
              </w:rPr>
              <w:t>供应商资格</w:t>
            </w:r>
            <w:r>
              <w:rPr>
                <w:rFonts w:hint="eastAsia" w:ascii="宋体" w:hAnsi="宋体" w:cs="宋体"/>
                <w:color w:val="auto"/>
              </w:rPr>
              <w:t>”</w:t>
            </w:r>
            <w:r>
              <w:rPr>
                <w:rFonts w:ascii="宋体" w:hAnsi="宋体" w:cs="宋体"/>
                <w:color w:val="auto"/>
              </w:rPr>
              <w:t>要求一致</w:t>
            </w:r>
            <w:r>
              <w:rPr>
                <w:rFonts w:hint="eastAsia" w:ascii="宋体" w:hAnsi="宋体" w:cs="宋体"/>
                <w:color w:val="auto"/>
              </w:rPr>
              <w:t>；</w:t>
            </w:r>
          </w:p>
        </w:tc>
        <w:tc>
          <w:tcPr>
            <w:tcW w:w="6838" w:type="dxa"/>
            <w:tcBorders>
              <w:left w:val="single" w:color="auto" w:sz="4" w:space="0"/>
            </w:tcBorders>
            <w:noWrap w:val="0"/>
            <w:vAlign w:val="center"/>
          </w:tcPr>
          <w:p w14:paraId="64A5F508">
            <w:pPr>
              <w:numPr>
                <w:ilvl w:val="0"/>
                <w:numId w:val="0"/>
              </w:numPr>
              <w:tabs>
                <w:tab w:val="left" w:pos="1276"/>
              </w:tabs>
              <w:snapToGrid w:val="0"/>
              <w:spacing w:line="276" w:lineRule="auto"/>
              <w:ind w:leftChars="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具备以下资格条件，提供下列材料</w:t>
            </w:r>
            <w:r>
              <w:rPr>
                <w:rFonts w:hint="eastAsia" w:ascii="宋体" w:hAnsi="宋体" w:cs="宋体"/>
                <w:color w:val="auto"/>
                <w:kern w:val="0"/>
                <w:szCs w:val="21"/>
                <w:highlight w:val="none"/>
              </w:rPr>
              <w:t>：</w:t>
            </w:r>
          </w:p>
          <w:p w14:paraId="7A5C0A3A">
            <w:pPr>
              <w:numPr>
                <w:ilvl w:val="0"/>
                <w:numId w:val="0"/>
              </w:numPr>
              <w:tabs>
                <w:tab w:val="left" w:pos="1276"/>
              </w:tabs>
              <w:snapToGrid w:val="0"/>
              <w:spacing w:line="276" w:lineRule="auto"/>
              <w:ind w:leftChars="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在中华人民共和国境内注册的法人或其他组织或自然人，投标时提供有效的营业执照（或事业法人登记证或身份证等相关证明） 副本复印件，如投标人为自然人的需提供自然人身份证明复印件；</w:t>
            </w:r>
          </w:p>
          <w:p w14:paraId="079F22C1">
            <w:pPr>
              <w:numPr>
                <w:ilvl w:val="0"/>
                <w:numId w:val="0"/>
              </w:numPr>
              <w:tabs>
                <w:tab w:val="left" w:pos="1276"/>
              </w:tabs>
              <w:snapToGrid w:val="0"/>
              <w:spacing w:line="276" w:lineRule="auto"/>
              <w:ind w:leftChars="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财务会计制度情况，须提供下列任一项证明材料：</w:t>
            </w:r>
          </w:p>
          <w:p w14:paraId="276BD957">
            <w:pPr>
              <w:numPr>
                <w:ilvl w:val="0"/>
                <w:numId w:val="0"/>
              </w:numPr>
              <w:tabs>
                <w:tab w:val="left" w:pos="1276"/>
              </w:tabs>
              <w:snapToGrid w:val="0"/>
              <w:spacing w:line="276" w:lineRule="auto"/>
              <w:ind w:leftChars="0"/>
              <w:rPr>
                <w:rFonts w:hint="eastAsia" w:ascii="宋体" w:hAnsi="宋体" w:cs="宋体"/>
                <w:color w:val="auto"/>
                <w:kern w:val="0"/>
                <w:szCs w:val="21"/>
                <w:highlight w:val="none"/>
              </w:rPr>
            </w:pPr>
            <w:r>
              <w:rPr>
                <w:rFonts w:hint="eastAsia" w:ascii="宋体" w:hAnsi="宋体" w:cs="宋体"/>
                <w:color w:val="auto"/>
                <w:kern w:val="0"/>
                <w:szCs w:val="21"/>
                <w:highlight w:val="none"/>
              </w:rPr>
              <w:t>①提供2024年度的财务状况报告，财务状况报告须由第三方会计师事务所出具，并能清晰显示第三方会计师事务所的印章和注册会计师签字盖章，且能反映审计结论；</w:t>
            </w:r>
          </w:p>
          <w:p w14:paraId="69349FF4">
            <w:pPr>
              <w:numPr>
                <w:ilvl w:val="0"/>
                <w:numId w:val="0"/>
              </w:numPr>
              <w:tabs>
                <w:tab w:val="left" w:pos="1276"/>
              </w:tabs>
              <w:snapToGrid w:val="0"/>
              <w:spacing w:line="276" w:lineRule="auto"/>
              <w:ind w:leftChars="0"/>
              <w:rPr>
                <w:rFonts w:hint="eastAsia" w:ascii="宋体" w:hAnsi="宋体" w:cs="宋体"/>
                <w:color w:val="auto"/>
                <w:kern w:val="0"/>
                <w:szCs w:val="21"/>
                <w:highlight w:val="none"/>
              </w:rPr>
            </w:pPr>
            <w:r>
              <w:rPr>
                <w:rFonts w:hint="eastAsia" w:ascii="宋体" w:hAnsi="宋体" w:cs="宋体"/>
                <w:color w:val="auto"/>
                <w:kern w:val="0"/>
                <w:szCs w:val="21"/>
                <w:highlight w:val="none"/>
              </w:rPr>
              <w:t>②基本开户银行出具投标截止前6个月内（含投标截止当月，并往前顺推）任意1个月的资信证明，并同时提供基本开户银行的《开户许可证》或《基本存款账户信息》（公户账户主档）或其他可证明资信证明为基本开户银行出具的相关证明资料，以上文件均需加盖银行印章。</w:t>
            </w:r>
          </w:p>
          <w:p w14:paraId="25009051">
            <w:pPr>
              <w:numPr>
                <w:ilvl w:val="0"/>
                <w:numId w:val="0"/>
              </w:numPr>
              <w:tabs>
                <w:tab w:val="left" w:pos="1276"/>
              </w:tabs>
              <w:snapToGrid w:val="0"/>
              <w:spacing w:line="276" w:lineRule="auto"/>
              <w:ind w:leftChars="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提供投标截止日前6个月内（含投标截止时间当月）任意1个月依法缴纳税收和社会保障资金的相关材料。如依法免税或不需要缴纳社会保障资金的，提供相应证明材料；</w:t>
            </w:r>
          </w:p>
          <w:p w14:paraId="4914E424">
            <w:pPr>
              <w:numPr>
                <w:ilvl w:val="0"/>
                <w:numId w:val="0"/>
              </w:numPr>
              <w:tabs>
                <w:tab w:val="left" w:pos="1276"/>
              </w:tabs>
              <w:snapToGrid w:val="0"/>
              <w:spacing w:line="276" w:lineRule="auto"/>
              <w:ind w:leftChars="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履行合同所必需的设备和专业技术能力的书面声明（提供《投标人资格声明函》）；</w:t>
            </w:r>
          </w:p>
          <w:p w14:paraId="658F56FE">
            <w:pPr>
              <w:numPr>
                <w:ilvl w:val="0"/>
                <w:numId w:val="0"/>
              </w:numPr>
              <w:tabs>
                <w:tab w:val="left" w:pos="1276"/>
              </w:tabs>
              <w:snapToGrid w:val="0"/>
              <w:spacing w:line="276" w:lineRule="auto"/>
              <w:ind w:leftChars="0"/>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参加政府采购活动前3年内在经营活动中没有重大违法记录的书面声明（提供《投标人资格声明函》）。</w:t>
            </w:r>
          </w:p>
        </w:tc>
      </w:tr>
      <w:tr w14:paraId="50AB6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1110" w:type="dxa"/>
            <w:vMerge w:val="continue"/>
            <w:noWrap w:val="0"/>
            <w:vAlign w:val="center"/>
          </w:tcPr>
          <w:p w14:paraId="0289F11B">
            <w:pPr>
              <w:jc w:val="center"/>
              <w:rPr>
                <w:rFonts w:ascii="宋体" w:cs="宋体"/>
                <w:color w:val="auto"/>
              </w:rPr>
            </w:pPr>
          </w:p>
        </w:tc>
        <w:tc>
          <w:tcPr>
            <w:tcW w:w="1247" w:type="dxa"/>
            <w:vMerge w:val="continue"/>
            <w:tcBorders>
              <w:right w:val="single" w:color="auto" w:sz="4" w:space="0"/>
            </w:tcBorders>
            <w:noWrap w:val="0"/>
            <w:vAlign w:val="center"/>
          </w:tcPr>
          <w:p w14:paraId="322446E3">
            <w:pPr>
              <w:jc w:val="center"/>
              <w:rPr>
                <w:rFonts w:ascii="宋体" w:hAnsi="宋体" w:cs="宋体"/>
                <w:color w:val="auto"/>
              </w:rPr>
            </w:pPr>
          </w:p>
        </w:tc>
        <w:tc>
          <w:tcPr>
            <w:tcW w:w="6838" w:type="dxa"/>
            <w:tcBorders>
              <w:left w:val="single" w:color="auto" w:sz="4" w:space="0"/>
            </w:tcBorders>
            <w:noWrap w:val="0"/>
            <w:vAlign w:val="center"/>
          </w:tcPr>
          <w:p w14:paraId="07849D4B">
            <w:pPr>
              <w:jc w:val="left"/>
              <w:rPr>
                <w:rFonts w:hint="eastAsia" w:ascii="宋体" w:hAnsi="宋体" w:eastAsia="宋体" w:cs="宋体"/>
                <w:color w:val="auto"/>
                <w:highlight w:val="none"/>
              </w:rPr>
            </w:pPr>
            <w:r>
              <w:rPr>
                <w:rFonts w:hint="eastAsia" w:ascii="宋体" w:hAnsi="宋体" w:eastAsia="宋体" w:cs="宋体"/>
                <w:color w:val="auto"/>
                <w:highlight w:val="none"/>
              </w:rPr>
              <w:t>未被列入“信用中国”网站</w:t>
            </w:r>
            <w:r>
              <w:rPr>
                <w:rFonts w:hint="eastAsia" w:ascii="宋体" w:hAnsi="宋体" w:cs="宋体"/>
                <w:color w:val="auto"/>
                <w:highlight w:val="none"/>
                <w:lang w:eastAsia="zh-CN"/>
              </w:rPr>
              <w:t>（</w:t>
            </w:r>
            <w:r>
              <w:rPr>
                <w:rFonts w:hint="eastAsia" w:ascii="宋体" w:hAnsi="宋体" w:eastAsia="宋体" w:cs="宋体"/>
                <w:color w:val="auto"/>
                <w:highlight w:val="none"/>
              </w:rPr>
              <w:t>www.creditchina.gov.cn</w:t>
            </w:r>
            <w:r>
              <w:rPr>
                <w:rFonts w:hint="eastAsia" w:ascii="宋体" w:hAnsi="宋体" w:cs="宋体"/>
                <w:color w:val="auto"/>
                <w:highlight w:val="none"/>
                <w:lang w:eastAsia="zh-CN"/>
              </w:rPr>
              <w:t>）</w:t>
            </w:r>
            <w:r>
              <w:rPr>
                <w:rFonts w:hint="eastAsia" w:ascii="宋体" w:hAnsi="宋体" w:eastAsia="宋体" w:cs="宋体"/>
                <w:color w:val="auto"/>
                <w:highlight w:val="none"/>
              </w:rPr>
              <w:t>“记录失信被执行人或重大税收违法失信主体或政府采购严重违法失信行为”记录名单；不处于中国政府采购网</w:t>
            </w:r>
            <w:r>
              <w:rPr>
                <w:rFonts w:hint="eastAsia" w:ascii="宋体" w:hAnsi="宋体" w:cs="宋体"/>
                <w:color w:val="auto"/>
                <w:highlight w:val="none"/>
                <w:lang w:eastAsia="zh-CN"/>
              </w:rPr>
              <w:t>（</w:t>
            </w:r>
            <w:r>
              <w:rPr>
                <w:rFonts w:hint="eastAsia" w:ascii="宋体" w:hAnsi="宋体" w:eastAsia="宋体" w:cs="宋体"/>
                <w:color w:val="auto"/>
                <w:highlight w:val="none"/>
              </w:rPr>
              <w:t>www.ccgp.gov.cn</w:t>
            </w:r>
            <w:r>
              <w:rPr>
                <w:rFonts w:hint="eastAsia" w:ascii="宋体" w:hAnsi="宋体" w:cs="宋体"/>
                <w:color w:val="auto"/>
                <w:highlight w:val="none"/>
                <w:lang w:eastAsia="zh-CN"/>
              </w:rPr>
              <w:t>）</w:t>
            </w:r>
            <w:r>
              <w:rPr>
                <w:rFonts w:hint="eastAsia" w:ascii="宋体" w:hAnsi="宋体" w:eastAsia="宋体" w:cs="宋体"/>
                <w:color w:val="auto"/>
                <w:highlight w:val="none"/>
              </w:rPr>
              <w:t>“政府采购严重违法失信行为信息记录”中的禁止参加</w:t>
            </w:r>
            <w:r>
              <w:rPr>
                <w:rFonts w:hint="eastAsia" w:ascii="宋体" w:hAnsi="宋体" w:cs="宋体"/>
                <w:color w:val="auto"/>
                <w:highlight w:val="none"/>
                <w:lang w:eastAsia="zh-CN"/>
              </w:rPr>
              <w:t>政府采购活动期间【</w:t>
            </w:r>
            <w:r>
              <w:rPr>
                <w:rFonts w:hint="eastAsia" w:ascii="宋体" w:hAnsi="宋体" w:eastAsia="宋体" w:cs="宋体"/>
                <w:color w:val="auto"/>
                <w:highlight w:val="none"/>
              </w:rPr>
              <w:t>以采购代理机构于投标截止日当天在“信用中国”网站（www.creditchina.gov.cn）及中国政府采购网</w:t>
            </w:r>
            <w:r>
              <w:rPr>
                <w:rFonts w:hint="eastAsia" w:ascii="宋体" w:hAnsi="宋体" w:cs="宋体"/>
                <w:color w:val="auto"/>
                <w:highlight w:val="none"/>
                <w:lang w:eastAsia="zh-CN"/>
              </w:rPr>
              <w:t>（</w:t>
            </w:r>
            <w:r>
              <w:rPr>
                <w:rFonts w:hint="eastAsia" w:ascii="宋体" w:hAnsi="宋体" w:eastAsia="宋体" w:cs="宋体"/>
                <w:color w:val="auto"/>
                <w:highlight w:val="none"/>
              </w:rPr>
              <w:t>www.ccgp.gov.cn</w:t>
            </w:r>
            <w:r>
              <w:rPr>
                <w:rFonts w:hint="eastAsia" w:ascii="宋体" w:hAnsi="宋体" w:cs="宋体"/>
                <w:color w:val="auto"/>
                <w:highlight w:val="none"/>
                <w:lang w:eastAsia="zh-CN"/>
              </w:rPr>
              <w:t>）</w:t>
            </w:r>
            <w:r>
              <w:rPr>
                <w:rFonts w:hint="eastAsia" w:ascii="宋体" w:hAnsi="宋体" w:eastAsia="宋体" w:cs="宋体"/>
                <w:color w:val="auto"/>
                <w:highlight w:val="none"/>
              </w:rPr>
              <w:t>查询结果为准，如相关失信记录已失效，供应商需提供相关证明资料】。</w:t>
            </w:r>
          </w:p>
        </w:tc>
      </w:tr>
      <w:tr w14:paraId="56465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8" w:hRule="atLeast"/>
        </w:trPr>
        <w:tc>
          <w:tcPr>
            <w:tcW w:w="1110" w:type="dxa"/>
            <w:vMerge w:val="continue"/>
            <w:noWrap w:val="0"/>
            <w:vAlign w:val="center"/>
          </w:tcPr>
          <w:p w14:paraId="75CD5518">
            <w:pPr>
              <w:jc w:val="center"/>
              <w:rPr>
                <w:rFonts w:ascii="宋体" w:cs="宋体"/>
                <w:color w:val="auto"/>
              </w:rPr>
            </w:pPr>
          </w:p>
        </w:tc>
        <w:tc>
          <w:tcPr>
            <w:tcW w:w="1247" w:type="dxa"/>
            <w:vMerge w:val="continue"/>
            <w:tcBorders>
              <w:right w:val="single" w:color="auto" w:sz="4" w:space="0"/>
            </w:tcBorders>
            <w:noWrap w:val="0"/>
            <w:vAlign w:val="center"/>
          </w:tcPr>
          <w:p w14:paraId="552AFC36">
            <w:pPr>
              <w:jc w:val="center"/>
              <w:rPr>
                <w:rFonts w:ascii="宋体" w:hAnsi="宋体" w:cs="宋体"/>
                <w:color w:val="auto"/>
              </w:rPr>
            </w:pPr>
          </w:p>
        </w:tc>
        <w:tc>
          <w:tcPr>
            <w:tcW w:w="6838" w:type="dxa"/>
            <w:tcBorders>
              <w:left w:val="single" w:color="auto" w:sz="4" w:space="0"/>
            </w:tcBorders>
            <w:noWrap w:val="0"/>
            <w:vAlign w:val="center"/>
          </w:tcPr>
          <w:p w14:paraId="781BAE8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为采购项目提供整体设计、规范编制或者项目管理、监理、检测等服务的供应商，不得再参加该采购项目的其他采购活动（提供《投标人资格声明函》）。</w:t>
            </w:r>
          </w:p>
        </w:tc>
      </w:tr>
      <w:tr w14:paraId="660A7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1110" w:type="dxa"/>
            <w:vMerge w:val="continue"/>
            <w:noWrap w:val="0"/>
            <w:vAlign w:val="center"/>
          </w:tcPr>
          <w:p w14:paraId="76F02E2A">
            <w:pPr>
              <w:jc w:val="center"/>
              <w:rPr>
                <w:rFonts w:ascii="宋体" w:cs="宋体"/>
                <w:color w:val="auto"/>
              </w:rPr>
            </w:pPr>
          </w:p>
        </w:tc>
        <w:tc>
          <w:tcPr>
            <w:tcW w:w="1247" w:type="dxa"/>
            <w:vMerge w:val="continue"/>
            <w:tcBorders>
              <w:right w:val="single" w:color="auto" w:sz="4" w:space="0"/>
            </w:tcBorders>
            <w:noWrap w:val="0"/>
            <w:vAlign w:val="center"/>
          </w:tcPr>
          <w:p w14:paraId="1393A673">
            <w:pPr>
              <w:jc w:val="center"/>
              <w:rPr>
                <w:rFonts w:ascii="宋体" w:hAnsi="宋体" w:cs="宋体"/>
                <w:color w:val="auto"/>
              </w:rPr>
            </w:pPr>
          </w:p>
        </w:tc>
        <w:tc>
          <w:tcPr>
            <w:tcW w:w="6838" w:type="dxa"/>
            <w:tcBorders>
              <w:left w:val="single" w:color="auto" w:sz="4" w:space="0"/>
            </w:tcBorders>
            <w:noWrap w:val="0"/>
            <w:vAlign w:val="center"/>
          </w:tcPr>
          <w:p w14:paraId="377C6B6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单位负责人为同一人或者存在直接控股、管理关系的不同供应商，不得参加同一合同项下的政府采购活动（提供《投标人资格声明函》）。</w:t>
            </w:r>
          </w:p>
        </w:tc>
      </w:tr>
      <w:tr w14:paraId="1C96E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1110" w:type="dxa"/>
            <w:vMerge w:val="continue"/>
            <w:noWrap w:val="0"/>
            <w:vAlign w:val="center"/>
          </w:tcPr>
          <w:p w14:paraId="1908B6A6">
            <w:pPr>
              <w:jc w:val="center"/>
              <w:rPr>
                <w:rFonts w:ascii="宋体" w:cs="宋体"/>
                <w:color w:val="auto"/>
              </w:rPr>
            </w:pPr>
          </w:p>
        </w:tc>
        <w:tc>
          <w:tcPr>
            <w:tcW w:w="1247" w:type="dxa"/>
            <w:vMerge w:val="continue"/>
            <w:tcBorders>
              <w:right w:val="single" w:color="auto" w:sz="4" w:space="0"/>
            </w:tcBorders>
            <w:noWrap w:val="0"/>
            <w:vAlign w:val="center"/>
          </w:tcPr>
          <w:p w14:paraId="148DE820">
            <w:pPr>
              <w:jc w:val="center"/>
              <w:rPr>
                <w:rFonts w:ascii="宋体" w:hAnsi="宋体" w:cs="宋体"/>
                <w:color w:val="auto"/>
              </w:rPr>
            </w:pPr>
          </w:p>
        </w:tc>
        <w:tc>
          <w:tcPr>
            <w:tcW w:w="6838" w:type="dxa"/>
            <w:tcBorders>
              <w:left w:val="single" w:color="auto" w:sz="4" w:space="0"/>
            </w:tcBorders>
            <w:noWrap w:val="0"/>
            <w:vAlign w:val="center"/>
          </w:tcPr>
          <w:p w14:paraId="3178B906">
            <w:pPr>
              <w:jc w:val="left"/>
              <w:rPr>
                <w:rFonts w:hint="eastAsia" w:ascii="宋体" w:hAnsi="宋体" w:eastAsia="宋体" w:cs="宋体"/>
                <w:color w:val="auto"/>
              </w:rPr>
            </w:pPr>
            <w:r>
              <w:rPr>
                <w:rFonts w:hint="eastAsia" w:ascii="宋体" w:hAnsi="宋体" w:eastAsia="宋体" w:cs="宋体"/>
                <w:color w:val="auto"/>
              </w:rPr>
              <w:t>须具有公安机关颁发的有效的《保安服务许可证》</w:t>
            </w:r>
            <w:r>
              <w:rPr>
                <w:rFonts w:hint="eastAsia" w:ascii="宋体" w:hAnsi="宋体" w:cs="宋体"/>
                <w:color w:val="auto"/>
                <w:lang w:eastAsia="zh-CN"/>
              </w:rPr>
              <w:t>。</w:t>
            </w:r>
            <w:r>
              <w:rPr>
                <w:rFonts w:hint="eastAsia" w:ascii="宋体" w:hAnsi="宋体" w:eastAsia="宋体" w:cs="宋体"/>
                <w:color w:val="auto"/>
              </w:rPr>
              <w:t>若供应商为佛山市外的单位，参与本项目还须承诺：如在本项目中标，在开始提供保安服务之前取得服务所在地设区的市级（或以上）公安机关的备案回执【须提供有效的《保安服务许可证》证书复印件和针对本条款内容的承诺函（格式自拟）】。</w:t>
            </w:r>
          </w:p>
        </w:tc>
      </w:tr>
      <w:tr w14:paraId="02F10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1110" w:type="dxa"/>
            <w:vMerge w:val="continue"/>
            <w:noWrap w:val="0"/>
            <w:vAlign w:val="center"/>
          </w:tcPr>
          <w:p w14:paraId="7125A5A8">
            <w:pPr>
              <w:jc w:val="center"/>
              <w:rPr>
                <w:rFonts w:ascii="宋体" w:cs="宋体"/>
                <w:color w:val="auto"/>
              </w:rPr>
            </w:pPr>
          </w:p>
        </w:tc>
        <w:tc>
          <w:tcPr>
            <w:tcW w:w="1247" w:type="dxa"/>
            <w:vMerge w:val="continue"/>
            <w:tcBorders>
              <w:right w:val="single" w:color="auto" w:sz="4" w:space="0"/>
            </w:tcBorders>
            <w:noWrap w:val="0"/>
            <w:vAlign w:val="center"/>
          </w:tcPr>
          <w:p w14:paraId="599DFB45">
            <w:pPr>
              <w:jc w:val="center"/>
              <w:rPr>
                <w:rFonts w:ascii="宋体" w:hAnsi="宋体" w:cs="宋体"/>
                <w:color w:val="auto"/>
              </w:rPr>
            </w:pPr>
          </w:p>
        </w:tc>
        <w:tc>
          <w:tcPr>
            <w:tcW w:w="6838" w:type="dxa"/>
            <w:tcBorders>
              <w:left w:val="single" w:color="auto" w:sz="4" w:space="0"/>
            </w:tcBorders>
            <w:noWrap w:val="0"/>
            <w:vAlign w:val="center"/>
          </w:tcPr>
          <w:p w14:paraId="22CFD688">
            <w:pPr>
              <w:jc w:val="left"/>
              <w:rPr>
                <w:rFonts w:hint="eastAsia" w:ascii="宋体" w:hAnsi="宋体" w:eastAsia="宋体" w:cs="宋体"/>
                <w:color w:val="auto"/>
              </w:rPr>
            </w:pPr>
            <w:r>
              <w:rPr>
                <w:rFonts w:hint="eastAsia" w:ascii="宋体" w:hAnsi="宋体" w:eastAsia="宋体" w:cs="宋体"/>
                <w:color w:val="auto"/>
              </w:rPr>
              <w:t>本项目不接受联合体投标。</w:t>
            </w:r>
          </w:p>
        </w:tc>
      </w:tr>
      <w:tr w14:paraId="38AE5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1110" w:type="dxa"/>
            <w:vMerge w:val="continue"/>
            <w:noWrap w:val="0"/>
            <w:vAlign w:val="center"/>
          </w:tcPr>
          <w:p w14:paraId="7C7EA6B5">
            <w:pPr>
              <w:jc w:val="center"/>
              <w:rPr>
                <w:rFonts w:ascii="宋体" w:cs="宋体"/>
                <w:color w:val="auto"/>
              </w:rPr>
            </w:pPr>
          </w:p>
        </w:tc>
        <w:tc>
          <w:tcPr>
            <w:tcW w:w="1247" w:type="dxa"/>
            <w:vMerge w:val="continue"/>
            <w:tcBorders>
              <w:right w:val="single" w:color="auto" w:sz="4" w:space="0"/>
            </w:tcBorders>
            <w:noWrap w:val="0"/>
            <w:vAlign w:val="center"/>
          </w:tcPr>
          <w:p w14:paraId="66CA761A">
            <w:pPr>
              <w:jc w:val="center"/>
              <w:rPr>
                <w:rFonts w:ascii="宋体" w:hAnsi="宋体" w:cs="宋体"/>
                <w:color w:val="auto"/>
              </w:rPr>
            </w:pPr>
          </w:p>
        </w:tc>
        <w:tc>
          <w:tcPr>
            <w:tcW w:w="6838" w:type="dxa"/>
            <w:tcBorders>
              <w:left w:val="single" w:color="auto" w:sz="4" w:space="0"/>
            </w:tcBorders>
            <w:noWrap w:val="0"/>
            <w:vAlign w:val="center"/>
          </w:tcPr>
          <w:p w14:paraId="3FB17A78">
            <w:pPr>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按照投标邀请函规定的时间地点和要求登记并获取招标文件。</w:t>
            </w:r>
          </w:p>
        </w:tc>
      </w:tr>
      <w:tr w14:paraId="37CBF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9195" w:type="dxa"/>
            <w:gridSpan w:val="3"/>
            <w:noWrap w:val="0"/>
            <w:vAlign w:val="center"/>
          </w:tcPr>
          <w:p w14:paraId="2FF6CFD0">
            <w:pPr>
              <w:jc w:val="center"/>
              <w:rPr>
                <w:rFonts w:hint="eastAsia" w:ascii="宋体" w:hAnsi="宋体" w:cs="宋体"/>
                <w:color w:val="auto"/>
                <w:highlight w:val="none"/>
              </w:rPr>
            </w:pPr>
            <w:r>
              <w:rPr>
                <w:rFonts w:hint="eastAsia" w:ascii="宋体" w:hAnsi="宋体" w:cs="宋体"/>
                <w:color w:val="auto"/>
                <w:highlight w:val="none"/>
              </w:rPr>
              <w:t>不能通过资格性审查的供应商，不需进行以下内容的审查。</w:t>
            </w:r>
          </w:p>
        </w:tc>
      </w:tr>
      <w:tr w14:paraId="6DAA5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1110" w:type="dxa"/>
            <w:vMerge w:val="restart"/>
            <w:noWrap w:val="0"/>
            <w:vAlign w:val="center"/>
          </w:tcPr>
          <w:p w14:paraId="02D6DBF7">
            <w:pPr>
              <w:jc w:val="center"/>
              <w:rPr>
                <w:rFonts w:hint="eastAsia" w:ascii="宋体" w:hAnsi="宋体" w:cs="宋体"/>
                <w:color w:val="auto"/>
                <w:highlight w:val="none"/>
              </w:rPr>
            </w:pPr>
            <w:r>
              <w:rPr>
                <w:rFonts w:hint="eastAsia" w:ascii="宋体" w:hAnsi="宋体" w:cs="宋体"/>
                <w:color w:val="auto"/>
                <w:highlight w:val="none"/>
              </w:rPr>
              <w:t>符合性</w:t>
            </w:r>
          </w:p>
          <w:p w14:paraId="0AB1EC2C">
            <w:pPr>
              <w:jc w:val="center"/>
              <w:rPr>
                <w:rFonts w:hint="eastAsia" w:ascii="宋体" w:hAnsi="宋体" w:cs="宋体"/>
                <w:color w:val="auto"/>
                <w:highlight w:val="none"/>
              </w:rPr>
            </w:pPr>
            <w:r>
              <w:rPr>
                <w:rFonts w:hint="eastAsia" w:ascii="宋体" w:hAnsi="宋体" w:cs="宋体"/>
                <w:color w:val="auto"/>
                <w:highlight w:val="none"/>
              </w:rPr>
              <w:t>审查</w:t>
            </w:r>
          </w:p>
        </w:tc>
        <w:tc>
          <w:tcPr>
            <w:tcW w:w="8085" w:type="dxa"/>
            <w:gridSpan w:val="2"/>
            <w:noWrap w:val="0"/>
            <w:vAlign w:val="center"/>
          </w:tcPr>
          <w:p w14:paraId="23540FFE">
            <w:pPr>
              <w:tabs>
                <w:tab w:val="left" w:pos="612"/>
              </w:tabs>
              <w:rPr>
                <w:rFonts w:ascii="宋体" w:hAnsi="宋体" w:cs="宋体"/>
                <w:color w:val="auto"/>
                <w:highlight w:val="none"/>
              </w:rPr>
            </w:pPr>
            <w:r>
              <w:rPr>
                <w:rFonts w:hint="eastAsia" w:ascii="宋体" w:hAnsi="宋体" w:cs="宋体"/>
                <w:color w:val="auto"/>
                <w:highlight w:val="none"/>
              </w:rPr>
              <w:t>按照招标文件规定要求签署、盖章且投标文件有法定代表人签字</w:t>
            </w:r>
            <w:r>
              <w:rPr>
                <w:rFonts w:hint="eastAsia" w:ascii="宋体" w:hAnsi="宋体" w:cs="宋体"/>
                <w:color w:val="auto"/>
                <w:highlight w:val="none"/>
                <w:lang w:val="en-US" w:eastAsia="zh-CN"/>
              </w:rPr>
              <w:t>或盖章</w:t>
            </w:r>
            <w:r>
              <w:rPr>
                <w:rFonts w:hint="eastAsia" w:ascii="宋体" w:hAnsi="宋体" w:cs="宋体"/>
                <w:color w:val="auto"/>
                <w:highlight w:val="none"/>
              </w:rPr>
              <w:t>，或签字人有法定代表人有效授权书的；</w:t>
            </w:r>
          </w:p>
        </w:tc>
      </w:tr>
      <w:tr w14:paraId="6D42C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1110" w:type="dxa"/>
            <w:vMerge w:val="continue"/>
            <w:noWrap w:val="0"/>
            <w:vAlign w:val="center"/>
          </w:tcPr>
          <w:p w14:paraId="17BE914A">
            <w:pPr>
              <w:jc w:val="center"/>
              <w:rPr>
                <w:rFonts w:hint="eastAsia" w:ascii="宋体" w:hAnsi="宋体" w:cs="宋体"/>
                <w:color w:val="auto"/>
                <w:highlight w:val="none"/>
              </w:rPr>
            </w:pPr>
          </w:p>
        </w:tc>
        <w:tc>
          <w:tcPr>
            <w:tcW w:w="8085" w:type="dxa"/>
            <w:gridSpan w:val="2"/>
            <w:noWrap w:val="0"/>
            <w:vAlign w:val="center"/>
          </w:tcPr>
          <w:p w14:paraId="576E4674">
            <w:pPr>
              <w:jc w:val="left"/>
              <w:rPr>
                <w:rFonts w:hint="eastAsia" w:ascii="宋体" w:hAnsi="宋体" w:cs="宋体"/>
                <w:color w:val="auto"/>
                <w:highlight w:val="none"/>
              </w:rPr>
            </w:pPr>
            <w:r>
              <w:rPr>
                <w:rFonts w:hint="eastAsia" w:ascii="宋体" w:hAnsi="宋体" w:cs="宋体"/>
                <w:color w:val="auto"/>
                <w:highlight w:val="none"/>
              </w:rPr>
              <w:t>投标函已提交并符合招标文件要求的；</w:t>
            </w:r>
          </w:p>
        </w:tc>
      </w:tr>
      <w:tr w14:paraId="3B869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1110" w:type="dxa"/>
            <w:vMerge w:val="continue"/>
            <w:noWrap w:val="0"/>
            <w:vAlign w:val="center"/>
          </w:tcPr>
          <w:p w14:paraId="1B9376F3">
            <w:pPr>
              <w:jc w:val="center"/>
              <w:rPr>
                <w:rFonts w:hint="eastAsia" w:ascii="宋体" w:hAnsi="宋体" w:cs="宋体"/>
                <w:color w:val="auto"/>
                <w:highlight w:val="none"/>
              </w:rPr>
            </w:pPr>
          </w:p>
        </w:tc>
        <w:tc>
          <w:tcPr>
            <w:tcW w:w="8085" w:type="dxa"/>
            <w:gridSpan w:val="2"/>
            <w:noWrap w:val="0"/>
            <w:vAlign w:val="center"/>
          </w:tcPr>
          <w:p w14:paraId="177BEAB3">
            <w:pPr>
              <w:tabs>
                <w:tab w:val="left" w:pos="612"/>
              </w:tabs>
              <w:rPr>
                <w:rFonts w:ascii="宋体" w:hAnsi="宋体" w:cs="宋体"/>
                <w:color w:val="auto"/>
                <w:highlight w:val="none"/>
              </w:rPr>
            </w:pPr>
            <w:r>
              <w:rPr>
                <w:rFonts w:hint="eastAsia" w:ascii="宋体" w:hAnsi="宋体" w:cs="宋体"/>
                <w:color w:val="auto"/>
                <w:highlight w:val="none"/>
              </w:rPr>
              <w:t>投标报价未超过本项目最高限价的</w:t>
            </w:r>
            <w:r>
              <w:rPr>
                <w:rFonts w:hint="eastAsia" w:ascii="宋体" w:hAnsi="宋体" w:cs="宋体"/>
                <w:color w:val="auto"/>
                <w:highlight w:val="none"/>
                <w:lang w:eastAsia="zh-CN"/>
              </w:rPr>
              <w:t>。</w:t>
            </w:r>
            <w:r>
              <w:rPr>
                <w:rFonts w:hint="eastAsia" w:ascii="宋体" w:hAnsi="宋体"/>
                <w:bCs/>
                <w:color w:val="auto"/>
                <w:highlight w:val="none"/>
              </w:rPr>
              <w:t>评标委员会认为投标人的报价明显低于其他通过符合性审查投标人的报价，有可能影响产品质量或者不能诚信履约的，要求其在评标现场规定的时间内提供书面说明，必要时提交相关证明材料；</w:t>
            </w:r>
          </w:p>
        </w:tc>
      </w:tr>
      <w:tr w14:paraId="003E7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9" w:hRule="atLeast"/>
        </w:trPr>
        <w:tc>
          <w:tcPr>
            <w:tcW w:w="1110" w:type="dxa"/>
            <w:vMerge w:val="continue"/>
            <w:noWrap w:val="0"/>
            <w:vAlign w:val="center"/>
          </w:tcPr>
          <w:p w14:paraId="71CBF7A6">
            <w:pPr>
              <w:jc w:val="center"/>
              <w:rPr>
                <w:rFonts w:hint="eastAsia" w:ascii="宋体" w:hAnsi="宋体" w:cs="宋体"/>
                <w:color w:val="auto"/>
                <w:highlight w:val="none"/>
              </w:rPr>
            </w:pPr>
          </w:p>
        </w:tc>
        <w:tc>
          <w:tcPr>
            <w:tcW w:w="8085" w:type="dxa"/>
            <w:gridSpan w:val="2"/>
            <w:noWrap w:val="0"/>
            <w:vAlign w:val="center"/>
          </w:tcPr>
          <w:p w14:paraId="2E6D29F9">
            <w:pPr>
              <w:adjustRightInd w:val="0"/>
              <w:snapToGrid w:val="0"/>
              <w:rPr>
                <w:rFonts w:hint="eastAsia" w:ascii="宋体" w:hAnsi="宋体" w:cs="宋体"/>
                <w:color w:val="auto"/>
                <w:highlight w:val="none"/>
              </w:rPr>
            </w:pPr>
            <w:r>
              <w:rPr>
                <w:rFonts w:hint="eastAsia" w:ascii="宋体" w:hAnsi="宋体" w:cs="宋体"/>
                <w:color w:val="auto"/>
              </w:rPr>
              <w:t>投标文件完全满足招标文件的实质性条款【即标注★号条款（如有）及商务要求】无负偏离的</w:t>
            </w:r>
            <w:r>
              <w:rPr>
                <w:rFonts w:hint="eastAsia" w:ascii="宋体" w:hAnsi="宋体" w:cs="Courier New"/>
                <w:color w:val="auto"/>
                <w:szCs w:val="21"/>
                <w:highlight w:val="none"/>
              </w:rPr>
              <w:t>；</w:t>
            </w:r>
          </w:p>
        </w:tc>
      </w:tr>
      <w:tr w14:paraId="68024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1110" w:type="dxa"/>
            <w:vMerge w:val="continue"/>
            <w:noWrap w:val="0"/>
            <w:vAlign w:val="center"/>
          </w:tcPr>
          <w:p w14:paraId="212658C2">
            <w:pPr>
              <w:jc w:val="center"/>
              <w:rPr>
                <w:rFonts w:hint="eastAsia" w:ascii="宋体" w:hAnsi="宋体" w:cs="宋体"/>
                <w:color w:val="auto"/>
                <w:highlight w:val="none"/>
              </w:rPr>
            </w:pPr>
          </w:p>
        </w:tc>
        <w:tc>
          <w:tcPr>
            <w:tcW w:w="8085" w:type="dxa"/>
            <w:gridSpan w:val="2"/>
            <w:noWrap w:val="0"/>
            <w:vAlign w:val="center"/>
          </w:tcPr>
          <w:p w14:paraId="6CF86951">
            <w:pPr>
              <w:rPr>
                <w:rFonts w:hint="eastAsia" w:ascii="宋体" w:hAnsi="宋体" w:cs="宋体"/>
                <w:color w:val="auto"/>
                <w:highlight w:val="none"/>
              </w:rPr>
            </w:pPr>
            <w:r>
              <w:rPr>
                <w:rFonts w:hint="eastAsia" w:ascii="宋体" w:hAnsi="宋体" w:cs="宋体"/>
                <w:color w:val="auto"/>
                <w:highlight w:val="none"/>
              </w:rPr>
              <w:t>投标文件未含有</w:t>
            </w:r>
            <w:r>
              <w:rPr>
                <w:rFonts w:hint="eastAsia" w:ascii="宋体" w:hAnsi="宋体" w:cs="宋体"/>
                <w:color w:val="auto"/>
                <w:highlight w:val="none"/>
                <w:lang w:eastAsia="zh-CN"/>
              </w:rPr>
              <w:t>招标人</w:t>
            </w:r>
            <w:r>
              <w:rPr>
                <w:rFonts w:hint="eastAsia" w:ascii="宋体" w:hAnsi="宋体" w:cs="宋体"/>
                <w:color w:val="auto"/>
                <w:highlight w:val="none"/>
              </w:rPr>
              <w:t>不能接受的附加条件的；</w:t>
            </w:r>
          </w:p>
        </w:tc>
      </w:tr>
      <w:tr w14:paraId="0354E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1110" w:type="dxa"/>
            <w:vMerge w:val="continue"/>
            <w:noWrap w:val="0"/>
            <w:vAlign w:val="center"/>
          </w:tcPr>
          <w:p w14:paraId="01BFB387">
            <w:pPr>
              <w:jc w:val="center"/>
              <w:rPr>
                <w:rFonts w:hint="eastAsia" w:ascii="宋体" w:hAnsi="宋体" w:cs="宋体"/>
                <w:color w:val="auto"/>
                <w:highlight w:val="none"/>
              </w:rPr>
            </w:pPr>
          </w:p>
        </w:tc>
        <w:tc>
          <w:tcPr>
            <w:tcW w:w="8085" w:type="dxa"/>
            <w:gridSpan w:val="2"/>
            <w:noWrap w:val="0"/>
            <w:vAlign w:val="center"/>
          </w:tcPr>
          <w:p w14:paraId="41CB39F0">
            <w:pPr>
              <w:rPr>
                <w:rFonts w:ascii="宋体" w:hAnsi="宋体" w:cs="宋体"/>
                <w:color w:val="auto"/>
                <w:highlight w:val="none"/>
              </w:rPr>
            </w:pPr>
            <w:r>
              <w:rPr>
                <w:rFonts w:hint="eastAsia" w:ascii="宋体" w:hAnsi="宋体" w:cs="宋体"/>
                <w:color w:val="auto"/>
                <w:highlight w:val="none"/>
              </w:rPr>
              <w:t>投标文件没有招标文件中规定的被视为无效投标的其它条款的；</w:t>
            </w:r>
          </w:p>
        </w:tc>
      </w:tr>
      <w:tr w14:paraId="5BCD5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1110" w:type="dxa"/>
            <w:vMerge w:val="continue"/>
            <w:noWrap w:val="0"/>
            <w:vAlign w:val="center"/>
          </w:tcPr>
          <w:p w14:paraId="75F521F5">
            <w:pPr>
              <w:jc w:val="center"/>
              <w:rPr>
                <w:rFonts w:hint="eastAsia" w:ascii="宋体" w:hAnsi="宋体" w:cs="宋体"/>
                <w:color w:val="auto"/>
                <w:highlight w:val="none"/>
              </w:rPr>
            </w:pPr>
          </w:p>
        </w:tc>
        <w:tc>
          <w:tcPr>
            <w:tcW w:w="8085" w:type="dxa"/>
            <w:gridSpan w:val="2"/>
            <w:noWrap w:val="0"/>
            <w:vAlign w:val="center"/>
          </w:tcPr>
          <w:p w14:paraId="4404CE1E">
            <w:pPr>
              <w:rPr>
                <w:rFonts w:hint="eastAsia" w:ascii="宋体" w:hAnsi="宋体" w:cs="宋体"/>
                <w:color w:val="auto"/>
                <w:highlight w:val="none"/>
              </w:rPr>
            </w:pPr>
            <w:r>
              <w:rPr>
                <w:rFonts w:hint="eastAsia" w:ascii="宋体" w:hAnsi="宋体" w:cs="宋体"/>
                <w:color w:val="auto"/>
                <w:highlight w:val="none"/>
              </w:rPr>
              <w:t>没有违反有关法律、法规、规章要求，被视为投标无效的其他情况。</w:t>
            </w:r>
          </w:p>
        </w:tc>
      </w:tr>
    </w:tbl>
    <w:p w14:paraId="04AD615E">
      <w:pPr>
        <w:spacing w:line="400" w:lineRule="exact"/>
        <w:rPr>
          <w:color w:val="auto"/>
          <w:highlight w:val="none"/>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olor w:val="auto"/>
          <w:szCs w:val="21"/>
          <w:highlight w:val="none"/>
        </w:rPr>
        <w:t>说明：</w:t>
      </w:r>
      <w:r>
        <w:rPr>
          <w:rFonts w:hint="eastAsia" w:ascii="宋体" w:hAnsi="宋体" w:eastAsia="宋体"/>
          <w:color w:val="auto"/>
          <w:highlight w:val="none"/>
        </w:rPr>
        <w:t>投标人必须严格按照</w:t>
      </w:r>
      <w:r>
        <w:rPr>
          <w:rFonts w:hint="eastAsia" w:ascii="宋体" w:hAnsi="宋体" w:eastAsia="宋体"/>
          <w:color w:val="auto"/>
          <w:highlight w:val="none"/>
          <w:lang w:val="en-US" w:eastAsia="zh-CN"/>
        </w:rPr>
        <w:t>资格性、</w:t>
      </w:r>
      <w:r>
        <w:rPr>
          <w:rFonts w:hint="eastAsia" w:ascii="宋体" w:hAnsi="宋体" w:eastAsia="宋体"/>
          <w:color w:val="auto"/>
          <w:highlight w:val="none"/>
        </w:rPr>
        <w:t>符合性审查</w:t>
      </w:r>
      <w:r>
        <w:rPr>
          <w:rFonts w:hint="eastAsia" w:ascii="宋体" w:hAnsi="宋体" w:eastAsia="宋体"/>
          <w:color w:val="auto"/>
          <w:highlight w:val="none"/>
          <w:lang w:val="en-US" w:eastAsia="zh-CN"/>
        </w:rPr>
        <w:t>条款</w:t>
      </w:r>
      <w:r>
        <w:rPr>
          <w:rFonts w:hint="eastAsia" w:ascii="宋体" w:hAnsi="宋体" w:eastAsia="宋体"/>
          <w:color w:val="auto"/>
          <w:highlight w:val="none"/>
        </w:rPr>
        <w:t>的评审内容的要求如实提供证明材料</w:t>
      </w:r>
      <w:r>
        <w:rPr>
          <w:rFonts w:hint="eastAsia" w:ascii="宋体" w:hAnsi="宋体" w:eastAsia="宋体"/>
          <w:bCs/>
          <w:color w:val="auto"/>
          <w:highlight w:val="none"/>
        </w:rPr>
        <w:t>并应加盖投标人公章,</w:t>
      </w:r>
      <w:r>
        <w:rPr>
          <w:rFonts w:hint="eastAsia" w:ascii="宋体" w:hAnsi="宋体" w:eastAsia="宋体"/>
          <w:color w:val="auto"/>
          <w:highlight w:val="none"/>
        </w:rPr>
        <w:t>对缺漏或不符合项将直接导致无效投标</w:t>
      </w:r>
      <w:r>
        <w:rPr>
          <w:rFonts w:hint="eastAsia" w:ascii="宋体" w:hAnsi="宋体" w:eastAsia="宋体" w:cs="宋体"/>
          <w:color w:val="auto"/>
          <w:szCs w:val="21"/>
          <w:highlight w:val="none"/>
        </w:rPr>
        <w:t>。</w:t>
      </w:r>
    </w:p>
    <w:p w14:paraId="246E8CC0">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黑体" w:hAnsi="宋体" w:eastAsia="黑体" w:cs="宋体"/>
          <w:color w:val="auto"/>
          <w:sz w:val="28"/>
          <w:szCs w:val="28"/>
        </w:rPr>
      </w:pPr>
      <w:r>
        <w:rPr>
          <w:rFonts w:hint="eastAsia" w:ascii="黑体" w:hAnsi="宋体" w:eastAsia="黑体" w:cs="宋体"/>
          <w:color w:val="auto"/>
          <w:sz w:val="28"/>
          <w:szCs w:val="28"/>
        </w:rPr>
        <w:t>技术部分评分表</w:t>
      </w:r>
    </w:p>
    <w:p w14:paraId="738A37B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黑体" w:hAnsi="宋体" w:eastAsia="黑体" w:cs="宋体"/>
          <w:color w:val="auto"/>
          <w:sz w:val="28"/>
          <w:szCs w:val="28"/>
        </w:rPr>
      </w:pPr>
      <w:r>
        <w:rPr>
          <w:rFonts w:hint="eastAsia" w:ascii="黑体" w:hAnsi="宋体" w:eastAsia="黑体" w:cs="宋体"/>
          <w:color w:val="auto"/>
          <w:sz w:val="28"/>
          <w:szCs w:val="28"/>
        </w:rPr>
        <w:t>（</w:t>
      </w:r>
      <w:r>
        <w:rPr>
          <w:rFonts w:hint="eastAsia" w:ascii="黑体" w:hAnsi="宋体" w:eastAsia="黑体" w:cs="宋体"/>
          <w:color w:val="auto"/>
          <w:sz w:val="28"/>
          <w:szCs w:val="28"/>
          <w:lang w:val="en-US" w:eastAsia="zh-CN"/>
        </w:rPr>
        <w:t>40</w:t>
      </w:r>
      <w:r>
        <w:rPr>
          <w:rFonts w:hint="eastAsia" w:ascii="黑体" w:hAnsi="宋体" w:eastAsia="黑体" w:cs="宋体"/>
          <w:color w:val="auto"/>
          <w:sz w:val="28"/>
          <w:szCs w:val="28"/>
        </w:rPr>
        <w:t>分）</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253"/>
        <w:gridCol w:w="849"/>
        <w:gridCol w:w="6609"/>
      </w:tblGrid>
      <w:tr w14:paraId="0862C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exact"/>
          <w:jc w:val="center"/>
        </w:trPr>
        <w:tc>
          <w:tcPr>
            <w:tcW w:w="367" w:type="pct"/>
            <w:noWrap w:val="0"/>
            <w:vAlign w:val="center"/>
          </w:tcPr>
          <w:p w14:paraId="5367B54F">
            <w:pPr>
              <w:keepNext w:val="0"/>
              <w:keepLines w:val="0"/>
              <w:pageBreakBefore w:val="0"/>
              <w:kinsoku/>
              <w:overflowPunct/>
              <w:topLinePunct w:val="0"/>
              <w:autoSpaceDE/>
              <w:autoSpaceDN/>
              <w:bidi w:val="0"/>
              <w:adjustRightInd/>
              <w:snapToGrid/>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序号</w:t>
            </w:r>
          </w:p>
        </w:tc>
        <w:tc>
          <w:tcPr>
            <w:tcW w:w="671" w:type="pct"/>
            <w:noWrap w:val="0"/>
            <w:vAlign w:val="center"/>
          </w:tcPr>
          <w:p w14:paraId="499D315B">
            <w:pPr>
              <w:keepNext w:val="0"/>
              <w:keepLines w:val="0"/>
              <w:pageBreakBefore w:val="0"/>
              <w:kinsoku/>
              <w:overflowPunct/>
              <w:topLinePunct w:val="0"/>
              <w:autoSpaceDE/>
              <w:autoSpaceDN/>
              <w:bidi w:val="0"/>
              <w:adjustRightInd/>
              <w:snapToGrid/>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评分因素</w:t>
            </w:r>
          </w:p>
        </w:tc>
        <w:tc>
          <w:tcPr>
            <w:tcW w:w="439" w:type="pct"/>
            <w:noWrap w:val="0"/>
            <w:vAlign w:val="center"/>
          </w:tcPr>
          <w:p w14:paraId="3D80F206">
            <w:pPr>
              <w:keepNext w:val="0"/>
              <w:keepLines w:val="0"/>
              <w:pageBreakBefore w:val="0"/>
              <w:kinsoku/>
              <w:overflowPunct/>
              <w:topLinePunct w:val="0"/>
              <w:autoSpaceDE/>
              <w:autoSpaceDN/>
              <w:bidi w:val="0"/>
              <w:adjustRightInd/>
              <w:snapToGrid/>
              <w:jc w:val="center"/>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rPr>
              <w:t>分值</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分</w:t>
            </w:r>
            <w:r>
              <w:rPr>
                <w:rFonts w:hint="eastAsia" w:ascii="宋体" w:hAnsi="宋体" w:eastAsia="宋体" w:cs="宋体"/>
                <w:b/>
                <w:color w:val="auto"/>
                <w:sz w:val="21"/>
                <w:szCs w:val="21"/>
                <w:highlight w:val="none"/>
                <w:lang w:eastAsia="zh-CN"/>
              </w:rPr>
              <w:t>）</w:t>
            </w:r>
          </w:p>
        </w:tc>
        <w:tc>
          <w:tcPr>
            <w:tcW w:w="3521" w:type="pct"/>
            <w:noWrap w:val="0"/>
            <w:vAlign w:val="center"/>
          </w:tcPr>
          <w:p w14:paraId="16BFB299">
            <w:pPr>
              <w:keepNext w:val="0"/>
              <w:keepLines w:val="0"/>
              <w:pageBreakBefore w:val="0"/>
              <w:kinsoku/>
              <w:overflowPunct/>
              <w:topLinePunct w:val="0"/>
              <w:autoSpaceDE/>
              <w:autoSpaceDN/>
              <w:bidi w:val="0"/>
              <w:adjustRightInd/>
              <w:snapToGrid/>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评分细则</w:t>
            </w:r>
          </w:p>
        </w:tc>
      </w:tr>
      <w:tr w14:paraId="15326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67" w:type="pct"/>
            <w:noWrap w:val="0"/>
            <w:vAlign w:val="center"/>
          </w:tcPr>
          <w:p w14:paraId="192CFB4D">
            <w:pPr>
              <w:keepNext w:val="0"/>
              <w:keepLines w:val="0"/>
              <w:pageBreakBefore w:val="0"/>
              <w:widowControl/>
              <w:numPr>
                <w:ilvl w:val="0"/>
                <w:numId w:val="26"/>
              </w:numPr>
              <w:tabs>
                <w:tab w:val="left" w:pos="220"/>
              </w:tabs>
              <w:kinsoku/>
              <w:overflowPunct/>
              <w:topLinePunct w:val="0"/>
              <w:autoSpaceDE/>
              <w:autoSpaceDN/>
              <w:bidi w:val="0"/>
              <w:adjustRightInd/>
              <w:snapToGrid/>
              <w:ind w:left="425" w:leftChars="0" w:hanging="425" w:firstLineChars="0"/>
              <w:jc w:val="center"/>
              <w:textAlignment w:val="auto"/>
              <w:rPr>
                <w:rFonts w:hint="eastAsia" w:ascii="宋体" w:hAnsi="宋体" w:eastAsia="宋体" w:cs="宋体"/>
                <w:color w:val="auto"/>
                <w:sz w:val="21"/>
                <w:szCs w:val="21"/>
                <w:highlight w:val="none"/>
              </w:rPr>
            </w:pPr>
          </w:p>
        </w:tc>
        <w:tc>
          <w:tcPr>
            <w:tcW w:w="671" w:type="pct"/>
            <w:noWrap w:val="0"/>
            <w:vAlign w:val="center"/>
          </w:tcPr>
          <w:p w14:paraId="723FBD8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项目实施方案</w:t>
            </w:r>
          </w:p>
        </w:tc>
        <w:tc>
          <w:tcPr>
            <w:tcW w:w="439" w:type="pct"/>
            <w:noWrap w:val="0"/>
            <w:vAlign w:val="center"/>
          </w:tcPr>
          <w:p w14:paraId="5CCEADD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p>
        </w:tc>
        <w:tc>
          <w:tcPr>
            <w:tcW w:w="3521" w:type="pct"/>
            <w:noWrap w:val="0"/>
            <w:vAlign w:val="center"/>
          </w:tcPr>
          <w:p w14:paraId="2286795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各</w:t>
            </w:r>
            <w:r>
              <w:rPr>
                <w:rFonts w:hint="eastAsia" w:ascii="宋体" w:hAnsi="宋体" w:eastAsia="宋体" w:cs="宋体"/>
                <w:color w:val="auto"/>
                <w:sz w:val="21"/>
                <w:szCs w:val="21"/>
                <w:highlight w:val="none"/>
                <w:lang w:eastAsia="zh-CN"/>
              </w:rPr>
              <w:t>投标人提供的项目实施方案（包括但不限于项目实施方案、工作目标、工作标准与技术要求、质量保证措施等）进行</w:t>
            </w:r>
            <w:r>
              <w:rPr>
                <w:rFonts w:hint="eastAsia" w:ascii="宋体" w:hAnsi="宋体" w:eastAsia="宋体" w:cs="宋体"/>
                <w:color w:val="auto"/>
                <w:sz w:val="21"/>
                <w:szCs w:val="21"/>
                <w:highlight w:val="none"/>
              </w:rPr>
              <w:t>综合</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w:t>
            </w:r>
          </w:p>
          <w:p w14:paraId="36D8A8E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rPr>
              <w:t>方案内容齐全，</w:t>
            </w:r>
            <w:r>
              <w:rPr>
                <w:rFonts w:hint="eastAsia" w:ascii="宋体" w:hAnsi="宋体" w:eastAsia="宋体" w:cs="宋体"/>
                <w:color w:val="auto"/>
                <w:lang w:val="en-US" w:eastAsia="zh-CN"/>
              </w:rPr>
              <w:t>或方案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项目实施</w:t>
            </w:r>
            <w:r>
              <w:rPr>
                <w:rFonts w:hint="eastAsia" w:ascii="宋体" w:hAnsi="宋体" w:eastAsia="宋体" w:cs="宋体"/>
                <w:color w:val="auto"/>
                <w:sz w:val="21"/>
                <w:szCs w:val="21"/>
                <w:highlight w:val="none"/>
              </w:rPr>
              <w:t>、工作目标、工作标准与技术要求、质量保证措施</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有详尽描述，方案详细，准确，合理，实施操作性强，针对性高的，得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1B1D78C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rPr>
              <w:t>方案内容缺失不超过1项，或</w:t>
            </w:r>
            <w:r>
              <w:rPr>
                <w:rFonts w:hint="eastAsia" w:ascii="宋体" w:hAnsi="宋体" w:eastAsia="宋体" w:cs="宋体"/>
                <w:color w:val="auto"/>
                <w:lang w:val="en-US" w:eastAsia="zh-CN"/>
              </w:rPr>
              <w:t>方案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项目实施</w:t>
            </w:r>
            <w:r>
              <w:rPr>
                <w:rFonts w:hint="eastAsia" w:ascii="宋体" w:hAnsi="宋体" w:eastAsia="宋体" w:cs="宋体"/>
                <w:color w:val="auto"/>
                <w:sz w:val="21"/>
                <w:szCs w:val="21"/>
                <w:highlight w:val="none"/>
              </w:rPr>
              <w:t>、工作目标、工作标准与技术要求、质量保证措施</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描述，</w:t>
            </w:r>
            <w:r>
              <w:rPr>
                <w:rFonts w:hint="eastAsia" w:ascii="宋体" w:hAnsi="宋体" w:eastAsia="宋体" w:cs="宋体"/>
                <w:color w:val="auto"/>
                <w:sz w:val="21"/>
                <w:szCs w:val="21"/>
                <w:lang w:val="en-US" w:eastAsia="zh-CN"/>
              </w:rPr>
              <w:t>方案较详细，基本准确，相对合理，实施操作性基本可行，</w:t>
            </w:r>
            <w:r>
              <w:rPr>
                <w:rFonts w:hint="eastAsia" w:ascii="宋体" w:hAnsi="宋体" w:eastAsia="宋体" w:cs="宋体"/>
                <w:color w:val="auto"/>
                <w:sz w:val="21"/>
                <w:szCs w:val="21"/>
                <w:highlight w:val="none"/>
              </w:rPr>
              <w:t>针对性</w:t>
            </w:r>
            <w:r>
              <w:rPr>
                <w:rFonts w:hint="eastAsia" w:ascii="宋体" w:hAnsi="宋体" w:eastAsia="宋体" w:cs="宋体"/>
                <w:color w:val="auto"/>
                <w:sz w:val="21"/>
                <w:szCs w:val="21"/>
                <w:highlight w:val="none"/>
                <w:lang w:eastAsia="zh-CN"/>
              </w:rPr>
              <w:t>较高的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5C8E37D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rPr>
              <w:t>方案内容缺失超过1项，或</w:t>
            </w:r>
            <w:r>
              <w:rPr>
                <w:rFonts w:hint="eastAsia" w:ascii="宋体" w:hAnsi="宋体" w:eastAsia="宋体" w:cs="宋体"/>
                <w:color w:val="auto"/>
                <w:lang w:val="en-US" w:eastAsia="zh-CN"/>
              </w:rPr>
              <w:t>方案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项目实施</w:t>
            </w:r>
            <w:r>
              <w:rPr>
                <w:rFonts w:hint="eastAsia" w:ascii="宋体" w:hAnsi="宋体" w:eastAsia="宋体" w:cs="宋体"/>
                <w:color w:val="auto"/>
                <w:sz w:val="21"/>
                <w:szCs w:val="21"/>
                <w:highlight w:val="none"/>
              </w:rPr>
              <w:t>、工作目标、工作标准与技术要求、质量保证措施</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有简单描述，服务方案不够详细，实施操作性较弱，针对性</w:t>
            </w:r>
            <w:r>
              <w:rPr>
                <w:rFonts w:hint="eastAsia" w:ascii="宋体" w:hAnsi="宋体" w:eastAsia="宋体" w:cs="宋体"/>
                <w:color w:val="auto"/>
                <w:kern w:val="2"/>
                <w:sz w:val="21"/>
                <w:szCs w:val="21"/>
                <w:lang w:val="en-US" w:eastAsia="zh-CN" w:bidi="ar-SA"/>
              </w:rPr>
              <w:t>较低</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1873F4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4.不提供方案不得分。</w:t>
            </w:r>
          </w:p>
        </w:tc>
      </w:tr>
      <w:tr w14:paraId="2A9D5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67" w:type="pct"/>
            <w:noWrap w:val="0"/>
            <w:vAlign w:val="center"/>
          </w:tcPr>
          <w:p w14:paraId="3CA51C3D">
            <w:pPr>
              <w:keepNext w:val="0"/>
              <w:keepLines w:val="0"/>
              <w:pageBreakBefore w:val="0"/>
              <w:widowControl/>
              <w:numPr>
                <w:ilvl w:val="0"/>
                <w:numId w:val="26"/>
              </w:numPr>
              <w:tabs>
                <w:tab w:val="left" w:pos="210"/>
              </w:tabs>
              <w:kinsoku/>
              <w:overflowPunct/>
              <w:topLinePunct w:val="0"/>
              <w:autoSpaceDE/>
              <w:autoSpaceDN/>
              <w:bidi w:val="0"/>
              <w:adjustRightInd/>
              <w:snapToGrid/>
              <w:ind w:left="425" w:leftChars="0" w:hanging="425" w:firstLineChars="0"/>
              <w:jc w:val="center"/>
              <w:textAlignment w:val="auto"/>
              <w:rPr>
                <w:rFonts w:hint="eastAsia" w:ascii="宋体" w:hAnsi="宋体" w:eastAsia="宋体" w:cs="宋体"/>
                <w:color w:val="auto"/>
                <w:sz w:val="21"/>
                <w:szCs w:val="21"/>
                <w:highlight w:val="none"/>
              </w:rPr>
            </w:pPr>
          </w:p>
        </w:tc>
        <w:tc>
          <w:tcPr>
            <w:tcW w:w="671" w:type="pct"/>
            <w:noWrap w:val="0"/>
            <w:vAlign w:val="center"/>
          </w:tcPr>
          <w:p w14:paraId="39D6D69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专项服务队伍稳定性保障</w:t>
            </w:r>
            <w:r>
              <w:rPr>
                <w:rFonts w:hint="eastAsia" w:ascii="宋体" w:hAnsi="宋体" w:eastAsia="宋体" w:cs="宋体"/>
                <w:b w:val="0"/>
                <w:bCs/>
                <w:color w:val="auto"/>
                <w:sz w:val="21"/>
                <w:szCs w:val="21"/>
                <w:highlight w:val="none"/>
              </w:rPr>
              <w:t>措施</w:t>
            </w:r>
          </w:p>
        </w:tc>
        <w:tc>
          <w:tcPr>
            <w:tcW w:w="439" w:type="pct"/>
            <w:noWrap w:val="0"/>
            <w:vAlign w:val="center"/>
          </w:tcPr>
          <w:p w14:paraId="76E017D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6</w:t>
            </w:r>
          </w:p>
        </w:tc>
        <w:tc>
          <w:tcPr>
            <w:tcW w:w="3521" w:type="pct"/>
            <w:noWrap w:val="0"/>
            <w:vAlign w:val="center"/>
          </w:tcPr>
          <w:p w14:paraId="557FA7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根据</w:t>
            </w:r>
            <w:r>
              <w:rPr>
                <w:rFonts w:hint="eastAsia" w:ascii="宋体" w:hAnsi="宋体" w:eastAsia="宋体" w:cs="宋体"/>
                <w:b w:val="0"/>
                <w:bCs/>
                <w:color w:val="auto"/>
                <w:sz w:val="21"/>
                <w:szCs w:val="21"/>
                <w:highlight w:val="none"/>
                <w:lang w:val="en-US" w:eastAsia="zh-CN"/>
              </w:rPr>
              <w:t>各</w:t>
            </w:r>
            <w:r>
              <w:rPr>
                <w:rFonts w:hint="eastAsia" w:ascii="宋体" w:hAnsi="宋体" w:eastAsia="宋体" w:cs="宋体"/>
                <w:color w:val="auto"/>
                <w:sz w:val="21"/>
                <w:szCs w:val="21"/>
                <w:highlight w:val="none"/>
                <w:lang w:eastAsia="zh-CN"/>
              </w:rPr>
              <w:t>投标人</w:t>
            </w:r>
            <w:r>
              <w:rPr>
                <w:rFonts w:hint="eastAsia" w:ascii="宋体" w:hAnsi="宋体" w:eastAsia="宋体" w:cs="宋体"/>
                <w:b w:val="0"/>
                <w:bCs/>
                <w:color w:val="auto"/>
                <w:sz w:val="21"/>
                <w:szCs w:val="21"/>
                <w:highlight w:val="none"/>
              </w:rPr>
              <w:t>提供的</w:t>
            </w:r>
            <w:r>
              <w:rPr>
                <w:rFonts w:hint="eastAsia" w:ascii="宋体" w:hAnsi="宋体" w:eastAsia="宋体" w:cs="宋体"/>
                <w:b w:val="0"/>
                <w:bCs/>
                <w:color w:val="auto"/>
                <w:sz w:val="21"/>
                <w:szCs w:val="21"/>
                <w:highlight w:val="none"/>
                <w:lang w:eastAsia="zh-CN"/>
              </w:rPr>
              <w:t>专项服务队伍</w:t>
            </w:r>
            <w:r>
              <w:rPr>
                <w:rFonts w:hint="eastAsia" w:ascii="宋体" w:hAnsi="宋体" w:eastAsia="宋体" w:cs="宋体"/>
                <w:b w:val="0"/>
                <w:bCs/>
                <w:color w:val="auto"/>
                <w:sz w:val="21"/>
                <w:szCs w:val="21"/>
                <w:highlight w:val="none"/>
              </w:rPr>
              <w:t>稳定性保障措施</w:t>
            </w:r>
            <w:r>
              <w:rPr>
                <w:rFonts w:hint="eastAsia" w:ascii="宋体" w:hAnsi="宋体" w:cs="宋体"/>
                <w:b w:val="0"/>
                <w:bCs/>
                <w:color w:val="auto"/>
                <w:sz w:val="21"/>
                <w:szCs w:val="21"/>
                <w:highlight w:val="none"/>
                <w:lang w:eastAsia="zh-CN"/>
              </w:rPr>
              <w:t>（</w:t>
            </w:r>
            <w:r>
              <w:rPr>
                <w:rFonts w:hint="eastAsia" w:ascii="宋体" w:hAnsi="宋体" w:eastAsia="宋体" w:cs="宋体"/>
                <w:color w:val="auto"/>
                <w:sz w:val="21"/>
                <w:szCs w:val="21"/>
                <w:highlight w:val="none"/>
                <w:lang w:eastAsia="zh-CN"/>
              </w:rPr>
              <w:t>包括但不限于</w:t>
            </w:r>
            <w:r>
              <w:rPr>
                <w:rFonts w:hint="eastAsia" w:ascii="宋体" w:hAnsi="宋体" w:eastAsia="宋体" w:cs="宋体"/>
                <w:b w:val="0"/>
                <w:bCs/>
                <w:color w:val="auto"/>
                <w:sz w:val="21"/>
                <w:szCs w:val="21"/>
                <w:highlight w:val="none"/>
              </w:rPr>
              <w:t>人员流失应急预案、人员稳定性</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rPr>
              <w:t>补给、调配、重大假日的保障服务</w:t>
            </w:r>
            <w:r>
              <w:rPr>
                <w:rFonts w:hint="eastAsia" w:ascii="宋体" w:hAnsi="宋体" w:eastAsia="宋体" w:cs="宋体"/>
                <w:color w:val="auto"/>
                <w:sz w:val="21"/>
                <w:szCs w:val="21"/>
                <w:lang w:eastAsia="zh-CN"/>
              </w:rPr>
              <w:t>方案等</w:t>
            </w:r>
            <w:r>
              <w:rPr>
                <w:rFonts w:hint="eastAsia" w:ascii="宋体" w:hAnsi="宋体" w:cs="宋体"/>
                <w:b w:val="0"/>
                <w:bCs/>
                <w:color w:val="auto"/>
                <w:sz w:val="21"/>
                <w:szCs w:val="21"/>
                <w:highlight w:val="none"/>
                <w:lang w:eastAsia="zh-CN"/>
              </w:rPr>
              <w:t>）</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z w:val="21"/>
                <w:szCs w:val="21"/>
                <w:highlight w:val="none"/>
              </w:rPr>
              <w:t>综合</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w:t>
            </w:r>
          </w:p>
          <w:p w14:paraId="26D2E7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rPr>
              <w:t>方案内容齐全，</w:t>
            </w:r>
            <w:r>
              <w:rPr>
                <w:rFonts w:hint="eastAsia" w:ascii="宋体" w:hAnsi="宋体" w:eastAsia="宋体" w:cs="宋体"/>
                <w:color w:val="auto"/>
                <w:lang w:val="en-US" w:eastAsia="zh-CN"/>
              </w:rPr>
              <w:t>或方案</w:t>
            </w:r>
            <w:r>
              <w:rPr>
                <w:rFonts w:hint="eastAsia" w:ascii="宋体" w:hAnsi="宋体" w:eastAsia="宋体" w:cs="宋体"/>
                <w:color w:val="auto"/>
                <w:sz w:val="21"/>
                <w:szCs w:val="21"/>
                <w:highlight w:val="none"/>
              </w:rPr>
              <w:t>对</w:t>
            </w:r>
            <w:r>
              <w:rPr>
                <w:rFonts w:hint="eastAsia" w:ascii="宋体" w:hAnsi="宋体" w:eastAsia="宋体" w:cs="宋体"/>
                <w:b w:val="0"/>
                <w:bCs/>
                <w:color w:val="auto"/>
                <w:sz w:val="21"/>
                <w:szCs w:val="21"/>
                <w:highlight w:val="none"/>
              </w:rPr>
              <w:t>人员流失应急预案、人员稳定性</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rPr>
              <w:t>补给、调配、重大假日的保障服务</w:t>
            </w:r>
            <w:r>
              <w:rPr>
                <w:rFonts w:hint="eastAsia" w:ascii="宋体" w:hAnsi="宋体" w:eastAsia="宋体" w:cs="宋体"/>
                <w:color w:val="auto"/>
                <w:sz w:val="21"/>
                <w:szCs w:val="21"/>
                <w:lang w:eastAsia="zh-CN"/>
              </w:rPr>
              <w:t>方案等</w:t>
            </w:r>
            <w:r>
              <w:rPr>
                <w:rFonts w:hint="eastAsia" w:ascii="宋体" w:hAnsi="宋体" w:eastAsia="宋体" w:cs="宋体"/>
                <w:color w:val="auto"/>
                <w:sz w:val="21"/>
                <w:szCs w:val="21"/>
                <w:highlight w:val="none"/>
              </w:rPr>
              <w:t>有详尽描述，方案详细，准确，合理，实施操作性强，针对性高的，得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b w:val="0"/>
                <w:bCs/>
                <w:color w:val="auto"/>
                <w:sz w:val="21"/>
                <w:szCs w:val="21"/>
                <w:highlight w:val="none"/>
                <w:lang w:val="en-US" w:eastAsia="zh-CN"/>
              </w:rPr>
              <w:t xml:space="preserve"> </w:t>
            </w:r>
          </w:p>
          <w:p w14:paraId="37F68BF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color w:val="auto"/>
              </w:rPr>
              <w:t>方案内容缺失不超过1项，或</w:t>
            </w:r>
            <w:r>
              <w:rPr>
                <w:rFonts w:hint="eastAsia" w:ascii="宋体" w:hAnsi="宋体" w:eastAsia="宋体" w:cs="宋体"/>
                <w:color w:val="auto"/>
                <w:lang w:val="en-US" w:eastAsia="zh-CN"/>
              </w:rPr>
              <w:t>方案</w:t>
            </w:r>
            <w:r>
              <w:rPr>
                <w:rFonts w:hint="eastAsia" w:ascii="宋体" w:hAnsi="宋体" w:eastAsia="宋体" w:cs="宋体"/>
                <w:color w:val="auto"/>
                <w:sz w:val="21"/>
                <w:szCs w:val="21"/>
                <w:highlight w:val="none"/>
              </w:rPr>
              <w:t>对</w:t>
            </w:r>
            <w:r>
              <w:rPr>
                <w:rFonts w:hint="eastAsia" w:ascii="宋体" w:hAnsi="宋体" w:eastAsia="宋体" w:cs="宋体"/>
                <w:b w:val="0"/>
                <w:bCs/>
                <w:color w:val="auto"/>
                <w:sz w:val="21"/>
                <w:szCs w:val="21"/>
                <w:highlight w:val="none"/>
              </w:rPr>
              <w:t>人员流失应急预案、人员稳定性</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rPr>
              <w:t>补给、调配、重大假日的保障服务</w:t>
            </w:r>
            <w:r>
              <w:rPr>
                <w:rFonts w:hint="eastAsia" w:ascii="宋体" w:hAnsi="宋体" w:eastAsia="宋体" w:cs="宋体"/>
                <w:color w:val="auto"/>
                <w:sz w:val="21"/>
                <w:szCs w:val="21"/>
                <w:lang w:eastAsia="zh-CN"/>
              </w:rPr>
              <w:t>方案等</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描述，</w:t>
            </w:r>
            <w:r>
              <w:rPr>
                <w:rFonts w:hint="eastAsia" w:ascii="宋体" w:hAnsi="宋体" w:eastAsia="宋体" w:cs="宋体"/>
                <w:color w:val="auto"/>
                <w:sz w:val="21"/>
                <w:szCs w:val="21"/>
                <w:lang w:val="en-US" w:eastAsia="zh-CN"/>
              </w:rPr>
              <w:t>方案较详细，基本准确，相对合理，实施操作性基本可行，</w:t>
            </w:r>
            <w:r>
              <w:rPr>
                <w:rFonts w:hint="eastAsia" w:ascii="宋体" w:hAnsi="宋体" w:eastAsia="宋体" w:cs="宋体"/>
                <w:color w:val="auto"/>
                <w:sz w:val="21"/>
                <w:szCs w:val="21"/>
                <w:highlight w:val="none"/>
              </w:rPr>
              <w:t>针对性</w:t>
            </w:r>
            <w:r>
              <w:rPr>
                <w:rFonts w:hint="eastAsia" w:ascii="宋体" w:hAnsi="宋体" w:eastAsia="宋体" w:cs="宋体"/>
                <w:color w:val="auto"/>
                <w:sz w:val="21"/>
                <w:szCs w:val="21"/>
                <w:highlight w:val="none"/>
                <w:lang w:eastAsia="zh-CN"/>
              </w:rPr>
              <w:t>较高的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0DA6D4F">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3.</w:t>
            </w:r>
            <w:r>
              <w:rPr>
                <w:rFonts w:hint="eastAsia" w:ascii="宋体" w:hAnsi="宋体" w:eastAsia="宋体" w:cs="宋体"/>
                <w:color w:val="auto"/>
              </w:rPr>
              <w:t>方案内容缺失超过1项，或</w:t>
            </w:r>
            <w:r>
              <w:rPr>
                <w:rFonts w:hint="eastAsia" w:ascii="宋体" w:hAnsi="宋体" w:eastAsia="宋体" w:cs="宋体"/>
                <w:color w:val="auto"/>
                <w:lang w:val="en-US" w:eastAsia="zh-CN"/>
              </w:rPr>
              <w:t>方案</w:t>
            </w:r>
            <w:r>
              <w:rPr>
                <w:rFonts w:hint="eastAsia" w:ascii="宋体" w:hAnsi="宋体" w:eastAsia="宋体" w:cs="宋体"/>
                <w:color w:val="auto"/>
                <w:sz w:val="21"/>
                <w:szCs w:val="21"/>
                <w:highlight w:val="none"/>
              </w:rPr>
              <w:t>对</w:t>
            </w:r>
            <w:r>
              <w:rPr>
                <w:rFonts w:hint="eastAsia" w:ascii="宋体" w:hAnsi="宋体" w:eastAsia="宋体" w:cs="宋体"/>
                <w:b w:val="0"/>
                <w:bCs/>
                <w:color w:val="auto"/>
                <w:sz w:val="21"/>
                <w:szCs w:val="21"/>
                <w:highlight w:val="none"/>
              </w:rPr>
              <w:t>人员流失应急预案、人员稳定性</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rPr>
              <w:t>补给、调配、重大假日的保障服务</w:t>
            </w:r>
            <w:r>
              <w:rPr>
                <w:rFonts w:hint="eastAsia" w:ascii="宋体" w:hAnsi="宋体" w:eastAsia="宋体" w:cs="宋体"/>
                <w:color w:val="auto"/>
                <w:sz w:val="21"/>
                <w:szCs w:val="21"/>
                <w:lang w:eastAsia="zh-CN"/>
              </w:rPr>
              <w:t>方案等</w:t>
            </w:r>
            <w:r>
              <w:rPr>
                <w:rFonts w:hint="eastAsia" w:ascii="宋体" w:hAnsi="宋体" w:eastAsia="宋体" w:cs="宋体"/>
                <w:color w:val="auto"/>
                <w:sz w:val="21"/>
                <w:szCs w:val="21"/>
                <w:highlight w:val="none"/>
              </w:rPr>
              <w:t>有简单描述，方案不够详细，实施操作性较弱，针对性</w:t>
            </w:r>
            <w:r>
              <w:rPr>
                <w:rFonts w:hint="eastAsia" w:ascii="宋体" w:hAnsi="宋体" w:eastAsia="宋体" w:cs="宋体"/>
                <w:color w:val="auto"/>
                <w:kern w:val="2"/>
                <w:sz w:val="21"/>
                <w:szCs w:val="21"/>
                <w:lang w:val="en-US" w:eastAsia="zh-CN" w:bidi="ar-SA"/>
              </w:rPr>
              <w:t>较低</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C723C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highlight w:val="yellow"/>
              </w:rPr>
            </w:pPr>
            <w:r>
              <w:rPr>
                <w:rFonts w:hint="eastAsia" w:ascii="宋体" w:hAnsi="宋体" w:eastAsia="宋体" w:cs="宋体"/>
                <w:b w:val="0"/>
                <w:bCs/>
                <w:color w:val="auto"/>
                <w:sz w:val="21"/>
                <w:szCs w:val="21"/>
                <w:highlight w:val="none"/>
              </w:rPr>
              <w:t>4.</w:t>
            </w:r>
            <w:r>
              <w:rPr>
                <w:rFonts w:hint="eastAsia" w:ascii="宋体" w:hAnsi="宋体" w:eastAsia="宋体" w:cs="宋体"/>
                <w:color w:val="auto"/>
                <w:kern w:val="2"/>
                <w:sz w:val="21"/>
                <w:szCs w:val="21"/>
                <w:lang w:val="en-US" w:eastAsia="zh-CN" w:bidi="ar-SA"/>
              </w:rPr>
              <w:t>不提供方案不得分。</w:t>
            </w:r>
          </w:p>
        </w:tc>
      </w:tr>
      <w:tr w14:paraId="2340C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367" w:type="pct"/>
            <w:noWrap w:val="0"/>
            <w:vAlign w:val="center"/>
          </w:tcPr>
          <w:p w14:paraId="2403C18B">
            <w:pPr>
              <w:keepNext w:val="0"/>
              <w:keepLines w:val="0"/>
              <w:pageBreakBefore w:val="0"/>
              <w:widowControl/>
              <w:numPr>
                <w:ilvl w:val="0"/>
                <w:numId w:val="26"/>
              </w:numPr>
              <w:tabs>
                <w:tab w:val="left" w:pos="210"/>
              </w:tabs>
              <w:kinsoku/>
              <w:overflowPunct/>
              <w:topLinePunct w:val="0"/>
              <w:autoSpaceDE/>
              <w:autoSpaceDN/>
              <w:bidi w:val="0"/>
              <w:adjustRightInd/>
              <w:snapToGrid/>
              <w:ind w:left="425" w:leftChars="0" w:hanging="425" w:firstLineChars="0"/>
              <w:jc w:val="center"/>
              <w:textAlignment w:val="auto"/>
              <w:rPr>
                <w:rFonts w:hint="eastAsia" w:ascii="宋体" w:hAnsi="宋体" w:eastAsia="宋体" w:cs="宋体"/>
                <w:color w:val="auto"/>
                <w:sz w:val="21"/>
                <w:szCs w:val="21"/>
                <w:highlight w:val="none"/>
              </w:rPr>
            </w:pPr>
          </w:p>
        </w:tc>
        <w:tc>
          <w:tcPr>
            <w:tcW w:w="671" w:type="pct"/>
            <w:noWrap w:val="0"/>
            <w:vAlign w:val="center"/>
          </w:tcPr>
          <w:p w14:paraId="647E743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突发事件应急管理方案</w:t>
            </w:r>
          </w:p>
        </w:tc>
        <w:tc>
          <w:tcPr>
            <w:tcW w:w="439" w:type="pct"/>
            <w:noWrap w:val="0"/>
            <w:vAlign w:val="center"/>
          </w:tcPr>
          <w:p w14:paraId="748F93A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p>
        </w:tc>
        <w:tc>
          <w:tcPr>
            <w:tcW w:w="3521" w:type="pct"/>
            <w:noWrap w:val="0"/>
            <w:vAlign w:val="center"/>
          </w:tcPr>
          <w:p w14:paraId="6C4F24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根据各投标人提供的</w:t>
            </w:r>
            <w:r>
              <w:rPr>
                <w:rFonts w:hint="eastAsia" w:ascii="宋体" w:hAnsi="宋体" w:eastAsia="宋体" w:cs="宋体"/>
                <w:color w:val="auto"/>
                <w:sz w:val="21"/>
                <w:szCs w:val="21"/>
                <w:highlight w:val="none"/>
                <w:lang w:val="en-US" w:eastAsia="zh-CN"/>
              </w:rPr>
              <w:t>突发事件应急管理方案（包括但不限于</w:t>
            </w:r>
            <w:r>
              <w:rPr>
                <w:rFonts w:hint="eastAsia" w:ascii="宋体" w:hAnsi="宋体" w:eastAsia="宋体" w:cs="宋体"/>
                <w:color w:val="auto"/>
                <w:kern w:val="2"/>
                <w:sz w:val="21"/>
                <w:szCs w:val="21"/>
                <w:highlight w:val="none"/>
                <w:lang w:val="en-US" w:eastAsia="zh-CN" w:bidi="ar-SA"/>
              </w:rPr>
              <w:t>突发事件的处理措施和应急预案，能否应对各类突发应急事件、保障项目稳定运营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进行综合评审：</w:t>
            </w:r>
          </w:p>
          <w:p w14:paraId="0D9596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rPr>
              <w:t>方案内容齐全，</w:t>
            </w:r>
            <w:r>
              <w:rPr>
                <w:rFonts w:hint="eastAsia" w:ascii="宋体" w:hAnsi="宋体" w:eastAsia="宋体" w:cs="宋体"/>
                <w:color w:val="auto"/>
                <w:lang w:val="en-US" w:eastAsia="zh-CN"/>
              </w:rPr>
              <w:t>或方案</w:t>
            </w:r>
            <w:r>
              <w:rPr>
                <w:rFonts w:hint="eastAsia" w:ascii="宋体" w:hAnsi="宋体" w:eastAsia="宋体" w:cs="宋体"/>
                <w:color w:val="auto"/>
                <w:sz w:val="21"/>
                <w:szCs w:val="21"/>
                <w:highlight w:val="none"/>
              </w:rPr>
              <w:t>对</w:t>
            </w:r>
            <w:r>
              <w:rPr>
                <w:rFonts w:hint="eastAsia" w:ascii="宋体" w:hAnsi="宋体" w:eastAsia="宋体" w:cs="宋体"/>
                <w:color w:val="auto"/>
                <w:kern w:val="2"/>
                <w:sz w:val="21"/>
                <w:szCs w:val="21"/>
                <w:highlight w:val="none"/>
                <w:lang w:val="en-US" w:eastAsia="zh-CN" w:bidi="ar-SA"/>
              </w:rPr>
              <w:t>突发事件的处理措施和应急预案，对各类突发应急事件方式、保障项目稳定运营等有详尽描述，方案详细，准确，合理，实施操作性强，协调性高的，得</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p w14:paraId="7D2004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rPr>
              <w:t>方案内容缺失不超过1项，或</w:t>
            </w:r>
            <w:r>
              <w:rPr>
                <w:rFonts w:hint="eastAsia" w:ascii="宋体" w:hAnsi="宋体" w:eastAsia="宋体" w:cs="宋体"/>
                <w:color w:val="auto"/>
                <w:lang w:val="en-US" w:eastAsia="zh-CN"/>
              </w:rPr>
              <w:t>方案</w:t>
            </w:r>
            <w:r>
              <w:rPr>
                <w:rFonts w:hint="eastAsia" w:ascii="宋体" w:hAnsi="宋体" w:eastAsia="宋体" w:cs="宋体"/>
                <w:color w:val="auto"/>
                <w:sz w:val="21"/>
                <w:szCs w:val="21"/>
                <w:highlight w:val="none"/>
              </w:rPr>
              <w:t>对</w:t>
            </w:r>
            <w:r>
              <w:rPr>
                <w:rFonts w:hint="eastAsia" w:ascii="宋体" w:hAnsi="宋体" w:eastAsia="宋体" w:cs="宋体"/>
                <w:color w:val="auto"/>
                <w:kern w:val="2"/>
                <w:sz w:val="21"/>
                <w:szCs w:val="21"/>
                <w:highlight w:val="none"/>
                <w:lang w:val="en-US" w:eastAsia="zh-CN" w:bidi="ar-SA"/>
              </w:rPr>
              <w:t>突发事件的处理措施和应急预案，对各类突发应急事件方式、保障项目稳定运营等有相关描述，方案较详细，基本准确，相对合理，实施操作性基本可行，协调性较高，得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p w14:paraId="77ED19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rPr>
              <w:t>方案内容缺失超过1项，或</w:t>
            </w:r>
            <w:r>
              <w:rPr>
                <w:rFonts w:hint="eastAsia" w:ascii="宋体" w:hAnsi="宋体" w:eastAsia="宋体" w:cs="宋体"/>
                <w:color w:val="auto"/>
                <w:lang w:val="en-US" w:eastAsia="zh-CN"/>
              </w:rPr>
              <w:t>方案</w:t>
            </w:r>
            <w:r>
              <w:rPr>
                <w:rFonts w:hint="eastAsia" w:ascii="宋体" w:hAnsi="宋体" w:eastAsia="宋体" w:cs="宋体"/>
                <w:color w:val="auto"/>
                <w:sz w:val="21"/>
                <w:szCs w:val="21"/>
                <w:highlight w:val="none"/>
              </w:rPr>
              <w:t>对</w:t>
            </w:r>
            <w:r>
              <w:rPr>
                <w:rFonts w:hint="eastAsia" w:ascii="宋体" w:hAnsi="宋体" w:eastAsia="宋体" w:cs="宋体"/>
                <w:color w:val="auto"/>
                <w:kern w:val="2"/>
                <w:sz w:val="21"/>
                <w:szCs w:val="21"/>
                <w:highlight w:val="none"/>
                <w:lang w:val="en-US" w:eastAsia="zh-CN" w:bidi="ar-SA"/>
              </w:rPr>
              <w:t>突发事件的处理措施和应急预案，对各类突发应急事件方式、保障项目稳定运营等有简单描述，方案尚可，合理性一般，实施操作性较弱，协调性较低，得2分；</w:t>
            </w:r>
          </w:p>
          <w:p w14:paraId="339994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4.不提供方案不得分。</w:t>
            </w:r>
          </w:p>
        </w:tc>
      </w:tr>
      <w:tr w14:paraId="388EA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67" w:type="pct"/>
            <w:noWrap w:val="0"/>
            <w:vAlign w:val="center"/>
          </w:tcPr>
          <w:p w14:paraId="05B179D6">
            <w:pPr>
              <w:keepNext w:val="0"/>
              <w:keepLines w:val="0"/>
              <w:pageBreakBefore w:val="0"/>
              <w:widowControl/>
              <w:numPr>
                <w:ilvl w:val="0"/>
                <w:numId w:val="26"/>
              </w:numPr>
              <w:tabs>
                <w:tab w:val="left" w:pos="210"/>
              </w:tabs>
              <w:kinsoku/>
              <w:overflowPunct/>
              <w:topLinePunct w:val="0"/>
              <w:autoSpaceDE/>
              <w:autoSpaceDN/>
              <w:bidi w:val="0"/>
              <w:adjustRightInd/>
              <w:snapToGrid/>
              <w:ind w:left="425" w:leftChars="0" w:hanging="425" w:firstLineChars="0"/>
              <w:jc w:val="center"/>
              <w:textAlignment w:val="auto"/>
              <w:rPr>
                <w:rFonts w:hint="eastAsia" w:ascii="宋体" w:hAnsi="宋体" w:eastAsia="宋体" w:cs="宋体"/>
                <w:color w:val="auto"/>
                <w:sz w:val="21"/>
                <w:szCs w:val="21"/>
                <w:highlight w:val="none"/>
              </w:rPr>
            </w:pPr>
          </w:p>
        </w:tc>
        <w:tc>
          <w:tcPr>
            <w:tcW w:w="671" w:type="pct"/>
            <w:noWrap w:val="0"/>
            <w:vAlign w:val="center"/>
          </w:tcPr>
          <w:p w14:paraId="49402A7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拟</w:t>
            </w:r>
            <w:r>
              <w:rPr>
                <w:rFonts w:hint="eastAsia" w:ascii="宋体" w:hAnsi="宋体" w:eastAsia="宋体" w:cs="宋体"/>
                <w:color w:val="auto"/>
                <w:sz w:val="21"/>
                <w:szCs w:val="21"/>
                <w:lang w:val="en-US" w:eastAsia="zh-CN"/>
              </w:rPr>
              <w:t>派项目负责人</w:t>
            </w:r>
          </w:p>
          <w:p w14:paraId="555CC69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（1人）</w:t>
            </w:r>
          </w:p>
        </w:tc>
        <w:tc>
          <w:tcPr>
            <w:tcW w:w="439" w:type="pct"/>
            <w:noWrap w:val="0"/>
            <w:vAlign w:val="center"/>
          </w:tcPr>
          <w:p w14:paraId="08CE216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lang w:val="en-US"/>
              </w:rPr>
            </w:pPr>
            <w:r>
              <w:rPr>
                <w:rFonts w:hint="eastAsia" w:ascii="宋体" w:hAnsi="宋体" w:cs="宋体"/>
                <w:color w:val="auto"/>
                <w:kern w:val="2"/>
                <w:sz w:val="21"/>
                <w:szCs w:val="21"/>
                <w:highlight w:val="none"/>
                <w:lang w:val="en-US" w:eastAsia="zh-CN" w:bidi="ar-SA"/>
              </w:rPr>
              <w:t>6</w:t>
            </w:r>
          </w:p>
        </w:tc>
        <w:tc>
          <w:tcPr>
            <w:tcW w:w="3521" w:type="pct"/>
            <w:noWrap w:val="0"/>
            <w:vAlign w:val="center"/>
          </w:tcPr>
          <w:p w14:paraId="5E6B00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拟</w:t>
            </w:r>
            <w:r>
              <w:rPr>
                <w:rFonts w:hint="eastAsia" w:ascii="宋体" w:hAnsi="宋体" w:eastAsia="宋体" w:cs="宋体"/>
                <w:b/>
                <w:bCs/>
                <w:color w:val="auto"/>
                <w:sz w:val="21"/>
                <w:szCs w:val="21"/>
                <w:lang w:val="en-US" w:eastAsia="zh-CN"/>
              </w:rPr>
              <w:t>派</w:t>
            </w:r>
            <w:r>
              <w:rPr>
                <w:rFonts w:hint="eastAsia" w:ascii="宋体" w:hAnsi="宋体" w:eastAsia="宋体" w:cs="宋体"/>
                <w:b/>
                <w:bCs/>
                <w:color w:val="auto"/>
                <w:sz w:val="21"/>
                <w:szCs w:val="21"/>
              </w:rPr>
              <w:t>项目</w:t>
            </w:r>
            <w:r>
              <w:rPr>
                <w:rFonts w:hint="eastAsia" w:ascii="宋体" w:hAnsi="宋体" w:eastAsia="宋体" w:cs="宋体"/>
                <w:b/>
                <w:bCs/>
                <w:color w:val="auto"/>
                <w:sz w:val="21"/>
                <w:szCs w:val="21"/>
                <w:lang w:val="en-US" w:eastAsia="zh-CN"/>
              </w:rPr>
              <w:t>负责人（限1人，与本项目拟投入的其他岗位人员之间不得相互兼任）</w:t>
            </w:r>
            <w:r>
              <w:rPr>
                <w:rFonts w:hint="eastAsia" w:ascii="宋体" w:hAnsi="宋体" w:eastAsia="宋体" w:cs="宋体"/>
                <w:b/>
                <w:bCs/>
                <w:color w:val="auto"/>
                <w:sz w:val="21"/>
                <w:szCs w:val="21"/>
              </w:rPr>
              <w:t>：</w:t>
            </w:r>
          </w:p>
          <w:p w14:paraId="7FA331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lang w:val="en-US" w:eastAsia="zh-CN"/>
              </w:rPr>
              <w:t>具有本科或以上学历的，得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w:t>
            </w:r>
          </w:p>
          <w:p w14:paraId="231F86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具有退伍军人证，得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14:paraId="50EFD9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rPr>
              <w:t>具有安全防范工程师的，得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2935FA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lang w:val="en-US" w:eastAsia="zh-CN"/>
              </w:rPr>
              <w:t>具有</w:t>
            </w:r>
            <w:r>
              <w:rPr>
                <w:rFonts w:hint="eastAsia" w:ascii="宋体" w:hAnsi="宋体" w:cs="宋体"/>
                <w:color w:val="auto"/>
                <w:sz w:val="21"/>
                <w:szCs w:val="21"/>
                <w:lang w:val="en-US" w:eastAsia="zh-CN"/>
              </w:rPr>
              <w:t>（初级）</w:t>
            </w:r>
            <w:r>
              <w:rPr>
                <w:rFonts w:hint="eastAsia" w:ascii="宋体" w:hAnsi="宋体" w:cs="宋体"/>
                <w:lang w:val="en-US" w:eastAsia="zh-CN"/>
              </w:rPr>
              <w:t>工程师职称证书</w:t>
            </w:r>
            <w:r>
              <w:rPr>
                <w:rFonts w:hint="eastAsia" w:ascii="宋体" w:hAnsi="宋体" w:eastAsia="宋体" w:cs="宋体"/>
                <w:lang w:eastAsia="zh-CN"/>
              </w:rPr>
              <w:t>的，</w:t>
            </w:r>
            <w:r>
              <w:rPr>
                <w:rFonts w:hint="eastAsia" w:ascii="宋体" w:hAnsi="宋体" w:eastAsia="宋体" w:cs="宋体"/>
                <w:lang w:val="en-US" w:eastAsia="zh-CN"/>
              </w:rPr>
              <w:t>得</w:t>
            </w:r>
            <w:r>
              <w:rPr>
                <w:rFonts w:hint="eastAsia" w:ascii="宋体" w:hAnsi="宋体" w:cs="宋体"/>
                <w:lang w:val="en-US" w:eastAsia="zh-CN"/>
              </w:rPr>
              <w:t>1</w:t>
            </w:r>
            <w:r>
              <w:rPr>
                <w:rFonts w:hint="eastAsia" w:ascii="宋体" w:hAnsi="宋体" w:eastAsia="宋体" w:cs="宋体"/>
                <w:lang w:val="en-US" w:eastAsia="zh-CN"/>
              </w:rPr>
              <w:t>分；</w:t>
            </w:r>
            <w:r>
              <w:rPr>
                <w:rFonts w:hint="eastAsia" w:ascii="宋体" w:hAnsi="宋体" w:cs="宋体"/>
                <w:lang w:val="en-US" w:eastAsia="zh-CN"/>
              </w:rPr>
              <w:t>（中级或以上）</w:t>
            </w:r>
            <w:r>
              <w:rPr>
                <w:rFonts w:hint="eastAsia" w:ascii="宋体" w:hAnsi="宋体" w:eastAsia="宋体" w:cs="宋体"/>
                <w:lang w:val="en-US" w:eastAsia="zh-CN"/>
              </w:rPr>
              <w:t>工程师职称证书</w:t>
            </w:r>
            <w:r>
              <w:rPr>
                <w:rFonts w:hint="eastAsia" w:ascii="宋体" w:hAnsi="宋体" w:eastAsia="宋体" w:cs="宋体"/>
                <w:lang w:eastAsia="zh-CN"/>
              </w:rPr>
              <w:t>的，</w:t>
            </w:r>
            <w:r>
              <w:rPr>
                <w:rFonts w:hint="eastAsia" w:ascii="宋体" w:hAnsi="宋体" w:eastAsia="宋体" w:cs="宋体"/>
                <w:lang w:val="en-US" w:eastAsia="zh-CN"/>
              </w:rPr>
              <w:t>得</w:t>
            </w:r>
            <w:r>
              <w:rPr>
                <w:rFonts w:hint="eastAsia" w:ascii="宋体" w:hAnsi="宋体" w:cs="宋体"/>
                <w:lang w:val="en-US" w:eastAsia="zh-CN"/>
              </w:rPr>
              <w:t>1.5</w:t>
            </w:r>
            <w:r>
              <w:rPr>
                <w:rFonts w:hint="eastAsia" w:ascii="宋体" w:hAnsi="宋体" w:eastAsia="宋体" w:cs="宋体"/>
                <w:lang w:val="en-US" w:eastAsia="zh-CN"/>
              </w:rPr>
              <w:t>分；本小项最高</w:t>
            </w:r>
            <w:r>
              <w:rPr>
                <w:rFonts w:hint="eastAsia" w:ascii="宋体" w:hAnsi="宋体" w:cs="宋体"/>
                <w:lang w:val="en-US" w:eastAsia="zh-CN"/>
              </w:rPr>
              <w:t>1.5</w:t>
            </w:r>
            <w:r>
              <w:rPr>
                <w:rFonts w:hint="eastAsia" w:ascii="宋体" w:hAnsi="宋体" w:eastAsia="宋体" w:cs="宋体"/>
                <w:lang w:val="en-US" w:eastAsia="zh-CN"/>
              </w:rPr>
              <w:t>分；</w:t>
            </w:r>
          </w:p>
          <w:p w14:paraId="7E6400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具有保卫管理员三级/高级工</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二级/技师</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一级/高级技师</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1.5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lang w:val="en-US" w:eastAsia="zh-CN"/>
              </w:rPr>
              <w:t>本小项最高</w:t>
            </w:r>
            <w:r>
              <w:rPr>
                <w:rFonts w:hint="eastAsia" w:ascii="宋体" w:hAnsi="宋体" w:cs="宋体"/>
                <w:lang w:val="en-US" w:eastAsia="zh-CN"/>
              </w:rPr>
              <w:t>1.5</w:t>
            </w:r>
            <w:r>
              <w:rPr>
                <w:rFonts w:hint="eastAsia" w:ascii="宋体" w:hAnsi="宋体" w:eastAsia="宋体" w:cs="宋体"/>
                <w:lang w:val="en-US" w:eastAsia="zh-CN"/>
              </w:rPr>
              <w:t>分</w:t>
            </w:r>
            <w:r>
              <w:rPr>
                <w:rFonts w:hint="eastAsia" w:ascii="宋体" w:hAnsi="宋体" w:eastAsia="宋体" w:cs="宋体"/>
                <w:color w:val="auto"/>
                <w:sz w:val="21"/>
                <w:szCs w:val="21"/>
                <w:lang w:eastAsia="zh-CN"/>
              </w:rPr>
              <w:t>。</w:t>
            </w:r>
          </w:p>
          <w:p w14:paraId="58F280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rPr>
              <w:t>注：（1）本项最高得</w:t>
            </w:r>
            <w:r>
              <w:rPr>
                <w:rFonts w:hint="eastAsia" w:ascii="宋体" w:hAnsi="宋体" w:cs="宋体"/>
                <w:b/>
                <w:bCs/>
                <w:color w:val="auto"/>
                <w:sz w:val="21"/>
                <w:szCs w:val="21"/>
                <w:lang w:val="en-US" w:eastAsia="zh-CN"/>
              </w:rPr>
              <w:t>6</w:t>
            </w:r>
            <w:r>
              <w:rPr>
                <w:rFonts w:hint="eastAsia" w:ascii="宋体" w:hAnsi="宋体" w:eastAsia="宋体" w:cs="宋体"/>
                <w:b/>
                <w:bCs/>
                <w:color w:val="auto"/>
                <w:sz w:val="21"/>
                <w:szCs w:val="21"/>
              </w:rPr>
              <w:t>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（2）须同时提供项目</w:t>
            </w:r>
            <w:r>
              <w:rPr>
                <w:rFonts w:hint="eastAsia" w:ascii="宋体" w:hAnsi="宋体" w:eastAsia="宋体" w:cs="宋体"/>
                <w:b/>
                <w:bCs/>
                <w:color w:val="auto"/>
                <w:sz w:val="21"/>
                <w:szCs w:val="21"/>
                <w:lang w:val="en-US" w:eastAsia="zh-CN"/>
              </w:rPr>
              <w:t>负责人</w:t>
            </w:r>
            <w:r>
              <w:rPr>
                <w:rFonts w:hint="eastAsia" w:ascii="宋体" w:hAnsi="宋体" w:eastAsia="宋体" w:cs="宋体"/>
                <w:b/>
                <w:bCs/>
                <w:color w:val="auto"/>
                <w:sz w:val="21"/>
                <w:szCs w:val="21"/>
              </w:rPr>
              <w:t>的身份证、有效的相关证书</w:t>
            </w:r>
            <w:r>
              <w:rPr>
                <w:rFonts w:hint="eastAsia" w:ascii="宋体" w:hAnsi="宋体" w:eastAsia="宋体" w:cs="宋体"/>
                <w:b/>
                <w:bCs/>
                <w:color w:val="auto"/>
                <w:sz w:val="21"/>
                <w:szCs w:val="21"/>
                <w:lang w:val="en-US" w:eastAsia="zh-CN"/>
              </w:rPr>
              <w:t>复印</w:t>
            </w:r>
            <w:r>
              <w:rPr>
                <w:rFonts w:hint="eastAsia" w:ascii="宋体" w:hAnsi="宋体" w:eastAsia="宋体" w:cs="宋体"/>
                <w:b/>
                <w:bCs/>
                <w:color w:val="auto"/>
                <w:sz w:val="21"/>
                <w:szCs w:val="21"/>
              </w:rPr>
              <w:t>件和近6个月内任意1个月在投标人单位购买社会保险证明的扫描件；（3）职业资格或职业技能证书复印件的扫描件，必须同时提供技能人才评价证书全国联网查询（网址：http://zscx.osta.org.cn/）的查询截图；如提供职业技术证书需要在在工业和信息化部教育与考试中心网站（网址：https://www.miiteec.org.cn/）上可查询，并在投标文件中提供网站截图并盖章）复印件</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（4）上述资料须加盖投标人公章，否则不得分。</w:t>
            </w:r>
          </w:p>
        </w:tc>
      </w:tr>
      <w:tr w14:paraId="7B2CB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367" w:type="pct"/>
            <w:noWrap w:val="0"/>
            <w:vAlign w:val="center"/>
          </w:tcPr>
          <w:p w14:paraId="51B583ED">
            <w:pPr>
              <w:keepNext w:val="0"/>
              <w:keepLines w:val="0"/>
              <w:pageBreakBefore w:val="0"/>
              <w:widowControl/>
              <w:numPr>
                <w:ilvl w:val="0"/>
                <w:numId w:val="26"/>
              </w:numPr>
              <w:tabs>
                <w:tab w:val="left" w:pos="210"/>
              </w:tabs>
              <w:kinsoku/>
              <w:overflowPunct/>
              <w:topLinePunct w:val="0"/>
              <w:autoSpaceDE/>
              <w:autoSpaceDN/>
              <w:bidi w:val="0"/>
              <w:adjustRightInd/>
              <w:snapToGrid/>
              <w:ind w:left="425" w:leftChars="0" w:hanging="425" w:firstLineChars="0"/>
              <w:jc w:val="center"/>
              <w:textAlignment w:val="auto"/>
              <w:rPr>
                <w:rFonts w:hint="eastAsia" w:ascii="宋体" w:hAnsi="宋体" w:eastAsia="宋体" w:cs="宋体"/>
                <w:color w:val="auto"/>
                <w:sz w:val="21"/>
                <w:szCs w:val="21"/>
                <w:highlight w:val="none"/>
              </w:rPr>
            </w:pPr>
          </w:p>
        </w:tc>
        <w:tc>
          <w:tcPr>
            <w:tcW w:w="671" w:type="pct"/>
            <w:noWrap w:val="0"/>
            <w:vAlign w:val="center"/>
          </w:tcPr>
          <w:p w14:paraId="2BC989D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eastAsia="zh-CN"/>
              </w:rPr>
              <w:t>专项服务队伍人员</w:t>
            </w:r>
          </w:p>
        </w:tc>
        <w:tc>
          <w:tcPr>
            <w:tcW w:w="439" w:type="pct"/>
            <w:noWrap w:val="0"/>
            <w:vAlign w:val="center"/>
          </w:tcPr>
          <w:p w14:paraId="045349C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lang w:val="en-US"/>
              </w:rPr>
            </w:pPr>
            <w:r>
              <w:rPr>
                <w:rFonts w:hint="eastAsia" w:ascii="宋体" w:hAnsi="宋体" w:cs="宋体"/>
                <w:color w:val="auto"/>
                <w:kern w:val="2"/>
                <w:sz w:val="21"/>
                <w:szCs w:val="21"/>
                <w:highlight w:val="none"/>
                <w:lang w:val="en-US" w:eastAsia="zh-CN" w:bidi="ar-SA"/>
              </w:rPr>
              <w:t>6</w:t>
            </w:r>
          </w:p>
        </w:tc>
        <w:tc>
          <w:tcPr>
            <w:tcW w:w="3521" w:type="pct"/>
            <w:noWrap w:val="0"/>
            <w:vAlign w:val="center"/>
          </w:tcPr>
          <w:p w14:paraId="02E44319">
            <w:pPr>
              <w:pStyle w:val="11"/>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专项服务队伍人员（除项目负责人外）具备以下证件：</w:t>
            </w:r>
          </w:p>
          <w:p w14:paraId="6AFF79DD">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具有</w:t>
            </w:r>
            <w:r>
              <w:rPr>
                <w:rFonts w:hint="eastAsia" w:ascii="宋体" w:hAnsi="宋体" w:eastAsia="宋体" w:cs="宋体"/>
                <w:color w:val="auto"/>
                <w:sz w:val="21"/>
                <w:szCs w:val="21"/>
                <w:lang w:val="en-US" w:eastAsia="zh-CN"/>
              </w:rPr>
              <w:t>本科</w:t>
            </w:r>
            <w:r>
              <w:rPr>
                <w:rFonts w:hint="eastAsia" w:ascii="宋体" w:hAnsi="宋体" w:eastAsia="宋体" w:cs="宋体"/>
                <w:color w:val="auto"/>
                <w:sz w:val="21"/>
                <w:szCs w:val="21"/>
              </w:rPr>
              <w:t>或以上学历的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每提供一个得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分，本小项最高得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p>
          <w:p w14:paraId="484047A8">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lang w:val="en-US" w:eastAsia="zh-CN"/>
              </w:rPr>
              <w:t>具有应急管理局颁发的</w:t>
            </w:r>
            <w:r>
              <w:rPr>
                <w:rFonts w:hint="eastAsia" w:ascii="宋体" w:hAnsi="宋体" w:eastAsia="宋体" w:cs="宋体"/>
                <w:color w:val="auto"/>
              </w:rPr>
              <w:t>应急救援员资格证书（五级）或以上</w:t>
            </w:r>
            <w:r>
              <w:rPr>
                <w:rFonts w:hint="eastAsia" w:ascii="宋体" w:hAnsi="宋体" w:eastAsia="宋体" w:cs="宋体"/>
                <w:color w:val="auto"/>
                <w:sz w:val="21"/>
                <w:szCs w:val="21"/>
                <w:lang w:val="en-US" w:eastAsia="zh-CN"/>
              </w:rPr>
              <w:t>的，每提供一个得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分，本小项最高得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p>
          <w:p w14:paraId="37052D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rPr>
              <w:t>具有安全防范工程师的，</w:t>
            </w:r>
            <w:r>
              <w:rPr>
                <w:rFonts w:hint="eastAsia" w:ascii="宋体" w:hAnsi="宋体" w:eastAsia="宋体" w:cs="宋体"/>
                <w:color w:val="auto"/>
                <w:sz w:val="21"/>
                <w:szCs w:val="21"/>
                <w:lang w:val="en-US" w:eastAsia="zh-CN"/>
              </w:rPr>
              <w:t>每提供一个</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，本小项最高得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p w14:paraId="72B65C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rPr>
              <w:t>注：（1）本项最高得</w:t>
            </w:r>
            <w:r>
              <w:rPr>
                <w:rFonts w:hint="eastAsia" w:ascii="宋体" w:hAnsi="宋体" w:cs="宋体"/>
                <w:b/>
                <w:bCs/>
                <w:color w:val="auto"/>
                <w:sz w:val="21"/>
                <w:szCs w:val="21"/>
                <w:lang w:val="en-US" w:eastAsia="zh-CN"/>
              </w:rPr>
              <w:t>6</w:t>
            </w:r>
            <w:r>
              <w:rPr>
                <w:rFonts w:hint="eastAsia" w:ascii="宋体" w:hAnsi="宋体" w:eastAsia="宋体" w:cs="宋体"/>
                <w:b/>
                <w:bCs/>
                <w:color w:val="auto"/>
                <w:sz w:val="21"/>
                <w:szCs w:val="21"/>
              </w:rPr>
              <w:t>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（2）须同时提供</w:t>
            </w:r>
            <w:r>
              <w:rPr>
                <w:rFonts w:hint="eastAsia" w:ascii="宋体" w:hAnsi="宋体" w:eastAsia="宋体" w:cs="宋体"/>
                <w:b/>
                <w:bCs/>
                <w:color w:val="auto"/>
                <w:sz w:val="21"/>
                <w:szCs w:val="21"/>
                <w:lang w:val="en-US" w:eastAsia="zh-CN"/>
              </w:rPr>
              <w:t>人员</w:t>
            </w:r>
            <w:r>
              <w:rPr>
                <w:rFonts w:hint="eastAsia" w:ascii="宋体" w:hAnsi="宋体" w:eastAsia="宋体" w:cs="宋体"/>
                <w:b/>
                <w:bCs/>
                <w:color w:val="auto"/>
                <w:sz w:val="21"/>
                <w:szCs w:val="21"/>
              </w:rPr>
              <w:t>的身份证、有效的相关证书的扫描件和近6个月内任意1个月在投标人单位购买社会保险证明的扫描件</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3）职业资格或职业技能证书复印件的扫描件，必须同时提供技能人才评价证书全国联网查询（网址：http://zscx.osta.org.cn/）的查询截图；如提供职业技术证书需要在在工业和信息化部教育与考试中心网站（网址：https://www.miiteec.org.cn/）上可查询，并在投标文件中提供网站截图并盖章）复印件</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（4）上述资料须加盖投标人公章，否则不得分。</w:t>
            </w:r>
          </w:p>
        </w:tc>
      </w:tr>
      <w:tr w14:paraId="759A6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367" w:type="pct"/>
            <w:noWrap w:val="0"/>
            <w:vAlign w:val="center"/>
          </w:tcPr>
          <w:p w14:paraId="2436E456">
            <w:pPr>
              <w:keepNext w:val="0"/>
              <w:keepLines w:val="0"/>
              <w:pageBreakBefore w:val="0"/>
              <w:widowControl/>
              <w:numPr>
                <w:ilvl w:val="0"/>
                <w:numId w:val="26"/>
              </w:numPr>
              <w:tabs>
                <w:tab w:val="left" w:pos="210"/>
              </w:tabs>
              <w:kinsoku/>
              <w:overflowPunct/>
              <w:topLinePunct w:val="0"/>
              <w:autoSpaceDE/>
              <w:autoSpaceDN/>
              <w:bidi w:val="0"/>
              <w:adjustRightInd/>
              <w:snapToGrid/>
              <w:ind w:left="425" w:leftChars="0" w:hanging="425" w:firstLineChars="0"/>
              <w:jc w:val="center"/>
              <w:textAlignment w:val="auto"/>
              <w:rPr>
                <w:rFonts w:hint="eastAsia" w:ascii="宋体" w:hAnsi="宋体" w:eastAsia="宋体" w:cs="宋体"/>
                <w:color w:val="auto"/>
                <w:sz w:val="21"/>
                <w:szCs w:val="21"/>
                <w:highlight w:val="none"/>
              </w:rPr>
            </w:pPr>
          </w:p>
        </w:tc>
        <w:tc>
          <w:tcPr>
            <w:tcW w:w="671" w:type="pct"/>
            <w:noWrap w:val="0"/>
            <w:vAlign w:val="center"/>
          </w:tcPr>
          <w:p w14:paraId="44073D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信息化</w:t>
            </w:r>
          </w:p>
          <w:p w14:paraId="13BBA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管理</w:t>
            </w:r>
          </w:p>
        </w:tc>
        <w:tc>
          <w:tcPr>
            <w:tcW w:w="439" w:type="pct"/>
            <w:noWrap w:val="0"/>
            <w:vAlign w:val="center"/>
          </w:tcPr>
          <w:p w14:paraId="16F3893A">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lang w:val="en-US" w:eastAsia="zh-CN"/>
              </w:rPr>
              <w:t>6</w:t>
            </w:r>
          </w:p>
        </w:tc>
        <w:tc>
          <w:tcPr>
            <w:tcW w:w="3521" w:type="pct"/>
            <w:noWrap w:val="0"/>
            <w:vAlign w:val="center"/>
          </w:tcPr>
          <w:p w14:paraId="27AD97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根据各投标人的信息化管理能力进行评审：</w:t>
            </w:r>
          </w:p>
          <w:p w14:paraId="2ED702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投标人具有与本项目服务内容相关的信息化系统的，每提供一个得</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分，最高得</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p w14:paraId="4B18DE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注：（1）如为自有的，须提供计算机软件著作权登记证书作为证明材料，且证书上能体现投标人为产权著作权人；（2）如为购买（或租赁</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的，须同时提供：①购买</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或租赁</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合同，须体现购买人</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或租赁人</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为投标人；②计算机软件著作权登记证书，须体现产权著作权人为出售方</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或出租方</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highlight w:val="none"/>
                <w:lang w:val="en-US" w:eastAsia="zh-CN"/>
              </w:rPr>
              <w:t>投标人提供的材料是否符合用户需求和评分要求，由评标委员会成员评定。</w:t>
            </w:r>
          </w:p>
        </w:tc>
      </w:tr>
    </w:tbl>
    <w:p w14:paraId="6BD21F2B">
      <w:pPr>
        <w:snapToGrid w:val="0"/>
        <w:spacing w:line="360" w:lineRule="auto"/>
        <w:ind w:firstLine="105" w:firstLineChars="50"/>
        <w:rPr>
          <w:rFonts w:hint="eastAsia" w:ascii="宋体" w:cs="宋体"/>
          <w:snapToGrid w:val="0"/>
          <w:color w:val="auto"/>
          <w:kern w:val="0"/>
        </w:rPr>
      </w:pPr>
      <w:r>
        <w:rPr>
          <w:rFonts w:hint="eastAsia" w:ascii="宋体" w:cs="宋体"/>
          <w:snapToGrid w:val="0"/>
          <w:color w:val="auto"/>
          <w:kern w:val="0"/>
        </w:rPr>
        <w:t>备注：</w:t>
      </w:r>
    </w:p>
    <w:p w14:paraId="70C7AA03">
      <w:pPr>
        <w:numPr>
          <w:ilvl w:val="0"/>
          <w:numId w:val="27"/>
        </w:numPr>
        <w:snapToGrid w:val="0"/>
        <w:spacing w:line="360" w:lineRule="auto"/>
        <w:rPr>
          <w:rFonts w:hint="eastAsia" w:ascii="宋体" w:hAnsi="宋体"/>
          <w:bCs/>
          <w:color w:val="auto"/>
        </w:rPr>
      </w:pPr>
      <w:r>
        <w:rPr>
          <w:rFonts w:hint="eastAsia" w:ascii="宋体" w:hAnsi="宋体"/>
          <w:bCs/>
          <w:color w:val="auto"/>
        </w:rPr>
        <w:t>招标文件要求提交的与评价指标体系相关的各类有效资料，投标人如未按要求提交的，该项评分为零分。</w:t>
      </w:r>
    </w:p>
    <w:p w14:paraId="6F385155">
      <w:pPr>
        <w:numPr>
          <w:ilvl w:val="0"/>
          <w:numId w:val="27"/>
        </w:numPr>
        <w:snapToGrid w:val="0"/>
        <w:spacing w:line="360" w:lineRule="auto"/>
        <w:rPr>
          <w:rFonts w:hint="eastAsia" w:ascii="宋体" w:hAnsi="宋体"/>
          <w:bCs/>
          <w:color w:val="auto"/>
        </w:rPr>
      </w:pPr>
      <w:r>
        <w:rPr>
          <w:rFonts w:hint="eastAsia" w:ascii="宋体" w:hAnsi="宋体"/>
          <w:bCs/>
          <w:color w:val="auto"/>
        </w:rPr>
        <w:t>技术评分：所有评委评分分值的算术平均值（四舍五入后，</w:t>
      </w:r>
      <w:r>
        <w:rPr>
          <w:rFonts w:hint="eastAsia" w:ascii="Arial" w:hAnsi="Arial" w:cs="Arial"/>
          <w:color w:val="auto"/>
          <w:szCs w:val="20"/>
        </w:rPr>
        <w:t>小数点后保留两位有效数</w:t>
      </w:r>
      <w:r>
        <w:rPr>
          <w:rFonts w:hint="eastAsia" w:ascii="宋体" w:hAnsi="宋体"/>
          <w:bCs/>
          <w:color w:val="auto"/>
        </w:rPr>
        <w:t>）。</w:t>
      </w:r>
    </w:p>
    <w:p w14:paraId="1E7C2ADB">
      <w:pPr>
        <w:numPr>
          <w:ilvl w:val="0"/>
          <w:numId w:val="0"/>
        </w:numPr>
        <w:snapToGrid w:val="0"/>
        <w:spacing w:line="360" w:lineRule="auto"/>
        <w:ind w:leftChars="0"/>
        <w:rPr>
          <w:rFonts w:hint="eastAsia" w:ascii="宋体" w:hAnsi="宋体"/>
          <w:bCs/>
          <w:color w:val="auto"/>
        </w:rPr>
      </w:pPr>
    </w:p>
    <w:p w14:paraId="48D721DF">
      <w:pPr>
        <w:snapToGrid w:val="0"/>
        <w:spacing w:line="360" w:lineRule="auto"/>
        <w:rPr>
          <w:rFonts w:ascii="宋体" w:hAnsi="宋体"/>
          <w:bCs/>
          <w:color w:val="auto"/>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BA555E8">
      <w:pPr>
        <w:adjustRightInd w:val="0"/>
        <w:snapToGrid w:val="0"/>
        <w:spacing w:before="156" w:beforeLines="50" w:after="156" w:afterLines="50" w:line="360" w:lineRule="auto"/>
        <w:jc w:val="center"/>
        <w:rPr>
          <w:rFonts w:hint="eastAsia" w:ascii="黑体" w:hAnsi="宋体" w:eastAsia="黑体" w:cs="宋体"/>
          <w:color w:val="auto"/>
          <w:sz w:val="28"/>
          <w:szCs w:val="28"/>
          <w:lang w:eastAsia="zh-CN"/>
        </w:rPr>
      </w:pPr>
      <w:r>
        <w:rPr>
          <w:rFonts w:hint="eastAsia" w:ascii="黑体" w:hAnsi="宋体" w:eastAsia="黑体" w:cs="宋体"/>
          <w:color w:val="auto"/>
          <w:sz w:val="28"/>
          <w:szCs w:val="28"/>
        </w:rPr>
        <w:t>商务部分评分表</w:t>
      </w:r>
    </w:p>
    <w:p w14:paraId="325A037F">
      <w:pPr>
        <w:adjustRightInd w:val="0"/>
        <w:snapToGrid w:val="0"/>
        <w:spacing w:before="156" w:beforeLines="50" w:after="156" w:afterLines="50" w:line="360" w:lineRule="auto"/>
        <w:jc w:val="center"/>
        <w:rPr>
          <w:rFonts w:ascii="黑体" w:hAnsi="宋体" w:eastAsia="黑体" w:cs="宋体"/>
          <w:color w:val="auto"/>
          <w:sz w:val="28"/>
          <w:szCs w:val="28"/>
        </w:rPr>
      </w:pPr>
      <w:r>
        <w:rPr>
          <w:rFonts w:hint="eastAsia" w:ascii="黑体" w:hAnsi="宋体" w:eastAsia="黑体" w:cs="宋体"/>
          <w:color w:val="auto"/>
          <w:sz w:val="28"/>
          <w:szCs w:val="28"/>
        </w:rPr>
        <w:t>（</w:t>
      </w:r>
      <w:r>
        <w:rPr>
          <w:rFonts w:hint="eastAsia" w:ascii="黑体" w:hAnsi="宋体" w:eastAsia="黑体" w:cs="宋体"/>
          <w:color w:val="auto"/>
          <w:sz w:val="28"/>
          <w:szCs w:val="28"/>
          <w:lang w:val="en-US" w:eastAsia="zh-CN"/>
        </w:rPr>
        <w:t>20</w:t>
      </w:r>
      <w:r>
        <w:rPr>
          <w:rFonts w:hint="eastAsia" w:ascii="黑体" w:hAnsi="宋体" w:eastAsia="黑体" w:cs="宋体"/>
          <w:color w:val="auto"/>
          <w:sz w:val="28"/>
          <w:szCs w:val="28"/>
        </w:rPr>
        <w:t>分）</w:t>
      </w:r>
    </w:p>
    <w:tbl>
      <w:tblPr>
        <w:tblStyle w:val="19"/>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1"/>
        <w:gridCol w:w="1573"/>
        <w:gridCol w:w="810"/>
        <w:gridCol w:w="6194"/>
      </w:tblGrid>
      <w:tr w14:paraId="29179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9" w:hRule="exact"/>
          <w:jc w:val="center"/>
        </w:trPr>
        <w:tc>
          <w:tcPr>
            <w:tcW w:w="432" w:type="pct"/>
            <w:noWrap w:val="0"/>
            <w:vAlign w:val="center"/>
          </w:tcPr>
          <w:p w14:paraId="28B753ED">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序号</w:t>
            </w:r>
          </w:p>
        </w:tc>
        <w:tc>
          <w:tcPr>
            <w:tcW w:w="837" w:type="pct"/>
            <w:noWrap w:val="0"/>
            <w:vAlign w:val="center"/>
          </w:tcPr>
          <w:p w14:paraId="0B67F2FE">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评分因素</w:t>
            </w:r>
          </w:p>
        </w:tc>
        <w:tc>
          <w:tcPr>
            <w:tcW w:w="431" w:type="pct"/>
            <w:noWrap w:val="0"/>
            <w:vAlign w:val="center"/>
          </w:tcPr>
          <w:p w14:paraId="4BBBD805">
            <w:pPr>
              <w:jc w:val="center"/>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rPr>
              <w:t>分值</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分</w:t>
            </w:r>
            <w:r>
              <w:rPr>
                <w:rFonts w:hint="eastAsia" w:ascii="宋体" w:hAnsi="宋体" w:eastAsia="宋体" w:cs="宋体"/>
                <w:b/>
                <w:color w:val="auto"/>
                <w:sz w:val="21"/>
                <w:szCs w:val="21"/>
                <w:highlight w:val="none"/>
                <w:lang w:eastAsia="zh-CN"/>
              </w:rPr>
              <w:t>）</w:t>
            </w:r>
          </w:p>
        </w:tc>
        <w:tc>
          <w:tcPr>
            <w:tcW w:w="3297" w:type="pct"/>
            <w:noWrap w:val="0"/>
            <w:vAlign w:val="center"/>
          </w:tcPr>
          <w:p w14:paraId="33EFCB2C">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评分细则</w:t>
            </w:r>
          </w:p>
        </w:tc>
      </w:tr>
      <w:tr w14:paraId="1301E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0" w:hRule="atLeast"/>
          <w:jc w:val="center"/>
        </w:trPr>
        <w:tc>
          <w:tcPr>
            <w:tcW w:w="432" w:type="pct"/>
            <w:noWrap w:val="0"/>
            <w:vAlign w:val="center"/>
          </w:tcPr>
          <w:p w14:paraId="2FACC13C">
            <w:pPr>
              <w:widowControl/>
              <w:numPr>
                <w:ilvl w:val="0"/>
                <w:numId w:val="28"/>
              </w:numPr>
              <w:tabs>
                <w:tab w:val="left" w:pos="220"/>
              </w:tabs>
              <w:ind w:left="425" w:leftChars="0" w:hanging="425" w:firstLineChars="0"/>
              <w:jc w:val="center"/>
              <w:rPr>
                <w:rFonts w:hint="eastAsia" w:ascii="宋体" w:hAnsi="宋体" w:eastAsia="宋体" w:cs="宋体"/>
                <w:color w:val="auto"/>
                <w:sz w:val="21"/>
                <w:szCs w:val="21"/>
                <w:highlight w:val="none"/>
              </w:rPr>
            </w:pPr>
          </w:p>
        </w:tc>
        <w:tc>
          <w:tcPr>
            <w:tcW w:w="837" w:type="pct"/>
            <w:noWrap w:val="0"/>
            <w:vAlign w:val="center"/>
          </w:tcPr>
          <w:p w14:paraId="4F73E353">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企业认证</w:t>
            </w:r>
          </w:p>
        </w:tc>
        <w:tc>
          <w:tcPr>
            <w:tcW w:w="431" w:type="pct"/>
            <w:noWrap w:val="0"/>
            <w:vAlign w:val="center"/>
          </w:tcPr>
          <w:p w14:paraId="598588F8">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5</w:t>
            </w:r>
          </w:p>
        </w:tc>
        <w:tc>
          <w:tcPr>
            <w:tcW w:w="3297" w:type="pct"/>
            <w:noWrap w:val="0"/>
            <w:vAlign w:val="center"/>
          </w:tcPr>
          <w:p w14:paraId="316BFC49">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具</w:t>
            </w:r>
            <w:r>
              <w:rPr>
                <w:rFonts w:hint="eastAsia" w:ascii="宋体" w:hAnsi="宋体" w:eastAsia="宋体" w:cs="宋体"/>
                <w:color w:val="auto"/>
                <w:sz w:val="21"/>
                <w:szCs w:val="21"/>
                <w:highlight w:val="none"/>
                <w:lang w:eastAsia="zh-CN"/>
              </w:rPr>
              <w:t>有</w:t>
            </w:r>
            <w:r>
              <w:rPr>
                <w:rFonts w:hint="eastAsia" w:ascii="宋体" w:hAnsi="宋体" w:cs="宋体"/>
                <w:color w:val="auto"/>
                <w:sz w:val="21"/>
                <w:szCs w:val="21"/>
                <w:highlight w:val="none"/>
                <w:lang w:val="en-US" w:eastAsia="zh-CN"/>
              </w:rPr>
              <w:t>以下</w:t>
            </w:r>
            <w:r>
              <w:rPr>
                <w:rFonts w:hint="eastAsia" w:ascii="宋体" w:hAnsi="宋体" w:eastAsia="宋体" w:cs="宋体"/>
                <w:color w:val="auto"/>
                <w:sz w:val="21"/>
                <w:szCs w:val="21"/>
                <w:highlight w:val="none"/>
              </w:rPr>
              <w:t>有效证书</w:t>
            </w:r>
            <w:r>
              <w:rPr>
                <w:rFonts w:hint="eastAsia" w:ascii="宋体" w:hAnsi="宋体" w:cs="宋体"/>
                <w:color w:val="auto"/>
                <w:sz w:val="21"/>
                <w:szCs w:val="21"/>
                <w:highlight w:val="none"/>
                <w:lang w:eastAsia="zh-CN"/>
              </w:rPr>
              <w:t>的：</w:t>
            </w:r>
          </w:p>
          <w:p w14:paraId="4E81CD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质量管理体系认证</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rPr>
              <w:t>；</w:t>
            </w:r>
          </w:p>
          <w:p w14:paraId="24B1EE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环境管理体系认证</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rPr>
              <w:t>；</w:t>
            </w:r>
          </w:p>
          <w:p w14:paraId="2EB4A3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职业健康安全管理体系认证</w:t>
            </w:r>
            <w:r>
              <w:rPr>
                <w:rFonts w:hint="eastAsia" w:ascii="宋体" w:hAnsi="宋体" w:eastAsia="宋体" w:cs="宋体"/>
                <w:color w:val="auto"/>
                <w:sz w:val="21"/>
                <w:szCs w:val="21"/>
                <w:highlight w:val="none"/>
                <w:lang w:eastAsia="zh-CN"/>
              </w:rPr>
              <w:t>证书</w:t>
            </w:r>
            <w:r>
              <w:rPr>
                <w:rFonts w:hint="eastAsia" w:ascii="宋体" w:hAnsi="宋体" w:eastAsia="宋体" w:cs="宋体"/>
                <w:color w:val="auto"/>
                <w:sz w:val="21"/>
                <w:szCs w:val="21"/>
                <w:highlight w:val="none"/>
              </w:rPr>
              <w:t>；</w:t>
            </w:r>
          </w:p>
          <w:p w14:paraId="1C6F86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color w:val="auto"/>
                <w:sz w:val="21"/>
                <w:szCs w:val="21"/>
                <w:highlight w:val="none"/>
                <w:lang w:val="en-US" w:eastAsia="zh-CN"/>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highlight w:val="none"/>
                <w:lang w:val="en-US" w:eastAsia="zh-CN"/>
              </w:rPr>
              <w:t>保安服务管理体系认证证书</w:t>
            </w:r>
            <w:r>
              <w:rPr>
                <w:rFonts w:hint="eastAsia" w:ascii="宋体" w:hAnsi="宋体" w:cs="宋体"/>
                <w:color w:val="auto"/>
                <w:sz w:val="21"/>
                <w:szCs w:val="21"/>
                <w:highlight w:val="none"/>
                <w:lang w:val="en-US" w:eastAsia="zh-CN"/>
              </w:rPr>
              <w:t>；</w:t>
            </w:r>
          </w:p>
          <w:p w14:paraId="48D03856">
            <w:pPr>
              <w:pStyle w:val="13"/>
              <w:spacing w:line="240" w:lineRule="auto"/>
              <w:rPr>
                <w:rFonts w:hint="eastAsia" w:eastAsia="宋体"/>
                <w:color w:val="auto"/>
                <w:lang w:val="en-US" w:eastAsia="zh-CN"/>
              </w:rPr>
            </w:pPr>
            <w:r>
              <w:rPr>
                <w:rFonts w:hint="eastAsia" w:ascii="宋体" w:hAnsi="宋体" w:eastAsia="宋体" w:cs="宋体"/>
                <w:color w:val="auto"/>
                <w:sz w:val="21"/>
                <w:szCs w:val="21"/>
                <w:highlight w:val="none"/>
              </w:rPr>
              <w:t>每提</w:t>
            </w:r>
            <w:r>
              <w:rPr>
                <w:rFonts w:hint="eastAsia" w:ascii="宋体" w:hAnsi="宋体" w:eastAsia="宋体" w:cs="宋体"/>
                <w:color w:val="auto"/>
                <w:sz w:val="21"/>
                <w:szCs w:val="21"/>
                <w:highlight w:val="none"/>
                <w:lang w:eastAsia="zh-CN"/>
              </w:rPr>
              <w:t>供</w:t>
            </w:r>
            <w:r>
              <w:rPr>
                <w:rFonts w:hint="eastAsia" w:ascii="宋体" w:hAnsi="宋体" w:eastAsia="宋体" w:cs="宋体"/>
                <w:color w:val="auto"/>
                <w:sz w:val="21"/>
                <w:szCs w:val="21"/>
                <w:highlight w:val="none"/>
                <w:lang w:val="en-US" w:eastAsia="zh-CN"/>
              </w:rPr>
              <w:t>任意</w:t>
            </w:r>
            <w:r>
              <w:rPr>
                <w:rFonts w:hint="eastAsia" w:ascii="宋体" w:hAnsi="宋体" w:eastAsia="宋体" w:cs="宋体"/>
                <w:color w:val="auto"/>
                <w:sz w:val="21"/>
                <w:szCs w:val="21"/>
                <w:highlight w:val="none"/>
                <w:lang w:eastAsia="zh-CN"/>
              </w:rPr>
              <w:t>一个</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1.25</w:t>
            </w:r>
            <w:r>
              <w:rPr>
                <w:rFonts w:hint="eastAsia" w:ascii="宋体" w:hAnsi="宋体" w:eastAsia="宋体" w:cs="宋体"/>
                <w:color w:val="auto"/>
                <w:sz w:val="21"/>
                <w:szCs w:val="21"/>
                <w:highlight w:val="none"/>
              </w:rPr>
              <w:t>分，本项最高得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A0B7AFC">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b/>
                <w:bCs/>
                <w:color w:val="auto"/>
                <w:sz w:val="21"/>
                <w:szCs w:val="21"/>
                <w:highlight w:val="none"/>
              </w:rPr>
              <w:t>须同时提供有效的认证证书复印件</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在全国认证认可信息公共服务平台（www.cnca.cn）对体系证书的信息查询截图作为证明材料，已失效、撤销或暂停的或不提供不得分</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上述证书如因成立时间原因（不足三个月）未能获得的，可对应得分</w:t>
            </w:r>
            <w:r>
              <w:rPr>
                <w:rFonts w:hint="eastAsia" w:ascii="宋体" w:hAnsi="宋体" w:eastAsia="宋体" w:cs="宋体"/>
                <w:b/>
                <w:bCs/>
                <w:color w:val="auto"/>
                <w:sz w:val="21"/>
                <w:szCs w:val="21"/>
                <w:highlight w:val="none"/>
                <w:lang w:eastAsia="zh-CN"/>
              </w:rPr>
              <w:t>。</w:t>
            </w:r>
          </w:p>
        </w:tc>
      </w:tr>
      <w:tr w14:paraId="69A95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432" w:type="pct"/>
            <w:noWrap w:val="0"/>
            <w:vAlign w:val="center"/>
          </w:tcPr>
          <w:p w14:paraId="3D7959BA">
            <w:pPr>
              <w:widowControl/>
              <w:numPr>
                <w:ilvl w:val="0"/>
                <w:numId w:val="28"/>
              </w:numPr>
              <w:tabs>
                <w:tab w:val="left" w:pos="210"/>
              </w:tabs>
              <w:ind w:left="425" w:leftChars="0" w:hanging="425" w:firstLineChars="0"/>
              <w:jc w:val="center"/>
              <w:rPr>
                <w:rFonts w:hint="eastAsia" w:ascii="宋体" w:hAnsi="宋体" w:eastAsia="宋体" w:cs="宋体"/>
                <w:color w:val="auto"/>
                <w:sz w:val="21"/>
                <w:szCs w:val="21"/>
                <w:highlight w:val="none"/>
              </w:rPr>
            </w:pPr>
          </w:p>
        </w:tc>
        <w:tc>
          <w:tcPr>
            <w:tcW w:w="837" w:type="pct"/>
            <w:noWrap w:val="0"/>
            <w:vAlign w:val="center"/>
          </w:tcPr>
          <w:p w14:paraId="65220749">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同类项目业绩</w:t>
            </w:r>
          </w:p>
        </w:tc>
        <w:tc>
          <w:tcPr>
            <w:tcW w:w="431" w:type="pct"/>
            <w:noWrap w:val="0"/>
            <w:vAlign w:val="center"/>
          </w:tcPr>
          <w:p w14:paraId="6B7004E0">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9</w:t>
            </w:r>
          </w:p>
        </w:tc>
        <w:tc>
          <w:tcPr>
            <w:tcW w:w="3297" w:type="pct"/>
            <w:noWrap w:val="0"/>
            <w:vAlign w:val="center"/>
          </w:tcPr>
          <w:p w14:paraId="0D1AD55E">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2022年1月1日至今（以合同签订时间为准，同一</w:t>
            </w:r>
            <w:r>
              <w:rPr>
                <w:rFonts w:hint="eastAsia" w:ascii="宋体" w:hAnsi="宋体" w:cs="宋体"/>
                <w:color w:val="auto"/>
                <w:sz w:val="21"/>
                <w:szCs w:val="21"/>
                <w:highlight w:val="none"/>
                <w:lang w:val="en-US" w:eastAsia="zh-CN"/>
              </w:rPr>
              <w:t>甲方（或项目委托方）</w:t>
            </w:r>
            <w:r>
              <w:rPr>
                <w:rFonts w:hint="eastAsia" w:ascii="宋体" w:hAnsi="宋体" w:eastAsia="宋体" w:cs="宋体"/>
                <w:color w:val="auto"/>
                <w:sz w:val="21"/>
                <w:szCs w:val="21"/>
                <w:highlight w:val="none"/>
                <w:lang w:val="en-US" w:eastAsia="zh-CN"/>
              </w:rPr>
              <w:t>不同时间或不同项目可以重复计算）</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承接过同类保安或安保服务项目业绩的，每提供一个有效业绩得3分，最高得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p w14:paraId="44EBD07E">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注：（1）提供合同</w:t>
            </w:r>
            <w:r>
              <w:rPr>
                <w:rFonts w:hint="eastAsia" w:ascii="宋体" w:hAnsi="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lang w:val="en-US" w:eastAsia="zh-CN"/>
              </w:rPr>
              <w:t>协议书复印件</w:t>
            </w:r>
            <w:r>
              <w:rPr>
                <w:rFonts w:hint="eastAsia" w:ascii="宋体" w:hAnsi="宋体" w:cs="宋体"/>
                <w:b/>
                <w:bCs/>
                <w:color w:val="auto"/>
                <w:sz w:val="21"/>
                <w:szCs w:val="21"/>
                <w:highlight w:val="none"/>
                <w:lang w:val="en-US" w:eastAsia="zh-CN"/>
              </w:rPr>
              <w:t>作为证明材料</w:t>
            </w:r>
            <w:r>
              <w:rPr>
                <w:rFonts w:hint="eastAsia" w:ascii="宋体" w:hAnsi="宋体" w:eastAsia="宋体" w:cs="宋体"/>
                <w:b/>
                <w:bCs/>
                <w:color w:val="auto"/>
                <w:sz w:val="21"/>
                <w:szCs w:val="21"/>
                <w:highlight w:val="none"/>
                <w:lang w:val="en-US" w:eastAsia="zh-CN"/>
              </w:rPr>
              <w:t>（须包含但不限于合同名称、服务范围、合同金额、合同签订日期以及甲乙双方盖章页）</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不提供</w:t>
            </w:r>
            <w:r>
              <w:rPr>
                <w:rFonts w:hint="eastAsia" w:ascii="宋体" w:hAnsi="宋体" w:cs="宋体"/>
                <w:b/>
                <w:bCs/>
                <w:color w:val="auto"/>
                <w:sz w:val="21"/>
                <w:szCs w:val="21"/>
                <w:highlight w:val="none"/>
                <w:lang w:val="en-US" w:eastAsia="zh-CN"/>
              </w:rPr>
              <w:t>或未按照要求提供的均</w:t>
            </w:r>
            <w:r>
              <w:rPr>
                <w:rFonts w:hint="eastAsia" w:ascii="宋体" w:hAnsi="宋体" w:eastAsia="宋体" w:cs="宋体"/>
                <w:b/>
                <w:bCs/>
                <w:color w:val="auto"/>
                <w:sz w:val="21"/>
                <w:szCs w:val="21"/>
                <w:highlight w:val="none"/>
                <w:lang w:val="en-US" w:eastAsia="zh-CN"/>
              </w:rPr>
              <w:t>不得分。</w:t>
            </w:r>
          </w:p>
          <w:p w14:paraId="00F7E01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lang w:val="en-US" w:eastAsia="zh-CN"/>
              </w:rPr>
              <w:t>提供的业绩是否符合评分要求，由</w:t>
            </w:r>
            <w:r>
              <w:rPr>
                <w:rFonts w:hint="eastAsia" w:ascii="宋体" w:hAnsi="宋体" w:cs="宋体"/>
                <w:b/>
                <w:bCs/>
                <w:color w:val="auto"/>
                <w:sz w:val="21"/>
                <w:szCs w:val="21"/>
                <w:highlight w:val="none"/>
                <w:lang w:val="en-US" w:eastAsia="zh-CN"/>
              </w:rPr>
              <w:t>评标委员会成员评定</w:t>
            </w:r>
            <w:r>
              <w:rPr>
                <w:rFonts w:hint="eastAsia" w:ascii="宋体" w:hAnsi="宋体" w:eastAsia="宋体" w:cs="宋体"/>
                <w:b/>
                <w:bCs/>
                <w:color w:val="auto"/>
                <w:sz w:val="21"/>
                <w:szCs w:val="21"/>
                <w:highlight w:val="none"/>
                <w:lang w:val="en-US" w:eastAsia="zh-CN"/>
              </w:rPr>
              <w:t>。</w:t>
            </w:r>
          </w:p>
        </w:tc>
      </w:tr>
      <w:tr w14:paraId="1B948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432" w:type="pct"/>
            <w:noWrap w:val="0"/>
            <w:vAlign w:val="center"/>
          </w:tcPr>
          <w:p w14:paraId="27BEA48A">
            <w:pPr>
              <w:widowControl/>
              <w:numPr>
                <w:ilvl w:val="0"/>
                <w:numId w:val="28"/>
              </w:numPr>
              <w:tabs>
                <w:tab w:val="left" w:pos="210"/>
              </w:tabs>
              <w:ind w:left="425" w:leftChars="0" w:hanging="425" w:firstLineChars="0"/>
              <w:jc w:val="center"/>
              <w:rPr>
                <w:rFonts w:hint="eastAsia" w:ascii="宋体" w:hAnsi="宋体" w:eastAsia="宋体" w:cs="宋体"/>
                <w:color w:val="auto"/>
                <w:sz w:val="21"/>
                <w:szCs w:val="21"/>
                <w:highlight w:val="none"/>
              </w:rPr>
            </w:pPr>
          </w:p>
        </w:tc>
        <w:tc>
          <w:tcPr>
            <w:tcW w:w="837" w:type="pct"/>
            <w:noWrap w:val="0"/>
            <w:vAlign w:val="center"/>
          </w:tcPr>
          <w:p w14:paraId="0442D192">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用户评价</w:t>
            </w:r>
          </w:p>
        </w:tc>
        <w:tc>
          <w:tcPr>
            <w:tcW w:w="431" w:type="pct"/>
            <w:noWrap w:val="0"/>
            <w:vAlign w:val="center"/>
          </w:tcPr>
          <w:p w14:paraId="2C9D74F6">
            <w:pPr>
              <w:keepNext w:val="0"/>
              <w:keepLines w:val="0"/>
              <w:pageBreakBefore w:val="0"/>
              <w:widowControl/>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6</w:t>
            </w:r>
          </w:p>
        </w:tc>
        <w:tc>
          <w:tcPr>
            <w:tcW w:w="3297" w:type="pct"/>
            <w:noWrap w:val="0"/>
            <w:vAlign w:val="top"/>
          </w:tcPr>
          <w:p w14:paraId="1210D23C">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上根据前项评分“同类项目业绩”中有效计分业绩的用户评价情况进行评审：</w:t>
            </w:r>
          </w:p>
          <w:p w14:paraId="1E4D0E7A">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获得同一</w:t>
            </w:r>
            <w:r>
              <w:rPr>
                <w:rFonts w:hint="eastAsia" w:ascii="宋体" w:hAnsi="宋体" w:cs="宋体"/>
                <w:color w:val="auto"/>
                <w:sz w:val="21"/>
                <w:szCs w:val="21"/>
                <w:highlight w:val="none"/>
                <w:lang w:val="en-US" w:eastAsia="zh-CN"/>
              </w:rPr>
              <w:t>甲方（或项目委托方）</w:t>
            </w:r>
            <w:r>
              <w:rPr>
                <w:rFonts w:hint="eastAsia" w:ascii="宋体" w:hAnsi="宋体" w:eastAsia="宋体" w:cs="宋体"/>
                <w:color w:val="auto"/>
                <w:sz w:val="21"/>
                <w:szCs w:val="21"/>
                <w:highlight w:val="none"/>
                <w:lang w:val="en-US" w:eastAsia="zh-CN"/>
              </w:rPr>
              <w:t>考核评价为正面评价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优秀、优良、良好、满意或相当于类似评价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的，每提供一份</w:t>
            </w:r>
            <w:r>
              <w:rPr>
                <w:rFonts w:hint="eastAsia" w:ascii="宋体" w:hAnsi="宋体" w:cs="宋体"/>
                <w:color w:val="auto"/>
                <w:sz w:val="21"/>
                <w:szCs w:val="21"/>
                <w:highlight w:val="none"/>
                <w:lang w:val="en-US" w:eastAsia="zh-CN"/>
              </w:rPr>
              <w:t>正面评价</w:t>
            </w:r>
            <w:r>
              <w:rPr>
                <w:rFonts w:hint="eastAsia" w:ascii="宋体" w:hAnsi="宋体" w:eastAsia="宋体" w:cs="宋体"/>
                <w:color w:val="auto"/>
                <w:sz w:val="21"/>
                <w:szCs w:val="21"/>
                <w:highlight w:val="none"/>
                <w:lang w:val="en-US" w:eastAsia="zh-CN"/>
              </w:rPr>
              <w:t>得2分，最高得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561A309D">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注：须提供合同甲方（或项目委托方）盖章的用户评价或评估考核材料</w:t>
            </w:r>
            <w:r>
              <w:rPr>
                <w:rFonts w:hint="eastAsia" w:ascii="宋体" w:hAnsi="宋体" w:cs="宋体"/>
                <w:b/>
                <w:bCs/>
                <w:color w:val="auto"/>
                <w:sz w:val="21"/>
                <w:szCs w:val="21"/>
                <w:highlight w:val="none"/>
                <w:lang w:val="en-US" w:eastAsia="zh-CN"/>
              </w:rPr>
              <w:t>复印</w:t>
            </w:r>
            <w:r>
              <w:rPr>
                <w:rFonts w:hint="eastAsia" w:ascii="宋体" w:hAnsi="宋体" w:eastAsia="宋体" w:cs="宋体"/>
                <w:b/>
                <w:bCs/>
                <w:color w:val="auto"/>
                <w:sz w:val="21"/>
                <w:szCs w:val="21"/>
                <w:highlight w:val="none"/>
                <w:lang w:val="en-US" w:eastAsia="zh-CN"/>
              </w:rPr>
              <w:t>件并加盖</w:t>
            </w:r>
            <w:r>
              <w:rPr>
                <w:rFonts w:hint="eastAsia" w:ascii="宋体" w:hAnsi="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lang w:val="en-US" w:eastAsia="zh-CN"/>
              </w:rPr>
              <w:t>公章作为证明材料，不提供</w:t>
            </w:r>
            <w:r>
              <w:rPr>
                <w:rFonts w:hint="eastAsia" w:ascii="宋体" w:hAnsi="宋体" w:cs="宋体"/>
                <w:b/>
                <w:bCs/>
                <w:color w:val="auto"/>
                <w:sz w:val="21"/>
                <w:szCs w:val="21"/>
                <w:highlight w:val="none"/>
                <w:lang w:val="en-US" w:eastAsia="zh-CN"/>
              </w:rPr>
              <w:t>或未按照要求提供的均</w:t>
            </w:r>
            <w:r>
              <w:rPr>
                <w:rFonts w:hint="eastAsia" w:ascii="宋体" w:hAnsi="宋体" w:eastAsia="宋体" w:cs="宋体"/>
                <w:b/>
                <w:bCs/>
                <w:color w:val="auto"/>
                <w:sz w:val="21"/>
                <w:szCs w:val="21"/>
                <w:highlight w:val="none"/>
                <w:lang w:val="en-US" w:eastAsia="zh-CN"/>
              </w:rPr>
              <w:t>不得分。</w:t>
            </w:r>
          </w:p>
        </w:tc>
      </w:tr>
    </w:tbl>
    <w:p w14:paraId="5EAB528E">
      <w:pPr>
        <w:snapToGrid w:val="0"/>
        <w:spacing w:line="360" w:lineRule="auto"/>
        <w:ind w:left="210" w:leftChars="100"/>
        <w:rPr>
          <w:rFonts w:hint="eastAsia" w:ascii="宋体" w:cs="宋体"/>
          <w:snapToGrid w:val="0"/>
          <w:color w:val="auto"/>
          <w:kern w:val="0"/>
        </w:rPr>
      </w:pPr>
      <w:r>
        <w:rPr>
          <w:rFonts w:hint="eastAsia" w:ascii="宋体" w:cs="宋体"/>
          <w:snapToGrid w:val="0"/>
          <w:color w:val="auto"/>
          <w:kern w:val="0"/>
        </w:rPr>
        <w:t>备注：</w:t>
      </w:r>
    </w:p>
    <w:p w14:paraId="42893776">
      <w:pPr>
        <w:numPr>
          <w:ilvl w:val="0"/>
          <w:numId w:val="29"/>
        </w:numPr>
        <w:snapToGrid w:val="0"/>
        <w:spacing w:line="360" w:lineRule="auto"/>
        <w:rPr>
          <w:rFonts w:hint="eastAsia" w:ascii="宋体" w:hAnsi="宋体"/>
          <w:bCs/>
          <w:color w:val="auto"/>
        </w:rPr>
      </w:pPr>
      <w:r>
        <w:rPr>
          <w:rFonts w:hint="eastAsia" w:ascii="宋体" w:hAnsi="宋体"/>
          <w:bCs/>
          <w:color w:val="auto"/>
        </w:rPr>
        <w:t>招标文件要求提交的与评价指标体系相关的各类有效资料，投标人如未按要求提交的，该项评分为零分。</w:t>
      </w:r>
    </w:p>
    <w:p w14:paraId="257FF056">
      <w:pPr>
        <w:numPr>
          <w:ilvl w:val="0"/>
          <w:numId w:val="29"/>
        </w:numPr>
        <w:snapToGrid w:val="0"/>
        <w:spacing w:line="360" w:lineRule="auto"/>
        <w:rPr>
          <w:rFonts w:ascii="宋体" w:hAnsi="宋体" w:eastAsia="宋体"/>
          <w:bCs/>
          <w:color w:val="auto"/>
          <w:highlight w:val="none"/>
        </w:rPr>
      </w:pPr>
      <w:r>
        <w:rPr>
          <w:rFonts w:hint="eastAsia" w:ascii="宋体" w:hAnsi="宋体"/>
          <w:bCs/>
          <w:color w:val="auto"/>
        </w:rPr>
        <w:t>商务评分：所有评委评分分值的算术平均值（四舍五入后，</w:t>
      </w:r>
      <w:r>
        <w:rPr>
          <w:rFonts w:hint="eastAsia" w:ascii="Arial" w:hAnsi="Arial" w:cs="Arial"/>
          <w:color w:val="auto"/>
          <w:szCs w:val="20"/>
        </w:rPr>
        <w:t>小数点后保留两位有效数</w:t>
      </w:r>
      <w:r>
        <w:rPr>
          <w:rFonts w:hint="eastAsia" w:ascii="宋体" w:hAnsi="宋体"/>
          <w:bCs/>
          <w:color w:val="auto"/>
        </w:rPr>
        <w:t>）</w:t>
      </w:r>
      <w:r>
        <w:rPr>
          <w:rFonts w:hint="eastAsia" w:ascii="宋体" w:hAnsi="宋体" w:eastAsia="宋体"/>
          <w:bCs/>
          <w:color w:val="auto"/>
          <w:highlight w:val="none"/>
        </w:rPr>
        <w:t>。</w:t>
      </w:r>
    </w:p>
    <w:p w14:paraId="0359E3ED">
      <w:pPr>
        <w:snapToGrid w:val="0"/>
        <w:spacing w:line="360" w:lineRule="auto"/>
        <w:ind w:left="210" w:leftChars="100"/>
        <w:rPr>
          <w:rFonts w:ascii="宋体" w:hAnsi="宋体"/>
          <w:bCs/>
          <w:color w:val="auto"/>
          <w:highlight w:val="none"/>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83F15B">
      <w:pPr>
        <w:adjustRightInd w:val="0"/>
        <w:snapToGrid w:val="0"/>
        <w:spacing w:before="156" w:beforeLines="50" w:after="156" w:afterLines="50" w:line="360" w:lineRule="auto"/>
        <w:jc w:val="center"/>
        <w:rPr>
          <w:rFonts w:hint="eastAsia" w:ascii="黑体" w:hAnsi="宋体" w:eastAsia="黑体" w:cs="宋体"/>
          <w:color w:val="auto"/>
          <w:sz w:val="28"/>
          <w:szCs w:val="28"/>
          <w:lang w:eastAsia="zh-CN"/>
        </w:rPr>
      </w:pPr>
      <w:r>
        <w:rPr>
          <w:rFonts w:hint="eastAsia" w:ascii="黑体" w:hAnsi="宋体" w:eastAsia="黑体" w:cs="宋体"/>
          <w:color w:val="auto"/>
          <w:sz w:val="28"/>
          <w:szCs w:val="28"/>
        </w:rPr>
        <w:t>价 格 评 分 表</w:t>
      </w:r>
    </w:p>
    <w:p w14:paraId="746486F6">
      <w:pPr>
        <w:adjustRightInd w:val="0"/>
        <w:snapToGrid w:val="0"/>
        <w:spacing w:before="156" w:beforeLines="50" w:after="156" w:afterLines="50" w:line="360" w:lineRule="auto"/>
        <w:jc w:val="center"/>
        <w:rPr>
          <w:rFonts w:hint="eastAsia" w:ascii="黑体" w:hAnsi="宋体" w:eastAsia="黑体" w:cs="宋体"/>
          <w:color w:val="auto"/>
          <w:sz w:val="28"/>
          <w:szCs w:val="28"/>
        </w:rPr>
      </w:pPr>
      <w:r>
        <w:rPr>
          <w:rFonts w:hint="eastAsia" w:ascii="黑体" w:hAnsi="宋体" w:eastAsia="黑体" w:cs="宋体"/>
          <w:color w:val="auto"/>
          <w:sz w:val="28"/>
          <w:szCs w:val="28"/>
        </w:rPr>
        <w:t>（</w:t>
      </w:r>
      <w:r>
        <w:rPr>
          <w:rFonts w:hint="eastAsia" w:ascii="黑体" w:hAnsi="宋体" w:eastAsia="黑体" w:cs="宋体"/>
          <w:color w:val="auto"/>
          <w:sz w:val="28"/>
          <w:szCs w:val="28"/>
          <w:lang w:val="en-US" w:eastAsia="zh-CN"/>
        </w:rPr>
        <w:t>40</w:t>
      </w:r>
      <w:r>
        <w:rPr>
          <w:rFonts w:hint="eastAsia" w:ascii="黑体" w:hAnsi="宋体" w:eastAsia="黑体" w:cs="宋体"/>
          <w:color w:val="auto"/>
          <w:sz w:val="28"/>
          <w:szCs w:val="28"/>
        </w:rPr>
        <w:t>分）</w:t>
      </w:r>
    </w:p>
    <w:p w14:paraId="23E9D7E5">
      <w:pPr>
        <w:numPr>
          <w:ilvl w:val="0"/>
          <w:numId w:val="0"/>
        </w:numPr>
        <w:adjustRightInd w:val="0"/>
        <w:snapToGrid w:val="0"/>
        <w:spacing w:line="360" w:lineRule="auto"/>
        <w:ind w:leftChars="0" w:firstLine="420" w:firstLineChars="200"/>
        <w:rPr>
          <w:rFonts w:ascii="宋体" w:hAnsi="宋体"/>
          <w:bCs/>
          <w:color w:val="auto"/>
        </w:rPr>
      </w:pPr>
      <w:r>
        <w:rPr>
          <w:rFonts w:ascii="宋体" w:hAnsi="宋体"/>
          <w:bCs/>
          <w:color w:val="auto"/>
          <w:highlight w:val="none"/>
        </w:rPr>
        <w:t>综合评分法中的价格分统一采用低价优先法计算，即满足招标文件要求</w:t>
      </w:r>
      <w:r>
        <w:rPr>
          <w:rFonts w:hint="eastAsia" w:ascii="宋体" w:hAnsi="宋体"/>
          <w:bCs/>
          <w:color w:val="auto"/>
          <w:highlight w:val="none"/>
        </w:rPr>
        <w:t>（通过资格性、符合性审查）</w:t>
      </w:r>
      <w:r>
        <w:rPr>
          <w:rFonts w:ascii="宋体" w:hAnsi="宋体"/>
          <w:bCs/>
          <w:color w:val="auto"/>
          <w:highlight w:val="none"/>
        </w:rPr>
        <w:t>且投标价格最低的</w:t>
      </w:r>
      <w:r>
        <w:rPr>
          <w:rFonts w:hint="eastAsia" w:ascii="宋体" w:hAnsi="宋体"/>
          <w:bCs/>
          <w:color w:val="auto"/>
          <w:highlight w:val="none"/>
        </w:rPr>
        <w:t>有效</w:t>
      </w:r>
      <w:r>
        <w:rPr>
          <w:rFonts w:ascii="宋体" w:hAnsi="宋体"/>
          <w:bCs/>
          <w:color w:val="auto"/>
          <w:highlight w:val="none"/>
        </w:rPr>
        <w:t>投标报价</w:t>
      </w:r>
      <w:r>
        <w:rPr>
          <w:rFonts w:hint="eastAsia" w:ascii="宋体" w:hAnsi="宋体"/>
          <w:bCs/>
          <w:color w:val="auto"/>
          <w:highlight w:val="none"/>
        </w:rPr>
        <w:t>（指价格核准后的价格，下同）</w:t>
      </w:r>
      <w:r>
        <w:rPr>
          <w:rFonts w:ascii="宋体" w:hAnsi="宋体"/>
          <w:bCs/>
          <w:color w:val="auto"/>
          <w:highlight w:val="none"/>
        </w:rPr>
        <w:t>为</w:t>
      </w:r>
      <w:r>
        <w:rPr>
          <w:rFonts w:ascii="宋体" w:hAnsi="宋体"/>
          <w:bCs/>
          <w:color w:val="auto"/>
        </w:rPr>
        <w:t>评标基准价，其价格分为满分。其他投标人的价格分统一按照下列公式计算：</w:t>
      </w:r>
    </w:p>
    <w:p w14:paraId="61E65241">
      <w:pPr>
        <w:keepNext w:val="0"/>
        <w:keepLines w:val="0"/>
        <w:pageBreakBefore w:val="0"/>
        <w:widowControl w:val="0"/>
        <w:kinsoku/>
        <w:wordWrap/>
        <w:overflowPunct/>
        <w:topLinePunct w:val="0"/>
        <w:autoSpaceDE/>
        <w:autoSpaceDN/>
        <w:bidi w:val="0"/>
        <w:adjustRightInd w:val="0"/>
        <w:snapToGrid/>
        <w:spacing w:line="480" w:lineRule="auto"/>
        <w:jc w:val="center"/>
        <w:textAlignment w:val="auto"/>
        <w:rPr>
          <w:rFonts w:hint="eastAsia" w:ascii="宋体" w:hAnsi="宋体"/>
          <w:b/>
          <w:bCs/>
          <w:color w:val="auto"/>
        </w:rPr>
      </w:pPr>
      <w:r>
        <w:rPr>
          <w:rFonts w:hint="eastAsia" w:ascii="宋体" w:hAnsi="宋体"/>
          <w:b/>
          <w:bCs/>
          <w:color w:val="auto"/>
        </w:rPr>
        <w:t>投标报价得分=</w:t>
      </w:r>
      <w:r>
        <w:rPr>
          <w:rFonts w:hint="eastAsia" w:ascii="宋体" w:hAnsi="宋体"/>
          <w:b/>
          <w:bCs/>
          <w:color w:val="auto"/>
          <w:lang w:eastAsia="zh-CN"/>
        </w:rPr>
        <w:t>（</w:t>
      </w:r>
      <w:r>
        <w:rPr>
          <w:rFonts w:hint="eastAsia" w:ascii="宋体" w:hAnsi="宋体"/>
          <w:b/>
          <w:bCs/>
          <w:color w:val="auto"/>
        </w:rPr>
        <w:t>评标基准价/投标报价</w:t>
      </w:r>
      <w:r>
        <w:rPr>
          <w:rFonts w:hint="eastAsia" w:ascii="宋体" w:hAnsi="宋体"/>
          <w:b/>
          <w:bCs/>
          <w:color w:val="auto"/>
          <w:lang w:eastAsia="zh-CN"/>
        </w:rPr>
        <w:t>）</w:t>
      </w:r>
      <w:r>
        <w:rPr>
          <w:rFonts w:hint="eastAsia" w:ascii="宋体" w:hAnsi="宋体"/>
          <w:b/>
          <w:bCs/>
          <w:color w:val="auto"/>
        </w:rPr>
        <w:t>×价格权值×100</w:t>
      </w:r>
    </w:p>
    <w:p w14:paraId="5197A66C">
      <w:pPr>
        <w:keepNext w:val="0"/>
        <w:keepLines w:val="0"/>
        <w:pageBreakBefore w:val="0"/>
        <w:widowControl w:val="0"/>
        <w:kinsoku/>
        <w:wordWrap/>
        <w:overflowPunct/>
        <w:topLinePunct w:val="0"/>
        <w:autoSpaceDE/>
        <w:autoSpaceDN/>
        <w:bidi w:val="0"/>
        <w:adjustRightInd w:val="0"/>
        <w:snapToGrid/>
        <w:spacing w:line="480" w:lineRule="auto"/>
        <w:jc w:val="center"/>
        <w:textAlignment w:val="auto"/>
        <w:rPr>
          <w:rFonts w:hint="eastAsia" w:ascii="宋体" w:hAnsi="宋体"/>
          <w:bCs/>
          <w:color w:val="auto"/>
          <w:highlight w:val="none"/>
        </w:rPr>
      </w:pPr>
      <w:r>
        <w:rPr>
          <w:rFonts w:hint="eastAsia" w:ascii="宋体" w:hAnsi="宋体"/>
          <w:bCs/>
          <w:color w:val="auto"/>
        </w:rPr>
        <w:t>备注：投标报价得分四舍五入后，</w:t>
      </w:r>
      <w:r>
        <w:rPr>
          <w:rFonts w:hint="eastAsia" w:ascii="Arial" w:hAnsi="Arial" w:cs="Arial"/>
          <w:color w:val="auto"/>
          <w:szCs w:val="20"/>
        </w:rPr>
        <w:t>小数点后保留两位有效数</w:t>
      </w:r>
      <w:r>
        <w:rPr>
          <w:rFonts w:hint="eastAsia"/>
          <w:color w:val="auto"/>
          <w:highlight w:val="none"/>
        </w:rPr>
        <w:t>。</w:t>
      </w:r>
    </w:p>
    <w:p w14:paraId="1572227B">
      <w:pPr>
        <w:keepNext w:val="0"/>
        <w:keepLines w:val="0"/>
        <w:pageBreakBefore w:val="0"/>
        <w:widowControl w:val="0"/>
        <w:kinsoku/>
        <w:wordWrap/>
        <w:overflowPunct/>
        <w:topLinePunct w:val="0"/>
        <w:autoSpaceDE/>
        <w:autoSpaceDN/>
        <w:bidi w:val="0"/>
        <w:snapToGrid/>
        <w:spacing w:line="480" w:lineRule="auto"/>
        <w:ind w:left="588"/>
        <w:textAlignment w:val="auto"/>
        <w:rPr>
          <w:rFonts w:hint="eastAsia" w:ascii="宋体" w:hAnsi="宋体"/>
          <w:b/>
          <w:color w:val="auto"/>
          <w:highlight w:val="none"/>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941A72">
      <w:pPr>
        <w:snapToGrid w:val="0"/>
        <w:spacing w:line="360" w:lineRule="auto"/>
        <w:jc w:val="center"/>
        <w:outlineLvl w:val="0"/>
        <w:rPr>
          <w:rFonts w:hint="eastAsia"/>
          <w:b/>
          <w:bCs/>
          <w:color w:val="auto"/>
          <w:sz w:val="44"/>
          <w:szCs w:val="44"/>
          <w:highlight w:val="none"/>
        </w:rPr>
      </w:pPr>
      <w:bookmarkStart w:id="4" w:name="_Toc355879665"/>
    </w:p>
    <w:p w14:paraId="2752E8CA">
      <w:pPr>
        <w:snapToGrid w:val="0"/>
        <w:spacing w:line="360" w:lineRule="auto"/>
        <w:jc w:val="center"/>
        <w:outlineLvl w:val="0"/>
        <w:rPr>
          <w:rFonts w:hint="eastAsia"/>
          <w:b/>
          <w:bCs/>
          <w:color w:val="auto"/>
          <w:sz w:val="44"/>
          <w:szCs w:val="44"/>
          <w:highlight w:val="none"/>
        </w:rPr>
      </w:pPr>
    </w:p>
    <w:p w14:paraId="4414E5A2">
      <w:pPr>
        <w:snapToGrid w:val="0"/>
        <w:spacing w:line="360" w:lineRule="auto"/>
        <w:jc w:val="center"/>
        <w:outlineLvl w:val="0"/>
        <w:rPr>
          <w:rFonts w:hint="eastAsia"/>
          <w:b/>
          <w:bCs/>
          <w:color w:val="auto"/>
          <w:sz w:val="44"/>
          <w:szCs w:val="44"/>
          <w:highlight w:val="none"/>
        </w:rPr>
      </w:pPr>
    </w:p>
    <w:p w14:paraId="43A27504">
      <w:pPr>
        <w:snapToGrid w:val="0"/>
        <w:spacing w:line="360" w:lineRule="auto"/>
        <w:jc w:val="center"/>
        <w:outlineLvl w:val="0"/>
        <w:rPr>
          <w:rFonts w:hint="eastAsia"/>
          <w:b/>
          <w:bCs/>
          <w:color w:val="auto"/>
          <w:sz w:val="44"/>
          <w:szCs w:val="44"/>
          <w:highlight w:val="none"/>
        </w:rPr>
      </w:pPr>
    </w:p>
    <w:p w14:paraId="74E7070F">
      <w:pPr>
        <w:snapToGrid w:val="0"/>
        <w:spacing w:line="360" w:lineRule="auto"/>
        <w:jc w:val="center"/>
        <w:outlineLvl w:val="0"/>
        <w:rPr>
          <w:rFonts w:hint="eastAsia"/>
          <w:b/>
          <w:bCs/>
          <w:color w:val="auto"/>
          <w:sz w:val="44"/>
          <w:szCs w:val="44"/>
          <w:highlight w:val="none"/>
        </w:rPr>
      </w:pPr>
    </w:p>
    <w:p w14:paraId="3AF4FD8E">
      <w:pPr>
        <w:snapToGrid w:val="0"/>
        <w:spacing w:line="360" w:lineRule="auto"/>
        <w:jc w:val="center"/>
        <w:outlineLvl w:val="0"/>
        <w:rPr>
          <w:b/>
          <w:bCs/>
          <w:color w:val="auto"/>
          <w:sz w:val="44"/>
          <w:szCs w:val="44"/>
          <w:highlight w:val="none"/>
        </w:rPr>
      </w:pPr>
      <w:bookmarkStart w:id="5" w:name="_Toc6052"/>
      <w:r>
        <w:rPr>
          <w:rFonts w:hint="eastAsia"/>
          <w:b/>
          <w:bCs/>
          <w:color w:val="auto"/>
          <w:sz w:val="44"/>
          <w:szCs w:val="44"/>
          <w:highlight w:val="none"/>
        </w:rPr>
        <w:t>第五章</w:t>
      </w:r>
      <w:bookmarkEnd w:id="4"/>
      <w:bookmarkEnd w:id="5"/>
    </w:p>
    <w:p w14:paraId="57E5EC62">
      <w:pPr>
        <w:snapToGrid w:val="0"/>
        <w:spacing w:line="360" w:lineRule="auto"/>
        <w:jc w:val="center"/>
        <w:outlineLvl w:val="0"/>
        <w:rPr>
          <w:b/>
          <w:bCs/>
          <w:color w:val="auto"/>
          <w:sz w:val="44"/>
          <w:szCs w:val="44"/>
          <w:highlight w:val="none"/>
        </w:rPr>
      </w:pPr>
      <w:bookmarkStart w:id="6" w:name="_Toc5615"/>
      <w:bookmarkStart w:id="7" w:name="_Toc355879666"/>
      <w:r>
        <w:rPr>
          <w:rFonts w:hint="eastAsia"/>
          <w:b/>
          <w:bCs/>
          <w:color w:val="auto"/>
          <w:sz w:val="44"/>
          <w:szCs w:val="44"/>
          <w:highlight w:val="none"/>
        </w:rPr>
        <w:t>投 标 人 须 知</w:t>
      </w:r>
      <w:bookmarkEnd w:id="6"/>
      <w:bookmarkEnd w:id="7"/>
    </w:p>
    <w:p w14:paraId="7E7DEB96">
      <w:pPr>
        <w:numPr>
          <w:ilvl w:val="0"/>
          <w:numId w:val="30"/>
        </w:numPr>
        <w:autoSpaceDE w:val="0"/>
        <w:autoSpaceDN w:val="0"/>
        <w:adjustRightInd w:val="0"/>
        <w:snapToGrid w:val="0"/>
        <w:spacing w:before="312" w:beforeLines="100" w:after="312" w:afterLines="100" w:line="360" w:lineRule="auto"/>
        <w:jc w:val="center"/>
        <w:outlineLvl w:val="0"/>
        <w:rPr>
          <w:rFonts w:ascii="宋体" w:hAnsi="宋体"/>
          <w:b/>
          <w:color w:val="auto"/>
          <w:sz w:val="28"/>
          <w:szCs w:val="28"/>
          <w:highlight w:val="none"/>
        </w:rPr>
      </w:pPr>
      <w:r>
        <w:rPr>
          <w:rFonts w:ascii="黑体" w:eastAsia="黑体" w:cs="黑体"/>
          <w:b/>
          <w:bCs/>
          <w:color w:val="auto"/>
          <w:sz w:val="52"/>
          <w:szCs w:val="52"/>
          <w:highlight w:val="none"/>
        </w:rPr>
        <w:br w:type="page"/>
      </w:r>
      <w:bookmarkStart w:id="8" w:name="_Toc12077"/>
      <w:bookmarkStart w:id="9" w:name="_Toc410722638"/>
      <w:bookmarkStart w:id="10" w:name="_Toc2872"/>
      <w:bookmarkStart w:id="11" w:name="_Toc9598"/>
      <w:bookmarkStart w:id="12" w:name="_Toc355879708"/>
      <w:r>
        <w:rPr>
          <w:rFonts w:ascii="宋体" w:hAnsi="宋体"/>
          <w:b/>
          <w:color w:val="auto"/>
          <w:sz w:val="28"/>
          <w:szCs w:val="28"/>
          <w:highlight w:val="none"/>
          <w:lang w:eastAsia="zh-TW"/>
        </w:rPr>
        <w:t>说 明</w:t>
      </w:r>
      <w:bookmarkEnd w:id="8"/>
      <w:bookmarkEnd w:id="9"/>
      <w:bookmarkEnd w:id="10"/>
      <w:bookmarkEnd w:id="11"/>
    </w:p>
    <w:p w14:paraId="3A47535E">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3" w:name="_Toc355879668"/>
      <w:bookmarkStart w:id="14" w:name="_Toc11604"/>
      <w:bookmarkStart w:id="15" w:name="_Toc3530"/>
      <w:bookmarkStart w:id="16" w:name="_Toc27745"/>
      <w:bookmarkStart w:id="17" w:name="_Toc410722639"/>
      <w:r>
        <w:rPr>
          <w:rFonts w:hint="eastAsia" w:ascii="宋体" w:hAnsi="宋体"/>
          <w:b/>
          <w:bCs/>
          <w:color w:val="auto"/>
          <w:szCs w:val="21"/>
          <w:highlight w:val="none"/>
        </w:rPr>
        <w:t>适用范围</w:t>
      </w:r>
      <w:bookmarkEnd w:id="13"/>
      <w:bookmarkEnd w:id="14"/>
      <w:bookmarkEnd w:id="15"/>
      <w:bookmarkEnd w:id="16"/>
      <w:bookmarkEnd w:id="17"/>
    </w:p>
    <w:p w14:paraId="228129D0">
      <w:pPr>
        <w:numPr>
          <w:ilvl w:val="1"/>
          <w:numId w:val="31"/>
        </w:numPr>
        <w:autoSpaceDE w:val="0"/>
        <w:autoSpaceDN w:val="0"/>
        <w:adjustRightInd w:val="0"/>
        <w:snapToGrid w:val="0"/>
        <w:spacing w:line="360" w:lineRule="auto"/>
        <w:jc w:val="left"/>
        <w:rPr>
          <w:rFonts w:hint="eastAsia" w:ascii="宋体" w:hAnsi="宋体"/>
          <w:b/>
          <w:bCs/>
          <w:color w:val="auto"/>
          <w:szCs w:val="21"/>
          <w:highlight w:val="none"/>
        </w:rPr>
      </w:pPr>
      <w:r>
        <w:rPr>
          <w:rFonts w:hint="eastAsia" w:ascii="宋体" w:hAnsi="宋体"/>
          <w:color w:val="auto"/>
          <w:szCs w:val="21"/>
          <w:highlight w:val="none"/>
        </w:rPr>
        <w:t>本招标文件适用于本投标邀请函中所述项目的招投标</w:t>
      </w:r>
      <w:r>
        <w:rPr>
          <w:rFonts w:ascii="宋体" w:hAnsi="宋体"/>
          <w:color w:val="auto"/>
          <w:szCs w:val="21"/>
          <w:highlight w:val="none"/>
        </w:rPr>
        <w:t>活动</w:t>
      </w:r>
      <w:r>
        <w:rPr>
          <w:rFonts w:hint="eastAsia" w:ascii="宋体" w:hAnsi="宋体"/>
          <w:color w:val="auto"/>
          <w:szCs w:val="21"/>
          <w:highlight w:val="none"/>
        </w:rPr>
        <w:t>。</w:t>
      </w:r>
    </w:p>
    <w:p w14:paraId="5F2255DA">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8" w:name="_Toc26002"/>
      <w:bookmarkStart w:id="19" w:name="_Toc410722640"/>
      <w:bookmarkStart w:id="20" w:name="_Toc7709"/>
      <w:bookmarkStart w:id="21" w:name="_Toc355879669"/>
      <w:bookmarkStart w:id="22" w:name="_Toc13349"/>
      <w:r>
        <w:rPr>
          <w:rFonts w:hint="eastAsia" w:ascii="宋体" w:hAnsi="宋体"/>
          <w:b/>
          <w:bCs/>
          <w:color w:val="auto"/>
          <w:szCs w:val="21"/>
          <w:highlight w:val="none"/>
        </w:rPr>
        <w:t>监管部门及招标采购单位</w:t>
      </w:r>
      <w:bookmarkEnd w:id="18"/>
      <w:bookmarkEnd w:id="19"/>
      <w:bookmarkEnd w:id="20"/>
      <w:bookmarkEnd w:id="21"/>
      <w:bookmarkEnd w:id="22"/>
    </w:p>
    <w:p w14:paraId="7EBCF7C2">
      <w:pPr>
        <w:numPr>
          <w:ilvl w:val="1"/>
          <w:numId w:val="31"/>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监管部门指招标人或其上级主管单位纪律部门</w:t>
      </w:r>
      <w:r>
        <w:rPr>
          <w:rFonts w:hint="eastAsia" w:ascii="宋体" w:hAnsi="宋体" w:cs="宋体"/>
          <w:color w:val="auto"/>
          <w:szCs w:val="21"/>
          <w:highlight w:val="none"/>
        </w:rPr>
        <w:t>。</w:t>
      </w:r>
    </w:p>
    <w:p w14:paraId="6890C4CE">
      <w:pPr>
        <w:numPr>
          <w:ilvl w:val="1"/>
          <w:numId w:val="31"/>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招标采购单位</w:t>
      </w:r>
      <w:r>
        <w:rPr>
          <w:rFonts w:hint="eastAsia" w:ascii="宋体" w:hAnsi="宋体"/>
          <w:color w:val="auto"/>
          <w:szCs w:val="21"/>
          <w:highlight w:val="none"/>
        </w:rPr>
        <w:t>指招标人及招标代理机构。</w:t>
      </w:r>
    </w:p>
    <w:p w14:paraId="301222A6">
      <w:pPr>
        <w:numPr>
          <w:ilvl w:val="1"/>
          <w:numId w:val="31"/>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招标人指进行招标的单位</w:t>
      </w:r>
      <w:r>
        <w:rPr>
          <w:rFonts w:hint="eastAsia" w:ascii="宋体" w:hAnsi="宋体" w:cs="宋体"/>
          <w:color w:val="auto"/>
          <w:szCs w:val="21"/>
          <w:highlight w:val="none"/>
        </w:rPr>
        <w:t>。</w:t>
      </w:r>
    </w:p>
    <w:p w14:paraId="6F4D698F">
      <w:pPr>
        <w:numPr>
          <w:ilvl w:val="1"/>
          <w:numId w:val="31"/>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招标代理机构是指依法取得招标资格、从事招标代理业务并提供相关服务的专门机构。</w:t>
      </w:r>
    </w:p>
    <w:p w14:paraId="5A425A3A">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23" w:name="_Toc410722641"/>
      <w:bookmarkStart w:id="24" w:name="_Toc12119"/>
      <w:bookmarkStart w:id="25" w:name="_Toc11729"/>
      <w:bookmarkStart w:id="26" w:name="_Toc355879670"/>
      <w:bookmarkStart w:id="27" w:name="_Toc22536"/>
      <w:r>
        <w:rPr>
          <w:rFonts w:hint="eastAsia" w:ascii="宋体" w:hAnsi="宋体"/>
          <w:b/>
          <w:bCs/>
          <w:color w:val="auto"/>
          <w:szCs w:val="21"/>
          <w:highlight w:val="none"/>
        </w:rPr>
        <w:t>合格的投标人</w:t>
      </w:r>
      <w:bookmarkEnd w:id="23"/>
      <w:bookmarkEnd w:id="24"/>
      <w:bookmarkEnd w:id="25"/>
      <w:bookmarkEnd w:id="26"/>
      <w:bookmarkEnd w:id="27"/>
    </w:p>
    <w:p w14:paraId="032BCF61">
      <w:pPr>
        <w:numPr>
          <w:ilvl w:val="1"/>
          <w:numId w:val="31"/>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投标人是响应招标并且符合招标文件规定资格条件和参加投标竞争的法人、其他组织或者自然人。</w:t>
      </w:r>
    </w:p>
    <w:p w14:paraId="674833D2">
      <w:pPr>
        <w:numPr>
          <w:ilvl w:val="1"/>
          <w:numId w:val="31"/>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中标人是指经法定程序确定并授予合同的投标人。</w:t>
      </w:r>
    </w:p>
    <w:p w14:paraId="350357F5">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28" w:name="_Toc410722642"/>
      <w:bookmarkStart w:id="29" w:name="_Toc8461"/>
      <w:bookmarkStart w:id="30" w:name="_Toc21958"/>
      <w:bookmarkStart w:id="31" w:name="_Toc322096862"/>
      <w:bookmarkStart w:id="32" w:name="_Toc20422"/>
      <w:r>
        <w:rPr>
          <w:rFonts w:hint="eastAsia" w:ascii="宋体" w:hAnsi="宋体"/>
          <w:b/>
          <w:bCs/>
          <w:color w:val="auto"/>
          <w:szCs w:val="21"/>
          <w:highlight w:val="none"/>
        </w:rPr>
        <w:t>合格的服务和货物</w:t>
      </w:r>
      <w:bookmarkEnd w:id="28"/>
      <w:bookmarkEnd w:id="29"/>
      <w:bookmarkEnd w:id="30"/>
      <w:bookmarkEnd w:id="31"/>
      <w:bookmarkEnd w:id="32"/>
    </w:p>
    <w:p w14:paraId="537E52B2">
      <w:pPr>
        <w:numPr>
          <w:ilvl w:val="1"/>
          <w:numId w:val="31"/>
        </w:numPr>
        <w:tabs>
          <w:tab w:val="left" w:pos="540"/>
        </w:tabs>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“服务”是指投标人按招标文件规定完成的全部服务内容，其中包括完成服务所需的货物，及须承担的技术支持、培训和其它伴随服务。</w:t>
      </w:r>
    </w:p>
    <w:p w14:paraId="49AE1D53">
      <w:pPr>
        <w:numPr>
          <w:ilvl w:val="1"/>
          <w:numId w:val="31"/>
        </w:numPr>
        <w:tabs>
          <w:tab w:val="left" w:pos="540"/>
        </w:tabs>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14:paraId="4089910C">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33" w:name="_Toc410722643"/>
      <w:bookmarkStart w:id="34" w:name="_Toc20909"/>
      <w:bookmarkStart w:id="35" w:name="_Toc355879672"/>
      <w:bookmarkStart w:id="36" w:name="_Toc22814"/>
      <w:bookmarkStart w:id="37" w:name="_Toc19819"/>
      <w:r>
        <w:rPr>
          <w:rFonts w:hint="eastAsia" w:ascii="宋体" w:hAnsi="宋体"/>
          <w:b/>
          <w:bCs/>
          <w:color w:val="auto"/>
          <w:szCs w:val="21"/>
          <w:highlight w:val="none"/>
        </w:rPr>
        <w:t>投标费用</w:t>
      </w:r>
      <w:bookmarkEnd w:id="33"/>
      <w:bookmarkEnd w:id="34"/>
      <w:bookmarkEnd w:id="35"/>
      <w:bookmarkEnd w:id="36"/>
      <w:bookmarkEnd w:id="37"/>
    </w:p>
    <w:p w14:paraId="6E2886EB">
      <w:pPr>
        <w:numPr>
          <w:ilvl w:val="1"/>
          <w:numId w:val="31"/>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投标人应承担所有与准备和参加投标有关的费用。不论投标的结果如何</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招标采购单位均无义务和责任承担这些费用</w:t>
      </w:r>
      <w:r>
        <w:rPr>
          <w:rFonts w:hint="eastAsia" w:ascii="宋体" w:hAnsi="宋体" w:cs="宋体"/>
          <w:color w:val="auto"/>
          <w:szCs w:val="21"/>
          <w:highlight w:val="none"/>
        </w:rPr>
        <w:t>。</w:t>
      </w:r>
    </w:p>
    <w:p w14:paraId="226CA825">
      <w:pPr>
        <w:numPr>
          <w:ilvl w:val="0"/>
          <w:numId w:val="30"/>
        </w:numPr>
        <w:autoSpaceDE w:val="0"/>
        <w:autoSpaceDN w:val="0"/>
        <w:adjustRightInd w:val="0"/>
        <w:snapToGrid w:val="0"/>
        <w:spacing w:before="312" w:beforeLines="100" w:after="312" w:afterLines="100" w:line="360" w:lineRule="auto"/>
        <w:jc w:val="center"/>
        <w:outlineLvl w:val="0"/>
        <w:rPr>
          <w:rFonts w:ascii="宋体" w:hAnsi="宋体"/>
          <w:b/>
          <w:color w:val="auto"/>
          <w:sz w:val="28"/>
          <w:szCs w:val="28"/>
          <w:highlight w:val="none"/>
          <w:lang w:eastAsia="zh-TW"/>
        </w:rPr>
      </w:pPr>
      <w:bookmarkStart w:id="38" w:name="_Toc410722644"/>
      <w:bookmarkStart w:id="39" w:name="_Toc19612"/>
      <w:bookmarkStart w:id="40" w:name="_Toc4491"/>
      <w:bookmarkStart w:id="41" w:name="_Toc3256"/>
      <w:r>
        <w:rPr>
          <w:rFonts w:hint="eastAsia" w:ascii="宋体" w:hAnsi="宋体"/>
          <w:b/>
          <w:color w:val="auto"/>
          <w:sz w:val="28"/>
          <w:szCs w:val="28"/>
          <w:highlight w:val="none"/>
          <w:lang w:eastAsia="zh-TW"/>
        </w:rPr>
        <w:t>招标文件</w:t>
      </w:r>
      <w:bookmarkEnd w:id="38"/>
      <w:bookmarkEnd w:id="39"/>
      <w:bookmarkEnd w:id="40"/>
      <w:bookmarkEnd w:id="41"/>
    </w:p>
    <w:p w14:paraId="4730830D">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42" w:name="_Toc16028"/>
      <w:bookmarkStart w:id="43" w:name="_Toc14423"/>
      <w:bookmarkStart w:id="44" w:name="_Toc410722645"/>
      <w:bookmarkStart w:id="45" w:name="_Toc355879674"/>
      <w:bookmarkStart w:id="46" w:name="_Toc6725"/>
      <w:r>
        <w:rPr>
          <w:rFonts w:hint="eastAsia" w:ascii="宋体" w:hAnsi="宋体"/>
          <w:b/>
          <w:bCs/>
          <w:color w:val="auto"/>
          <w:szCs w:val="21"/>
          <w:highlight w:val="none"/>
        </w:rPr>
        <w:t>招标文件的编制与构成</w:t>
      </w:r>
      <w:bookmarkEnd w:id="42"/>
      <w:bookmarkEnd w:id="43"/>
      <w:bookmarkEnd w:id="44"/>
      <w:bookmarkEnd w:id="45"/>
      <w:bookmarkEnd w:id="46"/>
    </w:p>
    <w:p w14:paraId="73E15934">
      <w:pPr>
        <w:numPr>
          <w:ilvl w:val="1"/>
          <w:numId w:val="31"/>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要求提供的货物、</w:t>
      </w:r>
      <w:r>
        <w:rPr>
          <w:rFonts w:hint="eastAsia" w:ascii="宋体" w:hAnsi="宋体" w:cs="宋体"/>
          <w:color w:val="auto"/>
          <w:szCs w:val="21"/>
          <w:highlight w:val="none"/>
        </w:rPr>
        <w:t>采购</w:t>
      </w:r>
      <w:r>
        <w:rPr>
          <w:rFonts w:hint="eastAsia" w:ascii="宋体" w:hAnsi="宋体" w:cs="宋体"/>
          <w:color w:val="auto"/>
          <w:szCs w:val="21"/>
          <w:highlight w:val="none"/>
          <w:lang w:eastAsia="zh-TW"/>
        </w:rPr>
        <w:t>过程和合同条件在招标文件中均有说明。招标文件以中文文字编写。</w:t>
      </w:r>
    </w:p>
    <w:p w14:paraId="4B0AFAFA">
      <w:pPr>
        <w:snapToGrid w:val="0"/>
        <w:spacing w:line="360" w:lineRule="auto"/>
        <w:ind w:left="571" w:leftChars="272"/>
        <w:rPr>
          <w:rFonts w:ascii="宋体" w:hAnsi="宋体"/>
          <w:color w:val="auto"/>
          <w:szCs w:val="21"/>
          <w:highlight w:val="none"/>
        </w:rPr>
      </w:pPr>
      <w:r>
        <w:rPr>
          <w:rFonts w:hint="eastAsia" w:ascii="宋体" w:hAnsi="宋体" w:cs="宋体"/>
          <w:color w:val="auto"/>
          <w:szCs w:val="21"/>
          <w:highlight w:val="none"/>
          <w:lang w:eastAsia="zh-TW"/>
        </w:rPr>
        <w:t>招标文件共</w:t>
      </w:r>
      <w:r>
        <w:rPr>
          <w:rFonts w:hint="eastAsia" w:ascii="宋体" w:hAnsi="宋体" w:cs="宋体"/>
          <w:color w:val="auto"/>
          <w:szCs w:val="21"/>
          <w:highlight w:val="none"/>
        </w:rPr>
        <w:t>七</w:t>
      </w:r>
      <w:r>
        <w:rPr>
          <w:rFonts w:hint="eastAsia" w:ascii="宋体" w:hAnsi="宋体" w:cs="宋体"/>
          <w:color w:val="auto"/>
          <w:szCs w:val="21"/>
          <w:highlight w:val="none"/>
          <w:lang w:eastAsia="zh-TW"/>
        </w:rPr>
        <w:t>章</w:t>
      </w:r>
      <w:r>
        <w:rPr>
          <w:rFonts w:hint="eastAsia" w:ascii="宋体" w:hAnsi="宋体" w:cs="宋体"/>
          <w:color w:val="auto"/>
          <w:szCs w:val="21"/>
          <w:highlight w:val="none"/>
        </w:rPr>
        <w:t>，由下列文件以及在招标过程中发出的澄清、修改和补充文件组成，</w:t>
      </w:r>
      <w:r>
        <w:rPr>
          <w:rFonts w:hint="eastAsia" w:ascii="宋体" w:hAnsi="宋体" w:cs="宋体"/>
          <w:color w:val="auto"/>
          <w:szCs w:val="21"/>
          <w:highlight w:val="none"/>
          <w:lang w:eastAsia="zh-TW"/>
        </w:rPr>
        <w:t>内容如下</w:t>
      </w:r>
      <w:r>
        <w:rPr>
          <w:rFonts w:hint="eastAsia" w:ascii="宋体" w:hAnsi="宋体" w:cs="宋体"/>
          <w:color w:val="auto"/>
          <w:szCs w:val="21"/>
          <w:highlight w:val="none"/>
        </w:rPr>
        <w:t>：</w:t>
      </w:r>
    </w:p>
    <w:p w14:paraId="32CAD9A6">
      <w:pPr>
        <w:snapToGrid w:val="0"/>
        <w:spacing w:line="360" w:lineRule="auto"/>
        <w:ind w:left="445" w:leftChars="212" w:firstLine="143"/>
        <w:rPr>
          <w:rFonts w:ascii="宋体" w:hAnsi="宋体"/>
          <w:color w:val="auto"/>
          <w:szCs w:val="21"/>
          <w:highlight w:val="none"/>
        </w:rPr>
      </w:pPr>
      <w:r>
        <w:rPr>
          <w:rFonts w:hint="eastAsia" w:ascii="宋体" w:hAnsi="宋体" w:cs="宋体"/>
          <w:color w:val="auto"/>
          <w:szCs w:val="21"/>
          <w:highlight w:val="none"/>
          <w:lang w:eastAsia="zh-TW"/>
        </w:rPr>
        <w:t>第一章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投标邀请函</w:t>
      </w:r>
    </w:p>
    <w:p w14:paraId="203B12CC">
      <w:pPr>
        <w:snapToGrid w:val="0"/>
        <w:spacing w:line="360" w:lineRule="auto"/>
        <w:ind w:left="688" w:leftChars="270" w:hanging="121"/>
        <w:rPr>
          <w:rFonts w:ascii="宋体" w:hAnsi="宋体"/>
          <w:color w:val="auto"/>
          <w:szCs w:val="21"/>
          <w:highlight w:val="none"/>
        </w:rPr>
      </w:pPr>
      <w:r>
        <w:rPr>
          <w:rFonts w:hint="eastAsia" w:ascii="宋体" w:hAnsi="宋体" w:cs="宋体"/>
          <w:color w:val="auto"/>
          <w:szCs w:val="21"/>
          <w:highlight w:val="none"/>
          <w:lang w:eastAsia="zh-TW"/>
        </w:rPr>
        <w:t>第二章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投标资料表</w:t>
      </w:r>
    </w:p>
    <w:p w14:paraId="35A8C1AD">
      <w:pPr>
        <w:snapToGrid w:val="0"/>
        <w:spacing w:line="360" w:lineRule="auto"/>
        <w:ind w:left="688" w:leftChars="270" w:hanging="121"/>
        <w:rPr>
          <w:rFonts w:hint="eastAsia" w:ascii="宋体" w:hAnsi="宋体"/>
          <w:color w:val="auto"/>
          <w:szCs w:val="21"/>
          <w:highlight w:val="none"/>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三</w:t>
      </w:r>
      <w:r>
        <w:rPr>
          <w:rFonts w:hint="eastAsia" w:ascii="宋体" w:hAnsi="宋体" w:cs="宋体"/>
          <w:color w:val="auto"/>
          <w:szCs w:val="21"/>
          <w:highlight w:val="none"/>
          <w:lang w:eastAsia="zh-TW"/>
        </w:rPr>
        <w:t>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用户需求书</w:t>
      </w:r>
    </w:p>
    <w:p w14:paraId="67E112B4">
      <w:pPr>
        <w:snapToGrid w:val="0"/>
        <w:spacing w:line="360" w:lineRule="auto"/>
        <w:ind w:left="688" w:leftChars="270" w:hanging="121"/>
        <w:rPr>
          <w:rFonts w:ascii="宋体" w:hAnsi="宋体"/>
          <w:color w:val="auto"/>
          <w:szCs w:val="21"/>
          <w:highlight w:val="none"/>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四</w:t>
      </w:r>
      <w:r>
        <w:rPr>
          <w:rFonts w:hint="eastAsia" w:ascii="宋体" w:hAnsi="宋体" w:cs="宋体"/>
          <w:color w:val="auto"/>
          <w:szCs w:val="21"/>
          <w:highlight w:val="none"/>
          <w:lang w:eastAsia="zh-TW"/>
        </w:rPr>
        <w:t>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评分</w:t>
      </w:r>
      <w:r>
        <w:rPr>
          <w:rFonts w:hint="eastAsia" w:ascii="宋体" w:hAnsi="宋体" w:cs="宋体"/>
          <w:color w:val="auto"/>
          <w:szCs w:val="21"/>
          <w:highlight w:val="none"/>
        </w:rPr>
        <w:t>体系</w:t>
      </w:r>
      <w:r>
        <w:rPr>
          <w:rFonts w:hint="eastAsia" w:ascii="宋体" w:hAnsi="宋体" w:cs="宋体"/>
          <w:color w:val="auto"/>
          <w:szCs w:val="21"/>
          <w:highlight w:val="none"/>
          <w:lang w:eastAsia="zh-TW"/>
        </w:rPr>
        <w:t>和标准</w:t>
      </w:r>
    </w:p>
    <w:p w14:paraId="721B8C89">
      <w:pPr>
        <w:snapToGrid w:val="0"/>
        <w:spacing w:line="360" w:lineRule="auto"/>
        <w:ind w:left="688" w:leftChars="270" w:hanging="121"/>
        <w:rPr>
          <w:rFonts w:ascii="宋体" w:hAnsi="宋体"/>
          <w:color w:val="auto"/>
          <w:szCs w:val="21"/>
          <w:highlight w:val="none"/>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五</w:t>
      </w:r>
      <w:r>
        <w:rPr>
          <w:rFonts w:hint="eastAsia" w:ascii="宋体" w:hAnsi="宋体" w:cs="宋体"/>
          <w:color w:val="auto"/>
          <w:szCs w:val="21"/>
          <w:highlight w:val="none"/>
          <w:lang w:eastAsia="zh-TW"/>
        </w:rPr>
        <w:t>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投标人须知</w:t>
      </w:r>
    </w:p>
    <w:p w14:paraId="162184C2">
      <w:pPr>
        <w:snapToGrid w:val="0"/>
        <w:spacing w:line="360" w:lineRule="auto"/>
        <w:ind w:left="688" w:leftChars="270" w:hanging="121"/>
        <w:rPr>
          <w:rFonts w:hint="eastAsia" w:ascii="宋体" w:hAnsi="宋体" w:cs="宋体"/>
          <w:color w:val="auto"/>
          <w:szCs w:val="21"/>
          <w:highlight w:val="none"/>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六</w:t>
      </w:r>
      <w:r>
        <w:rPr>
          <w:rFonts w:hint="eastAsia" w:ascii="宋体" w:hAnsi="宋体" w:cs="宋体"/>
          <w:color w:val="auto"/>
          <w:szCs w:val="21"/>
          <w:highlight w:val="none"/>
          <w:lang w:eastAsia="zh-TW"/>
        </w:rPr>
        <w:t>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合同条款</w:t>
      </w:r>
    </w:p>
    <w:p w14:paraId="76A39273">
      <w:pPr>
        <w:snapToGrid w:val="0"/>
        <w:spacing w:line="360" w:lineRule="auto"/>
        <w:ind w:left="688" w:leftChars="270" w:hanging="121"/>
        <w:rPr>
          <w:rFonts w:hint="eastAsia" w:ascii="宋体" w:hAnsi="宋体"/>
          <w:color w:val="auto"/>
          <w:szCs w:val="21"/>
          <w:highlight w:val="none"/>
        </w:rPr>
      </w:pPr>
      <w:r>
        <w:rPr>
          <w:rFonts w:hint="eastAsia" w:ascii="宋体" w:hAnsi="宋体" w:cs="宋体"/>
          <w:color w:val="auto"/>
          <w:szCs w:val="21"/>
          <w:highlight w:val="none"/>
        </w:rPr>
        <w:t>第七章　投标文件格式</w:t>
      </w:r>
    </w:p>
    <w:p w14:paraId="722C0DC6">
      <w:pPr>
        <w:numPr>
          <w:ilvl w:val="1"/>
          <w:numId w:val="31"/>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投标人应认真阅读、并充分理解招标文件的全部内容（包括所有的补充、修改内容重要事项、格式、条款和</w:t>
      </w:r>
      <w:r>
        <w:rPr>
          <w:rFonts w:hint="eastAsia" w:ascii="宋体" w:hAnsi="宋体" w:cs="宋体"/>
          <w:color w:val="auto"/>
          <w:szCs w:val="21"/>
          <w:highlight w:val="none"/>
        </w:rPr>
        <w:t>服务</w:t>
      </w:r>
      <w:r>
        <w:rPr>
          <w:rFonts w:hint="eastAsia" w:ascii="宋体" w:hAnsi="宋体" w:cs="宋体"/>
          <w:color w:val="auto"/>
          <w:szCs w:val="21"/>
          <w:highlight w:val="none"/>
          <w:lang w:eastAsia="zh-TW"/>
        </w:rPr>
        <w:t>要求等）。投标人没有按照招标文件要求提交全部资料，或者投标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没有对招标文件在各方面都作出实质性响应是投标人的风险，有可能导致其投标被拒绝，或被认定为无效投标或被确定为投标无效。</w:t>
      </w:r>
    </w:p>
    <w:p w14:paraId="11994815">
      <w:pPr>
        <w:numPr>
          <w:ilvl w:val="1"/>
          <w:numId w:val="31"/>
        </w:numPr>
        <w:autoSpaceDE w:val="0"/>
        <w:autoSpaceDN w:val="0"/>
        <w:adjustRightInd w:val="0"/>
        <w:snapToGrid w:val="0"/>
        <w:spacing w:line="360" w:lineRule="auto"/>
        <w:jc w:val="left"/>
        <w:rPr>
          <w:rFonts w:hint="eastAsia" w:ascii="宋体" w:hAnsi="宋体" w:cs="宋体"/>
          <w:color w:val="auto"/>
          <w:szCs w:val="21"/>
          <w:highlight w:val="none"/>
          <w:lang w:eastAsia="zh-TW"/>
        </w:rPr>
      </w:pPr>
      <w:r>
        <w:rPr>
          <w:rFonts w:hint="eastAsia" w:ascii="宋体" w:hAnsi="宋体" w:cs="宋体"/>
          <w:color w:val="auto"/>
          <w:szCs w:val="21"/>
          <w:highlight w:val="none"/>
        </w:rPr>
        <w:t>本</w:t>
      </w:r>
      <w:r>
        <w:rPr>
          <w:rFonts w:hint="eastAsia" w:ascii="宋体" w:hAnsi="宋体" w:cs="宋体"/>
          <w:color w:val="auto"/>
          <w:szCs w:val="21"/>
          <w:highlight w:val="none"/>
          <w:lang w:eastAsia="zh-TW"/>
        </w:rPr>
        <w:t>招标文件的解释权归“广东中采招标有限公司”所有。</w:t>
      </w:r>
    </w:p>
    <w:p w14:paraId="71212D15">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47" w:name="_Toc355879675"/>
      <w:bookmarkStart w:id="48" w:name="_Toc410722646"/>
      <w:bookmarkStart w:id="49" w:name="_Toc29721"/>
      <w:bookmarkStart w:id="50" w:name="_Toc11116"/>
      <w:bookmarkStart w:id="51" w:name="_Toc1342"/>
      <w:r>
        <w:rPr>
          <w:rFonts w:hint="eastAsia" w:ascii="宋体" w:hAnsi="宋体"/>
          <w:b/>
          <w:bCs/>
          <w:color w:val="auto"/>
          <w:szCs w:val="21"/>
          <w:highlight w:val="none"/>
        </w:rPr>
        <w:t>招标文件的澄清</w:t>
      </w:r>
      <w:bookmarkEnd w:id="47"/>
      <w:bookmarkEnd w:id="48"/>
      <w:bookmarkEnd w:id="49"/>
      <w:r>
        <w:rPr>
          <w:rFonts w:hint="eastAsia" w:ascii="宋体" w:hAnsi="宋体"/>
          <w:b/>
          <w:bCs/>
          <w:color w:val="auto"/>
          <w:szCs w:val="21"/>
          <w:highlight w:val="none"/>
        </w:rPr>
        <w:t>或修改</w:t>
      </w:r>
      <w:bookmarkEnd w:id="50"/>
      <w:bookmarkEnd w:id="51"/>
    </w:p>
    <w:p w14:paraId="1E2E58E7">
      <w:pPr>
        <w:numPr>
          <w:ilvl w:val="1"/>
          <w:numId w:val="31"/>
        </w:numPr>
        <w:autoSpaceDE w:val="0"/>
        <w:autoSpaceDN w:val="0"/>
        <w:adjustRightInd w:val="0"/>
        <w:snapToGrid w:val="0"/>
        <w:spacing w:line="360" w:lineRule="auto"/>
        <w:rPr>
          <w:rFonts w:hint="eastAsia" w:ascii="宋体" w:hAnsi="宋体" w:cs="宋体"/>
          <w:color w:val="auto"/>
          <w:szCs w:val="21"/>
          <w:highlight w:val="none"/>
        </w:rPr>
      </w:pPr>
      <w:bookmarkStart w:id="52" w:name="_Toc355879676"/>
      <w:r>
        <w:rPr>
          <w:rFonts w:hint="eastAsia" w:ascii="宋体" w:hAnsi="宋体" w:cs="宋体"/>
          <w:color w:val="auto"/>
          <w:szCs w:val="21"/>
          <w:highlight w:val="none"/>
        </w:rPr>
        <w:t>招标人或者招标代理机构可以对已发出的招标文件进行必要的澄清或者修改。澄清或者修改应当在原公告发布媒体上发布澄清（更正/变更）公告。</w:t>
      </w:r>
    </w:p>
    <w:p w14:paraId="08DFF8C4">
      <w:pPr>
        <w:numPr>
          <w:ilvl w:val="1"/>
          <w:numId w:val="31"/>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澄清或者修改的内容可能影响投标文件编制的，招标人或者招标代理机构应当在投标截止时间至少15日前，以书面形式通知所有获取招标文件的潜在投标人；不足15日的，招标人或者招标代理机构应当顺延提交投标文件的截止时间。</w:t>
      </w:r>
    </w:p>
    <w:p w14:paraId="6FD28546">
      <w:pPr>
        <w:numPr>
          <w:ilvl w:val="1"/>
          <w:numId w:val="31"/>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或者招标代理机构将澄清（更正/变更）公告以书面形式通知所有获取招标文件的潜在投标人，潜在投标人在收到澄清（更正/变更）公告书面通知后应按要求以书面形式（传真或电子邮件）予以确认。如在24小时之内无书面确认则视为同意修改内容，并有责任履行相应的义务。</w:t>
      </w:r>
    </w:p>
    <w:p w14:paraId="7776855A">
      <w:pPr>
        <w:numPr>
          <w:ilvl w:val="1"/>
          <w:numId w:val="31"/>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招标人或招标代理机构发出的澄清或修改（更正/变更）的内容为招标文件的组成部分，并对潜在投标人具有约束力。</w:t>
      </w:r>
    </w:p>
    <w:p w14:paraId="45C426A7">
      <w:pPr>
        <w:numPr>
          <w:ilvl w:val="0"/>
          <w:numId w:val="31"/>
        </w:numPr>
        <w:autoSpaceDE w:val="0"/>
        <w:autoSpaceDN w:val="0"/>
        <w:adjustRightInd w:val="0"/>
        <w:snapToGrid w:val="0"/>
        <w:spacing w:line="360" w:lineRule="auto"/>
        <w:outlineLvl w:val="0"/>
        <w:rPr>
          <w:rFonts w:hint="eastAsia" w:ascii="宋体" w:hAnsi="宋体" w:cs="宋体"/>
          <w:b/>
          <w:bCs/>
          <w:color w:val="auto"/>
          <w:szCs w:val="21"/>
          <w:highlight w:val="none"/>
        </w:rPr>
      </w:pPr>
      <w:bookmarkStart w:id="53" w:name="_Toc21681"/>
      <w:bookmarkStart w:id="54" w:name="_Toc23142"/>
      <w:r>
        <w:rPr>
          <w:rFonts w:hint="eastAsia" w:ascii="宋体" w:hAnsi="宋体" w:cs="宋体"/>
          <w:b/>
          <w:bCs/>
          <w:color w:val="auto"/>
          <w:szCs w:val="21"/>
          <w:highlight w:val="none"/>
        </w:rPr>
        <w:t>招标文件的答疑或现场考察</w:t>
      </w:r>
      <w:bookmarkEnd w:id="53"/>
      <w:bookmarkEnd w:id="54"/>
    </w:p>
    <w:p w14:paraId="15C3BF73">
      <w:pPr>
        <w:numPr>
          <w:ilvl w:val="1"/>
          <w:numId w:val="31"/>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除非依本须知第8.1规定的有</w:t>
      </w:r>
      <w:r>
        <w:rPr>
          <w:rFonts w:hint="eastAsia" w:ascii="宋体" w:hAnsi="宋体" w:cs="宋体"/>
          <w:color w:val="auto"/>
          <w:szCs w:val="21"/>
          <w:highlight w:val="none"/>
          <w:lang w:eastAsia="zh-TW"/>
        </w:rPr>
        <w:t>必要时</w:t>
      </w:r>
      <w:r>
        <w:rPr>
          <w:rFonts w:hint="eastAsia" w:ascii="宋体" w:hAnsi="宋体" w:cs="宋体"/>
          <w:color w:val="auto"/>
          <w:szCs w:val="21"/>
          <w:highlight w:val="none"/>
        </w:rPr>
        <w:t>或</w:t>
      </w:r>
      <w:r>
        <w:rPr>
          <w:rFonts w:hint="eastAsia" w:ascii="宋体" w:hAnsi="宋体" w:cs="黑体"/>
          <w:b/>
          <w:color w:val="auto"/>
          <w:szCs w:val="21"/>
          <w:highlight w:val="none"/>
        </w:rPr>
        <w:t>投标资料表</w:t>
      </w:r>
      <w:r>
        <w:rPr>
          <w:rFonts w:hint="eastAsia" w:ascii="宋体" w:hAnsi="宋体" w:cs="宋体"/>
          <w:color w:val="auto"/>
          <w:szCs w:val="21"/>
          <w:highlight w:val="none"/>
        </w:rPr>
        <w:t>中另有规定，不举行项目集中答疑会或现场考察，如举行集中答疑会或现场考察的，则按以下规定：</w:t>
      </w:r>
    </w:p>
    <w:p w14:paraId="4C4DB3BF">
      <w:pPr>
        <w:numPr>
          <w:ilvl w:val="2"/>
          <w:numId w:val="31"/>
        </w:numPr>
        <w:tabs>
          <w:tab w:val="left" w:pos="851"/>
        </w:tabs>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在</w:t>
      </w:r>
      <w:r>
        <w:rPr>
          <w:rFonts w:hint="eastAsia" w:ascii="宋体" w:hAnsi="宋体" w:cs="黑体"/>
          <w:b/>
          <w:color w:val="auto"/>
          <w:szCs w:val="21"/>
          <w:highlight w:val="none"/>
          <w:lang w:eastAsia="zh-TW"/>
        </w:rPr>
        <w:t>投标资料表</w:t>
      </w:r>
      <w:r>
        <w:rPr>
          <w:rFonts w:hint="eastAsia" w:ascii="宋体" w:hAnsi="宋体" w:cs="宋体"/>
          <w:color w:val="auto"/>
          <w:szCs w:val="21"/>
          <w:highlight w:val="none"/>
        </w:rPr>
        <w:t>中规定的日期、时间和地点组织公开答疑会或现场考察；</w:t>
      </w:r>
    </w:p>
    <w:p w14:paraId="293B2905">
      <w:pPr>
        <w:numPr>
          <w:ilvl w:val="2"/>
          <w:numId w:val="31"/>
        </w:numPr>
        <w:tabs>
          <w:tab w:val="left" w:pos="851"/>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潜在投标人对本项目提出的疑问，需在答疑会或现场考察召开日前至少一个工作日将问题清单以书面形式（加盖公章）提交至招标代理机构，潜在投标人代表于上述的时间和地点出席答疑会或现场考察。</w:t>
      </w:r>
    </w:p>
    <w:p w14:paraId="2CAAE253">
      <w:pPr>
        <w:numPr>
          <w:ilvl w:val="2"/>
          <w:numId w:val="31"/>
        </w:numPr>
        <w:tabs>
          <w:tab w:val="left" w:pos="851"/>
        </w:tabs>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已</w:t>
      </w:r>
      <w:r>
        <w:rPr>
          <w:rFonts w:hint="eastAsia" w:ascii="宋体" w:hAnsi="宋体" w:cs="宋体"/>
          <w:color w:val="auto"/>
          <w:szCs w:val="21"/>
          <w:highlight w:val="none"/>
          <w:lang w:eastAsia="zh-CN"/>
        </w:rPr>
        <w:t>获取招标文件</w:t>
      </w:r>
      <w:r>
        <w:rPr>
          <w:rFonts w:hint="eastAsia" w:ascii="宋体" w:hAnsi="宋体" w:cs="宋体"/>
          <w:color w:val="auto"/>
          <w:szCs w:val="21"/>
          <w:highlight w:val="none"/>
          <w:lang w:eastAsia="zh-TW"/>
        </w:rPr>
        <w:t>的投标人如不出席答疑会</w:t>
      </w:r>
      <w:r>
        <w:rPr>
          <w:rFonts w:hint="eastAsia" w:ascii="宋体" w:hAnsi="宋体" w:cs="宋体"/>
          <w:color w:val="auto"/>
          <w:szCs w:val="21"/>
          <w:highlight w:val="none"/>
        </w:rPr>
        <w:t>或现场考察</w:t>
      </w:r>
      <w:r>
        <w:rPr>
          <w:rFonts w:hint="eastAsia" w:ascii="宋体" w:hAnsi="宋体" w:cs="宋体"/>
          <w:color w:val="auto"/>
          <w:szCs w:val="21"/>
          <w:highlight w:val="none"/>
          <w:lang w:eastAsia="zh-TW"/>
        </w:rPr>
        <w:t>视为对招标文件所有内容无任何异议。</w:t>
      </w:r>
    </w:p>
    <w:bookmarkEnd w:id="52"/>
    <w:p w14:paraId="4C3BE769">
      <w:pPr>
        <w:numPr>
          <w:ilvl w:val="0"/>
          <w:numId w:val="30"/>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55" w:name="_Toc5604"/>
      <w:bookmarkStart w:id="56" w:name="_Toc26088"/>
      <w:bookmarkStart w:id="57" w:name="_Toc355879677"/>
      <w:bookmarkStart w:id="58" w:name="_Toc410722648"/>
      <w:bookmarkStart w:id="59" w:name="_Toc26247"/>
      <w:r>
        <w:rPr>
          <w:rFonts w:hint="eastAsia" w:ascii="宋体" w:hAnsi="宋体"/>
          <w:b/>
          <w:color w:val="auto"/>
          <w:sz w:val="28"/>
          <w:szCs w:val="28"/>
          <w:highlight w:val="none"/>
          <w:lang w:eastAsia="zh-TW"/>
        </w:rPr>
        <w:t>投标文件的编制</w:t>
      </w:r>
      <w:bookmarkEnd w:id="55"/>
      <w:bookmarkEnd w:id="56"/>
      <w:bookmarkEnd w:id="57"/>
      <w:bookmarkEnd w:id="58"/>
      <w:bookmarkEnd w:id="59"/>
    </w:p>
    <w:p w14:paraId="1A5D5D0F">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60" w:name="_Toc31456"/>
      <w:bookmarkStart w:id="61" w:name="_Toc2181"/>
      <w:bookmarkStart w:id="62" w:name="_Toc410722649"/>
      <w:bookmarkStart w:id="63" w:name="_Toc355879678"/>
      <w:bookmarkStart w:id="64" w:name="_Toc15507"/>
      <w:r>
        <w:rPr>
          <w:rFonts w:hint="eastAsia" w:ascii="宋体" w:hAnsi="宋体"/>
          <w:b/>
          <w:bCs/>
          <w:color w:val="auto"/>
          <w:szCs w:val="21"/>
          <w:highlight w:val="none"/>
        </w:rPr>
        <w:t>投标的语言</w:t>
      </w:r>
      <w:bookmarkEnd w:id="60"/>
      <w:bookmarkEnd w:id="61"/>
      <w:bookmarkEnd w:id="62"/>
      <w:bookmarkEnd w:id="63"/>
      <w:bookmarkEnd w:id="64"/>
    </w:p>
    <w:p w14:paraId="525EC782">
      <w:pPr>
        <w:numPr>
          <w:ilvl w:val="1"/>
          <w:numId w:val="31"/>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投标人提交的投标文件以及投标人与招标采购单位就有关投标的所有来往函电均应使用中文书写</w:t>
      </w:r>
      <w:r>
        <w:rPr>
          <w:rFonts w:hint="eastAsia" w:ascii="宋体" w:hAnsi="宋体" w:cs="宋体"/>
          <w:color w:val="auto"/>
          <w:szCs w:val="21"/>
          <w:highlight w:val="none"/>
        </w:rPr>
        <w:t>。投</w:t>
      </w:r>
      <w:r>
        <w:rPr>
          <w:rFonts w:hint="eastAsia" w:ascii="宋体" w:hAnsi="宋体" w:cs="宋体"/>
          <w:color w:val="auto"/>
          <w:szCs w:val="21"/>
          <w:highlight w:val="none"/>
          <w:lang w:eastAsia="zh-TW"/>
        </w:rPr>
        <w:t>标人提交的支持资料</w:t>
      </w:r>
      <w:r>
        <w:rPr>
          <w:rFonts w:hint="eastAsia" w:ascii="宋体" w:hAnsi="宋体" w:cs="宋体"/>
          <w:color w:val="auto"/>
          <w:szCs w:val="21"/>
          <w:highlight w:val="none"/>
        </w:rPr>
        <w:t>和已</w:t>
      </w:r>
      <w:r>
        <w:rPr>
          <w:rFonts w:hint="eastAsia" w:ascii="宋体" w:hAnsi="宋体" w:cs="宋体"/>
          <w:color w:val="auto"/>
          <w:szCs w:val="21"/>
          <w:highlight w:val="none"/>
          <w:lang w:eastAsia="zh-TW"/>
        </w:rPr>
        <w:t>印刷的文献可以用另一种语言</w:t>
      </w:r>
      <w:r>
        <w:rPr>
          <w:rFonts w:hint="eastAsia" w:ascii="宋体" w:hAnsi="宋体" w:cs="宋体"/>
          <w:color w:val="auto"/>
          <w:szCs w:val="21"/>
          <w:highlight w:val="none"/>
        </w:rPr>
        <w:t>，</w:t>
      </w:r>
      <w:r>
        <w:rPr>
          <w:rFonts w:hint="eastAsia" w:ascii="宋体" w:hAnsi="宋体" w:cs="宋体"/>
          <w:color w:val="auto"/>
          <w:szCs w:val="21"/>
          <w:highlight w:val="none"/>
          <w:lang w:eastAsia="zh-TW"/>
        </w:rPr>
        <w:t>但相应内容应附有中文翻译本</w:t>
      </w:r>
      <w:r>
        <w:rPr>
          <w:rFonts w:hint="eastAsia" w:ascii="宋体" w:hAnsi="宋体" w:cs="宋体"/>
          <w:color w:val="auto"/>
          <w:szCs w:val="21"/>
          <w:highlight w:val="none"/>
        </w:rPr>
        <w:t>，</w:t>
      </w:r>
      <w:r>
        <w:rPr>
          <w:rFonts w:hint="eastAsia" w:ascii="宋体" w:hAnsi="宋体" w:cs="宋体"/>
          <w:color w:val="auto"/>
          <w:szCs w:val="21"/>
          <w:highlight w:val="none"/>
          <w:lang w:eastAsia="zh-TW"/>
        </w:rPr>
        <w:t>在解释投标文件的修改内容时以中文翻译本为准。对中文翻译有异议的</w:t>
      </w:r>
      <w:r>
        <w:rPr>
          <w:rFonts w:hint="eastAsia" w:ascii="宋体" w:hAnsi="宋体" w:cs="宋体"/>
          <w:color w:val="auto"/>
          <w:szCs w:val="21"/>
          <w:highlight w:val="none"/>
        </w:rPr>
        <w:t>，</w:t>
      </w:r>
      <w:r>
        <w:rPr>
          <w:rFonts w:hint="eastAsia" w:ascii="宋体" w:hAnsi="宋体" w:cs="宋体"/>
          <w:color w:val="auto"/>
          <w:szCs w:val="21"/>
          <w:highlight w:val="none"/>
          <w:lang w:eastAsia="zh-TW"/>
        </w:rPr>
        <w:t>以权威机构的译本为准。</w:t>
      </w:r>
    </w:p>
    <w:p w14:paraId="553B6575">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65" w:name="_Toc19503"/>
      <w:bookmarkStart w:id="66" w:name="_Toc355879679"/>
      <w:bookmarkStart w:id="67" w:name="_Toc4099"/>
      <w:bookmarkStart w:id="68" w:name="_Toc410722650"/>
      <w:bookmarkStart w:id="69" w:name="_Toc23228"/>
      <w:r>
        <w:rPr>
          <w:rFonts w:hint="eastAsia" w:ascii="宋体" w:hAnsi="宋体"/>
          <w:b/>
          <w:bCs/>
          <w:color w:val="auto"/>
          <w:szCs w:val="21"/>
          <w:highlight w:val="none"/>
        </w:rPr>
        <w:t>投标文件的构成</w:t>
      </w:r>
      <w:bookmarkEnd w:id="65"/>
      <w:bookmarkEnd w:id="66"/>
      <w:bookmarkEnd w:id="67"/>
      <w:bookmarkEnd w:id="68"/>
      <w:bookmarkEnd w:id="69"/>
    </w:p>
    <w:p w14:paraId="18841B40">
      <w:pPr>
        <w:numPr>
          <w:ilvl w:val="1"/>
          <w:numId w:val="31"/>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投标人编写的投标文件应包括</w:t>
      </w:r>
      <w:r>
        <w:rPr>
          <w:rFonts w:hint="eastAsia" w:ascii="宋体" w:hAnsi="宋体" w:cs="宋体"/>
          <w:color w:val="auto"/>
          <w:szCs w:val="21"/>
          <w:highlight w:val="none"/>
        </w:rPr>
        <w:t>初审文件、技术文件、商务文件</w:t>
      </w:r>
      <w:r>
        <w:rPr>
          <w:rFonts w:hint="eastAsia" w:ascii="宋体" w:hAnsi="宋体" w:cs="宋体"/>
          <w:color w:val="auto"/>
          <w:szCs w:val="21"/>
          <w:highlight w:val="none"/>
          <w:lang w:eastAsia="zh-TW"/>
        </w:rPr>
        <w:t>，编排顺序参见投标文件格式</w:t>
      </w:r>
      <w:r>
        <w:rPr>
          <w:rFonts w:hint="eastAsia" w:ascii="宋体" w:hAnsi="宋体" w:cs="宋体"/>
          <w:color w:val="auto"/>
          <w:szCs w:val="21"/>
          <w:highlight w:val="none"/>
        </w:rPr>
        <w:t>。</w:t>
      </w:r>
    </w:p>
    <w:p w14:paraId="107B6AA9">
      <w:pPr>
        <w:numPr>
          <w:ilvl w:val="1"/>
          <w:numId w:val="31"/>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投标文件的构成应符合法律法规及招标文件的要求。</w:t>
      </w:r>
    </w:p>
    <w:p w14:paraId="60C85709">
      <w:pPr>
        <w:numPr>
          <w:ilvl w:val="0"/>
          <w:numId w:val="31"/>
        </w:numPr>
        <w:autoSpaceDE w:val="0"/>
        <w:autoSpaceDN w:val="0"/>
        <w:adjustRightInd w:val="0"/>
        <w:snapToGrid w:val="0"/>
        <w:spacing w:line="360" w:lineRule="auto"/>
        <w:outlineLvl w:val="0"/>
        <w:rPr>
          <w:rFonts w:ascii="宋体" w:hAnsi="宋体"/>
          <w:b/>
          <w:bCs/>
          <w:color w:val="auto"/>
          <w:szCs w:val="21"/>
          <w:highlight w:val="none"/>
        </w:rPr>
      </w:pPr>
      <w:bookmarkStart w:id="70" w:name="_Toc17295"/>
      <w:bookmarkStart w:id="71" w:name="_Toc25514"/>
      <w:bookmarkStart w:id="72" w:name="_Toc355879680"/>
      <w:bookmarkStart w:id="73" w:name="_Toc410722651"/>
      <w:bookmarkStart w:id="74" w:name="_Toc16244"/>
      <w:r>
        <w:rPr>
          <w:rFonts w:hint="eastAsia" w:ascii="宋体" w:hAnsi="宋体"/>
          <w:b/>
          <w:bCs/>
          <w:color w:val="auto"/>
          <w:szCs w:val="21"/>
          <w:highlight w:val="none"/>
        </w:rPr>
        <w:t>投标文件的编写</w:t>
      </w:r>
      <w:bookmarkEnd w:id="70"/>
      <w:bookmarkEnd w:id="71"/>
      <w:bookmarkEnd w:id="72"/>
      <w:bookmarkEnd w:id="73"/>
      <w:bookmarkEnd w:id="74"/>
    </w:p>
    <w:p w14:paraId="06B8A024">
      <w:pPr>
        <w:numPr>
          <w:ilvl w:val="1"/>
          <w:numId w:val="31"/>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投标人应完整</w:t>
      </w:r>
      <w:r>
        <w:rPr>
          <w:rFonts w:hint="eastAsia" w:ascii="宋体" w:hAnsi="宋体" w:cs="宋体"/>
          <w:color w:val="auto"/>
          <w:szCs w:val="21"/>
          <w:highlight w:val="none"/>
        </w:rPr>
        <w:t>、真实、准确</w:t>
      </w:r>
      <w:r>
        <w:rPr>
          <w:rFonts w:hint="eastAsia" w:ascii="宋体" w:hAnsi="宋体" w:cs="宋体"/>
          <w:color w:val="auto"/>
          <w:szCs w:val="21"/>
          <w:highlight w:val="none"/>
          <w:lang w:eastAsia="zh-TW"/>
        </w:rPr>
        <w:t>地填写招标文件中提供的投标函以及招标文件中规定的其它</w:t>
      </w:r>
      <w:r>
        <w:rPr>
          <w:rFonts w:hint="eastAsia" w:ascii="宋体" w:hAnsi="宋体" w:cs="宋体"/>
          <w:color w:val="auto"/>
          <w:szCs w:val="21"/>
          <w:highlight w:val="none"/>
        </w:rPr>
        <w:t>所有</w:t>
      </w:r>
      <w:r>
        <w:rPr>
          <w:rFonts w:hint="eastAsia" w:ascii="宋体" w:hAnsi="宋体" w:cs="宋体"/>
          <w:color w:val="auto"/>
          <w:szCs w:val="21"/>
          <w:highlight w:val="none"/>
          <w:lang w:eastAsia="zh-TW"/>
        </w:rPr>
        <w:t>内容。</w:t>
      </w:r>
    </w:p>
    <w:p w14:paraId="74F8743F">
      <w:pPr>
        <w:numPr>
          <w:ilvl w:val="1"/>
          <w:numId w:val="31"/>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投标人应当对投标文件进行装订，对未经装订的投标文件可能发生的文件散落或缺损，由此造成的后果</w:t>
      </w:r>
      <w:r>
        <w:rPr>
          <w:rFonts w:hint="eastAsia" w:ascii="宋体" w:hAnsi="宋体" w:cs="宋体"/>
          <w:color w:val="auto"/>
          <w:szCs w:val="21"/>
          <w:highlight w:val="none"/>
        </w:rPr>
        <w:t>和</w:t>
      </w:r>
      <w:r>
        <w:rPr>
          <w:rFonts w:hint="eastAsia" w:ascii="宋体" w:hAnsi="宋体" w:cs="宋体"/>
          <w:color w:val="auto"/>
          <w:szCs w:val="21"/>
          <w:highlight w:val="none"/>
          <w:lang w:eastAsia="zh-TW"/>
        </w:rPr>
        <w:t>责任由投标人承担</w:t>
      </w:r>
      <w:r>
        <w:rPr>
          <w:rFonts w:hint="eastAsia" w:ascii="宋体" w:hAnsi="宋体" w:cs="宋体"/>
          <w:color w:val="auto"/>
          <w:szCs w:val="21"/>
          <w:highlight w:val="none"/>
        </w:rPr>
        <w:t>。</w:t>
      </w:r>
    </w:p>
    <w:p w14:paraId="24D8EA04">
      <w:pPr>
        <w:numPr>
          <w:ilvl w:val="1"/>
          <w:numId w:val="31"/>
        </w:numPr>
        <w:tabs>
          <w:tab w:val="left" w:pos="709"/>
        </w:tabs>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投标人必须对投标文件所提供的全部资料的真实性承担法律责任，并无条件接受招标采购单位及监督管理部门等对其中任何资料进行核实的要求</w:t>
      </w:r>
      <w:r>
        <w:rPr>
          <w:rFonts w:hint="eastAsia" w:ascii="宋体" w:hAnsi="宋体" w:cs="宋体"/>
          <w:color w:val="auto"/>
          <w:szCs w:val="21"/>
          <w:highlight w:val="none"/>
          <w:lang w:eastAsia="zh-TW"/>
        </w:rPr>
        <w:t>。</w:t>
      </w:r>
    </w:p>
    <w:p w14:paraId="42EBEF6A">
      <w:pPr>
        <w:numPr>
          <w:ilvl w:val="1"/>
          <w:numId w:val="31"/>
        </w:numPr>
        <w:tabs>
          <w:tab w:val="left" w:pos="709"/>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如果因为投标人</w:t>
      </w:r>
      <w:r>
        <w:rPr>
          <w:rFonts w:hint="eastAsia" w:ascii="宋体" w:hAnsi="宋体" w:cs="宋体"/>
          <w:color w:val="auto"/>
          <w:szCs w:val="21"/>
          <w:highlight w:val="none"/>
        </w:rPr>
        <w:t>的</w:t>
      </w:r>
      <w:r>
        <w:rPr>
          <w:rFonts w:hint="eastAsia" w:ascii="宋体" w:hAnsi="宋体" w:cs="宋体"/>
          <w:color w:val="auto"/>
          <w:szCs w:val="21"/>
          <w:highlight w:val="none"/>
          <w:lang w:eastAsia="zh-TW"/>
        </w:rPr>
        <w:t>投标文件只填写和提供了本</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文件要求的部分内容和附件，或没有提供招标文件中所要求的全部资料及数据，由此造成的后果</w:t>
      </w:r>
      <w:r>
        <w:rPr>
          <w:rFonts w:hint="eastAsia" w:ascii="宋体" w:hAnsi="宋体" w:cs="宋体"/>
          <w:color w:val="auto"/>
          <w:szCs w:val="21"/>
          <w:highlight w:val="none"/>
        </w:rPr>
        <w:t>和</w:t>
      </w:r>
      <w:r>
        <w:rPr>
          <w:rFonts w:hint="eastAsia" w:ascii="宋体" w:hAnsi="宋体" w:cs="宋体"/>
          <w:color w:val="auto"/>
          <w:szCs w:val="21"/>
          <w:highlight w:val="none"/>
          <w:lang w:eastAsia="zh-TW"/>
        </w:rPr>
        <w:t>责任由投标人承担</w:t>
      </w:r>
    </w:p>
    <w:p w14:paraId="1AFEEFB0">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lang w:eastAsia="zh-TW"/>
        </w:rPr>
      </w:pPr>
      <w:bookmarkStart w:id="75" w:name="_Toc13151"/>
      <w:bookmarkStart w:id="76" w:name="_Toc1974"/>
      <w:r>
        <w:rPr>
          <w:rFonts w:hint="eastAsia" w:ascii="宋体" w:hAnsi="宋体"/>
          <w:b/>
          <w:bCs/>
          <w:color w:val="auto"/>
          <w:szCs w:val="21"/>
          <w:highlight w:val="none"/>
          <w:lang w:eastAsia="zh-TW"/>
        </w:rPr>
        <w:t>投标报价</w:t>
      </w:r>
      <w:bookmarkEnd w:id="75"/>
      <w:bookmarkEnd w:id="76"/>
    </w:p>
    <w:p w14:paraId="1A5A264F">
      <w:pPr>
        <w:numPr>
          <w:ilvl w:val="1"/>
          <w:numId w:val="32"/>
        </w:numPr>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投标人应按照“第三章　用户需求书”中采购项目技术规格、参数及要求规定的内容、责任范围进行报价。并按《开标记录表（报价表）》及《投标分项报价表》（如适用）的要求报出总价和分项价格。投标总价中不得包含招标文件要求以外的内容，否则，在评标时不予核减。投标总价中也不得缺漏招标文件所要求的内容，否则，被视为包含在投标报价中。</w:t>
      </w:r>
    </w:p>
    <w:p w14:paraId="2010E5C8">
      <w:pPr>
        <w:numPr>
          <w:ilvl w:val="1"/>
          <w:numId w:val="32"/>
        </w:numPr>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投标分项报价表内容应包含：</w:t>
      </w:r>
    </w:p>
    <w:p w14:paraId="0788F35D">
      <w:pPr>
        <w:numPr>
          <w:ilvl w:val="3"/>
          <w:numId w:val="32"/>
        </w:numPr>
        <w:snapToGrid w:val="0"/>
        <w:spacing w:line="360" w:lineRule="auto"/>
        <w:ind w:left="1250" w:hanging="1250"/>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投标产品价；</w:t>
      </w:r>
    </w:p>
    <w:p w14:paraId="351F3505">
      <w:pPr>
        <w:numPr>
          <w:ilvl w:val="3"/>
          <w:numId w:val="32"/>
        </w:numPr>
        <w:snapToGrid w:val="0"/>
        <w:spacing w:line="360" w:lineRule="auto"/>
        <w:ind w:left="1250" w:hanging="1250"/>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除应包括要向中华人民共和国政府缴纳的增值税和其它税，还应包括对以下①、②两项已交纳或应交纳的全部关税、增值税和其它税：</w:t>
      </w:r>
    </w:p>
    <w:p w14:paraId="3267B7F5">
      <w:pPr>
        <w:snapToGrid w:val="0"/>
        <w:spacing w:line="360" w:lineRule="auto"/>
        <w:ind w:firstLine="638" w:firstLineChars="304"/>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① 报价的货物在制造或组装时使用的部件和原材料是从境外进口的；或</w:t>
      </w:r>
    </w:p>
    <w:p w14:paraId="2B477D9D">
      <w:pPr>
        <w:snapToGrid w:val="0"/>
        <w:spacing w:line="360" w:lineRule="auto"/>
        <w:ind w:firstLine="638" w:firstLineChars="304"/>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② 报货架交货价的货物是从境外进口的。</w:t>
      </w:r>
    </w:p>
    <w:p w14:paraId="4DA49685">
      <w:pPr>
        <w:numPr>
          <w:ilvl w:val="3"/>
          <w:numId w:val="32"/>
        </w:numPr>
        <w:snapToGrid w:val="0"/>
        <w:spacing w:line="360" w:lineRule="auto"/>
        <w:ind w:left="1250" w:hanging="1250"/>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报</w:t>
      </w:r>
      <w:r>
        <w:rPr>
          <w:rFonts w:hint="eastAsia" w:ascii="宋体" w:hAnsi="宋体" w:cs="宋体"/>
          <w:b/>
          <w:bCs/>
          <w:color w:val="auto"/>
          <w:szCs w:val="21"/>
          <w:highlight w:val="none"/>
          <w:lang w:eastAsia="zh-TW"/>
        </w:rPr>
        <w:t>投标资料表</w:t>
      </w:r>
      <w:r>
        <w:rPr>
          <w:rFonts w:hint="eastAsia" w:ascii="宋体" w:hAnsi="宋体" w:cs="宋体"/>
          <w:color w:val="auto"/>
          <w:szCs w:val="21"/>
          <w:highlight w:val="none"/>
          <w:lang w:eastAsia="zh-TW"/>
        </w:rPr>
        <w:t>中列出的其他伴随服务的费用和标准附件价、备品备件及专用工具价</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TW"/>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TW"/>
        </w:rPr>
        <w:t>。</w:t>
      </w:r>
    </w:p>
    <w:p w14:paraId="3DF8188A">
      <w:pPr>
        <w:numPr>
          <w:ilvl w:val="2"/>
          <w:numId w:val="32"/>
        </w:numPr>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从中华人民共和国境外提供的货物须包含：</w:t>
      </w:r>
    </w:p>
    <w:p w14:paraId="1FC2EFE9">
      <w:pPr>
        <w:numPr>
          <w:ilvl w:val="3"/>
          <w:numId w:val="32"/>
        </w:numPr>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投标产品价；</w:t>
      </w:r>
    </w:p>
    <w:p w14:paraId="1DE30FC2">
      <w:pPr>
        <w:numPr>
          <w:ilvl w:val="3"/>
          <w:numId w:val="32"/>
        </w:numPr>
        <w:snapToGrid w:val="0"/>
        <w:spacing w:line="360" w:lineRule="auto"/>
        <w:ind w:left="1250" w:hanging="1250"/>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除应包括要向中华人民共和国政府缴纳的增值税和其它税，如果投标资料表中另有规定</w:t>
      </w:r>
      <w:r>
        <w:rPr>
          <w:rFonts w:hint="eastAsia" w:ascii="宋体" w:hAnsi="宋体" w:cs="宋体"/>
          <w:color w:val="auto"/>
          <w:szCs w:val="21"/>
          <w:highlight w:val="none"/>
        </w:rPr>
        <w:t>，</w:t>
      </w:r>
      <w:r>
        <w:rPr>
          <w:rFonts w:hint="eastAsia" w:ascii="宋体" w:hAnsi="宋体" w:cs="宋体"/>
          <w:color w:val="auto"/>
          <w:szCs w:val="21"/>
          <w:highlight w:val="none"/>
          <w:lang w:eastAsia="zh-TW"/>
        </w:rPr>
        <w:t>还应包括货物从境外进口已交纳或应交纳的全部关税、增值税和其它税；</w:t>
      </w:r>
    </w:p>
    <w:p w14:paraId="72CE6396">
      <w:pPr>
        <w:numPr>
          <w:ilvl w:val="3"/>
          <w:numId w:val="32"/>
        </w:numPr>
        <w:snapToGrid w:val="0"/>
        <w:spacing w:line="360" w:lineRule="auto"/>
        <w:ind w:left="1250" w:hanging="1250"/>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报货物境外离岸价格、国外运输费、国外运输保险费；</w:t>
      </w:r>
    </w:p>
    <w:p w14:paraId="213AB305">
      <w:pPr>
        <w:numPr>
          <w:ilvl w:val="3"/>
          <w:numId w:val="32"/>
        </w:numPr>
        <w:snapToGrid w:val="0"/>
        <w:spacing w:line="360" w:lineRule="auto"/>
        <w:ind w:left="1250" w:hanging="1250"/>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报</w:t>
      </w:r>
      <w:r>
        <w:rPr>
          <w:rFonts w:hint="eastAsia" w:ascii="宋体" w:hAnsi="宋体" w:cs="宋体"/>
          <w:b/>
          <w:bCs/>
          <w:color w:val="auto"/>
          <w:szCs w:val="21"/>
          <w:highlight w:val="none"/>
          <w:lang w:eastAsia="zh-TW"/>
        </w:rPr>
        <w:t>投标资料表</w:t>
      </w:r>
      <w:r>
        <w:rPr>
          <w:rFonts w:hint="eastAsia" w:ascii="宋体" w:hAnsi="宋体" w:cs="宋体"/>
          <w:color w:val="auto"/>
          <w:szCs w:val="21"/>
          <w:highlight w:val="none"/>
          <w:lang w:eastAsia="zh-TW"/>
        </w:rPr>
        <w:t>中列出的其他伴随服务费用和标准附件价、备品备件及专用工具价</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TW"/>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TW"/>
        </w:rPr>
        <w:t>。</w:t>
      </w:r>
    </w:p>
    <w:p w14:paraId="634672C1">
      <w:pPr>
        <w:numPr>
          <w:ilvl w:val="1"/>
          <w:numId w:val="32"/>
        </w:numPr>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对于报价免费的内容须标明“免费”。</w:t>
      </w:r>
    </w:p>
    <w:p w14:paraId="40D04668">
      <w:pPr>
        <w:numPr>
          <w:ilvl w:val="1"/>
          <w:numId w:val="32"/>
        </w:numPr>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投标人根据本须知第12.2条的规定将投标报价分成几部分，只是为了方便对投标文件进行比较，并不限制招标人以上述任何条件订立合同的权力。</w:t>
      </w:r>
    </w:p>
    <w:p w14:paraId="169E5E47">
      <w:pPr>
        <w:numPr>
          <w:ilvl w:val="1"/>
          <w:numId w:val="32"/>
        </w:numPr>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除</w:t>
      </w:r>
      <w:r>
        <w:rPr>
          <w:rFonts w:hint="eastAsia" w:ascii="宋体" w:hAnsi="宋体" w:cs="宋体"/>
          <w:b/>
          <w:bCs/>
          <w:color w:val="auto"/>
          <w:szCs w:val="21"/>
          <w:highlight w:val="none"/>
          <w:lang w:eastAsia="zh-TW"/>
        </w:rPr>
        <w:t>投标资料表</w:t>
      </w:r>
      <w:r>
        <w:rPr>
          <w:rFonts w:hint="eastAsia" w:ascii="宋体" w:hAnsi="宋体" w:cs="宋体"/>
          <w:color w:val="auto"/>
          <w:szCs w:val="21"/>
          <w:highlight w:val="none"/>
          <w:lang w:eastAsia="zh-TW"/>
        </w:rPr>
        <w:t>中另有规定，投标人所报的投标价在合同执行过程中是固定不变的，不得以任何理由予以变更。任何包含价格调整要求的投标被认为是非实质性响应投标而予以拒绝。</w:t>
      </w:r>
    </w:p>
    <w:p w14:paraId="0F0E7AE7">
      <w:pPr>
        <w:numPr>
          <w:ilvl w:val="1"/>
          <w:numId w:val="32"/>
        </w:numPr>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除</w:t>
      </w:r>
      <w:r>
        <w:rPr>
          <w:rFonts w:hint="eastAsia" w:ascii="宋体" w:hAnsi="宋体" w:cs="宋体"/>
          <w:b/>
          <w:bCs/>
          <w:color w:val="auto"/>
          <w:szCs w:val="21"/>
          <w:highlight w:val="none"/>
          <w:lang w:eastAsia="zh-TW"/>
        </w:rPr>
        <w:t>投标资料表</w:t>
      </w:r>
      <w:r>
        <w:rPr>
          <w:rFonts w:hint="eastAsia" w:ascii="宋体" w:hAnsi="宋体" w:cs="宋体"/>
          <w:color w:val="auto"/>
          <w:szCs w:val="21"/>
          <w:highlight w:val="none"/>
          <w:lang w:eastAsia="zh-TW"/>
        </w:rPr>
        <w:t>中允许有备选方案外，本次招标不接受选择性报价，否则将被视为无效投标。</w:t>
      </w:r>
    </w:p>
    <w:p w14:paraId="7741CC76">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TW"/>
        </w:rPr>
        <w:t>除投标资料表另有规定外，本次招标不接受具有附加条件的报价，否则将被视为无效投标</w:t>
      </w:r>
      <w:r>
        <w:rPr>
          <w:rFonts w:hint="eastAsia" w:ascii="宋体" w:hAnsi="宋体" w:cs="宋体"/>
          <w:color w:val="auto"/>
          <w:szCs w:val="21"/>
          <w:highlight w:val="none"/>
          <w:lang w:eastAsia="zh-CN"/>
        </w:rPr>
        <w:t>。</w:t>
      </w:r>
    </w:p>
    <w:p w14:paraId="542853CD">
      <w:pPr>
        <w:numPr>
          <w:ilvl w:val="1"/>
          <w:numId w:val="32"/>
        </w:num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对报价的计算错误按以下原则修正：</w:t>
      </w:r>
    </w:p>
    <w:p w14:paraId="466A8087">
      <w:pPr>
        <w:numPr>
          <w:ilvl w:val="2"/>
          <w:numId w:val="32"/>
        </w:numPr>
        <w:snapToGrid w:val="0"/>
        <w:spacing w:line="360" w:lineRule="auto"/>
        <w:ind w:left="9" w:leftChars="0" w:firstLine="631" w:firstLineChars="0"/>
        <w:rPr>
          <w:rFonts w:hint="eastAsia" w:ascii="宋体" w:hAnsi="宋体" w:cs="宋体"/>
          <w:color w:val="auto"/>
          <w:szCs w:val="21"/>
          <w:highlight w:val="none"/>
        </w:rPr>
      </w:pPr>
      <w:r>
        <w:rPr>
          <w:rFonts w:hint="eastAsia" w:ascii="宋体" w:hAnsi="宋体" w:cs="宋体"/>
          <w:color w:val="auto"/>
          <w:szCs w:val="21"/>
          <w:highlight w:val="none"/>
        </w:rPr>
        <w:t>投标文件中开标一览表内容与投标文件中相应内容不一致的，以开标一览表为准；</w:t>
      </w:r>
    </w:p>
    <w:p w14:paraId="2EC89A05">
      <w:pPr>
        <w:numPr>
          <w:ilvl w:val="2"/>
          <w:numId w:val="32"/>
        </w:numPr>
        <w:snapToGrid w:val="0"/>
        <w:spacing w:line="360" w:lineRule="auto"/>
        <w:ind w:left="9" w:leftChars="0" w:firstLine="631" w:firstLineChars="0"/>
        <w:rPr>
          <w:rFonts w:hint="eastAsia"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61EA3B1B">
      <w:pPr>
        <w:numPr>
          <w:ilvl w:val="2"/>
          <w:numId w:val="32"/>
        </w:numPr>
        <w:snapToGrid w:val="0"/>
        <w:spacing w:line="360" w:lineRule="auto"/>
        <w:ind w:left="9" w:leftChars="0" w:firstLine="631" w:firstLineChars="0"/>
        <w:rPr>
          <w:rFonts w:hint="eastAsia"/>
          <w:color w:val="auto"/>
          <w:highlight w:val="none"/>
        </w:rPr>
      </w:pPr>
      <w:r>
        <w:rPr>
          <w:rFonts w:hint="eastAsia" w:ascii="宋体" w:hAnsi="宋体" w:cs="宋体"/>
          <w:color w:val="auto"/>
          <w:szCs w:val="21"/>
          <w:highlight w:val="none"/>
        </w:rPr>
        <w:t>单价金额小数点或者百分比有明显错位的，以开标一览表的总价为准，并修改单价</w:t>
      </w:r>
    </w:p>
    <w:p w14:paraId="0148AD25">
      <w:pPr>
        <w:numPr>
          <w:ilvl w:val="2"/>
          <w:numId w:val="32"/>
        </w:numPr>
        <w:snapToGrid w:val="0"/>
        <w:spacing w:line="360" w:lineRule="auto"/>
        <w:ind w:left="9" w:leftChars="0" w:firstLine="631" w:firstLineChars="0"/>
        <w:rPr>
          <w:rFonts w:hint="eastAsia"/>
          <w:color w:val="auto"/>
          <w:highlight w:val="none"/>
        </w:rPr>
      </w:pPr>
      <w:r>
        <w:rPr>
          <w:color w:val="auto"/>
        </w:rPr>
        <w:t>总价金额与按单价汇总金额不一致的，以单价金额计算结果为准。但是单价金额计算结果超过预算价的，对其按无效投标处理</w:t>
      </w:r>
      <w:r>
        <w:rPr>
          <w:rFonts w:hint="eastAsia" w:ascii="宋体" w:hAnsi="宋体" w:cs="宋体"/>
          <w:color w:val="auto"/>
          <w:szCs w:val="21"/>
          <w:highlight w:val="none"/>
        </w:rPr>
        <w:t>。</w:t>
      </w:r>
    </w:p>
    <w:p w14:paraId="5D5C330B">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77" w:name="_Toc410722653"/>
      <w:bookmarkStart w:id="78" w:name="_Toc355879682"/>
      <w:bookmarkStart w:id="79" w:name="_Toc14297"/>
      <w:bookmarkStart w:id="80" w:name="_Toc5487"/>
      <w:bookmarkStart w:id="81" w:name="_Toc5336"/>
      <w:r>
        <w:rPr>
          <w:rFonts w:hint="eastAsia" w:ascii="宋体" w:hAnsi="宋体"/>
          <w:b/>
          <w:bCs/>
          <w:color w:val="auto"/>
          <w:szCs w:val="21"/>
          <w:highlight w:val="none"/>
        </w:rPr>
        <w:t>投标货币</w:t>
      </w:r>
      <w:bookmarkEnd w:id="77"/>
      <w:bookmarkEnd w:id="78"/>
      <w:bookmarkEnd w:id="79"/>
      <w:bookmarkEnd w:id="80"/>
      <w:bookmarkEnd w:id="81"/>
    </w:p>
    <w:p w14:paraId="3BB50484">
      <w:pPr>
        <w:numPr>
          <w:ilvl w:val="1"/>
          <w:numId w:val="31"/>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投标人所提供的货物和服务均应以人民币报价。</w:t>
      </w:r>
    </w:p>
    <w:p w14:paraId="0C07684F">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82" w:name="_Toc355879683"/>
      <w:bookmarkStart w:id="83" w:name="_Toc3695"/>
      <w:bookmarkStart w:id="84" w:name="_Toc410722654"/>
      <w:bookmarkStart w:id="85" w:name="_Toc2414"/>
      <w:bookmarkStart w:id="86" w:name="_Toc32602"/>
      <w:r>
        <w:rPr>
          <w:rFonts w:hint="eastAsia" w:ascii="宋体" w:hAnsi="宋体"/>
          <w:b/>
          <w:bCs/>
          <w:color w:val="auto"/>
          <w:szCs w:val="21"/>
          <w:highlight w:val="none"/>
        </w:rPr>
        <w:t>联合体投标</w:t>
      </w:r>
      <w:bookmarkEnd w:id="82"/>
      <w:bookmarkEnd w:id="83"/>
      <w:bookmarkEnd w:id="84"/>
      <w:bookmarkEnd w:id="85"/>
      <w:bookmarkEnd w:id="86"/>
    </w:p>
    <w:p w14:paraId="13E8BBC9">
      <w:pPr>
        <w:numPr>
          <w:ilvl w:val="1"/>
          <w:numId w:val="31"/>
        </w:numPr>
        <w:autoSpaceDE w:val="0"/>
        <w:autoSpaceDN w:val="0"/>
        <w:adjustRightInd w:val="0"/>
        <w:snapToGrid w:val="0"/>
        <w:spacing w:line="360" w:lineRule="auto"/>
        <w:jc w:val="left"/>
        <w:rPr>
          <w:rFonts w:hint="eastAsia" w:ascii="宋体" w:hAnsi="宋体" w:cs="黑体"/>
          <w:b/>
          <w:bCs/>
          <w:color w:val="auto"/>
          <w:szCs w:val="21"/>
          <w:highlight w:val="none"/>
        </w:rPr>
      </w:pPr>
      <w:r>
        <w:rPr>
          <w:rFonts w:hint="eastAsia" w:ascii="宋体" w:hAnsi="宋体"/>
          <w:color w:val="auto"/>
          <w:szCs w:val="21"/>
          <w:highlight w:val="none"/>
        </w:rPr>
        <w:t>除非</w:t>
      </w:r>
      <w:r>
        <w:rPr>
          <w:rFonts w:hint="eastAsia" w:ascii="宋体" w:hAnsi="宋体"/>
          <w:b/>
          <w:color w:val="auto"/>
          <w:szCs w:val="21"/>
          <w:highlight w:val="none"/>
        </w:rPr>
        <w:t>投标邀请函</w:t>
      </w:r>
      <w:r>
        <w:rPr>
          <w:rFonts w:hint="eastAsia" w:ascii="宋体" w:hAnsi="宋体"/>
          <w:color w:val="auto"/>
          <w:szCs w:val="21"/>
          <w:highlight w:val="none"/>
        </w:rPr>
        <w:t>中另有规定，不接受联合体投标。如果投标邀请函中规定允许联合体投标的，则必须满足：</w:t>
      </w:r>
    </w:p>
    <w:p w14:paraId="2E1B43D0">
      <w:pPr>
        <w:numPr>
          <w:ilvl w:val="2"/>
          <w:numId w:val="31"/>
        </w:numPr>
        <w:tabs>
          <w:tab w:val="left" w:pos="851"/>
          <w:tab w:val="left" w:pos="1418"/>
          <w:tab w:val="left" w:pos="1985"/>
          <w:tab w:val="clear" w:pos="1135"/>
        </w:tabs>
        <w:autoSpaceDE w:val="0"/>
        <w:autoSpaceDN w:val="0"/>
        <w:adjustRightInd w:val="0"/>
        <w:snapToGrid w:val="0"/>
        <w:spacing w:line="360" w:lineRule="auto"/>
        <w:ind w:left="1418" w:hanging="850"/>
        <w:jc w:val="left"/>
        <w:rPr>
          <w:rFonts w:hint="eastAsia" w:ascii="宋体" w:hAnsi="宋体" w:cs="宋体"/>
          <w:color w:val="auto"/>
          <w:szCs w:val="21"/>
          <w:highlight w:val="none"/>
        </w:rPr>
      </w:pPr>
      <w:r>
        <w:rPr>
          <w:rFonts w:hint="eastAsia" w:ascii="宋体" w:hAnsi="宋体" w:cs="宋体"/>
          <w:color w:val="auto"/>
          <w:szCs w:val="21"/>
          <w:highlight w:val="none"/>
        </w:rPr>
        <w:t xml:space="preserve">以联合体形式参加投标的，联合体各方均必须符合本须知“合格的投标人”的一般规定，并至少有一方符合满足“合格的投标人”的特殊条款要求； </w:t>
      </w:r>
    </w:p>
    <w:p w14:paraId="0791655D">
      <w:pPr>
        <w:numPr>
          <w:ilvl w:val="2"/>
          <w:numId w:val="31"/>
        </w:numPr>
        <w:tabs>
          <w:tab w:val="left" w:pos="851"/>
          <w:tab w:val="left" w:pos="1418"/>
          <w:tab w:val="clear" w:pos="1135"/>
        </w:tabs>
        <w:autoSpaceDE w:val="0"/>
        <w:autoSpaceDN w:val="0"/>
        <w:adjustRightInd w:val="0"/>
        <w:snapToGrid w:val="0"/>
        <w:spacing w:line="360" w:lineRule="auto"/>
        <w:ind w:left="1418" w:hanging="850"/>
        <w:jc w:val="left"/>
        <w:rPr>
          <w:rFonts w:hint="eastAsia" w:ascii="宋体" w:hAnsi="宋体" w:cs="宋体"/>
          <w:color w:val="auto"/>
          <w:szCs w:val="21"/>
          <w:highlight w:val="none"/>
        </w:rPr>
      </w:pPr>
      <w:r>
        <w:rPr>
          <w:rFonts w:hint="eastAsia" w:ascii="宋体" w:hAnsi="宋体" w:cs="宋体"/>
          <w:color w:val="auto"/>
          <w:szCs w:val="21"/>
          <w:highlight w:val="none"/>
        </w:rPr>
        <w:t>联合体投标的，必须提供各方签订的共同投标协议，明确约定各方承担的工作和相应的责任。联合体各方签订共同投标协议后，不得再以自己名义单独在同一项目（或包组）中投标，也不得组成新的联合体参加同一项目（或包组）投标；</w:t>
      </w:r>
    </w:p>
    <w:p w14:paraId="0EA3A067">
      <w:pPr>
        <w:numPr>
          <w:ilvl w:val="2"/>
          <w:numId w:val="31"/>
        </w:numPr>
        <w:tabs>
          <w:tab w:val="left" w:pos="851"/>
          <w:tab w:val="left" w:pos="1418"/>
          <w:tab w:val="clear" w:pos="1135"/>
        </w:tabs>
        <w:autoSpaceDE w:val="0"/>
        <w:autoSpaceDN w:val="0"/>
        <w:adjustRightInd w:val="0"/>
        <w:snapToGrid w:val="0"/>
        <w:spacing w:line="360" w:lineRule="auto"/>
        <w:ind w:left="1418" w:hanging="850"/>
        <w:jc w:val="left"/>
        <w:rPr>
          <w:rFonts w:hint="eastAsia" w:ascii="宋体" w:hAnsi="宋体" w:cs="宋体"/>
          <w:color w:val="auto"/>
          <w:szCs w:val="21"/>
          <w:highlight w:val="none"/>
        </w:rPr>
      </w:pPr>
      <w:r>
        <w:rPr>
          <w:rFonts w:hint="eastAsia" w:ascii="宋体" w:hAnsi="宋体" w:cs="宋体"/>
          <w:color w:val="auto"/>
          <w:szCs w:val="21"/>
          <w:highlight w:val="none"/>
        </w:rPr>
        <w:t>联合体投标的，可以由联合体中的一方或者共同提交投标保证金，以一方名义提交投标保证金的，对联合体各方均具有约束力。</w:t>
      </w:r>
    </w:p>
    <w:p w14:paraId="5BFCE3DF">
      <w:pPr>
        <w:numPr>
          <w:ilvl w:val="2"/>
          <w:numId w:val="31"/>
        </w:numPr>
        <w:tabs>
          <w:tab w:val="left" w:pos="851"/>
          <w:tab w:val="left" w:pos="1418"/>
        </w:tabs>
        <w:autoSpaceDE w:val="0"/>
        <w:autoSpaceDN w:val="0"/>
        <w:adjustRightInd w:val="0"/>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联合体</w:t>
      </w:r>
      <w:r>
        <w:rPr>
          <w:rFonts w:hint="eastAsia" w:ascii="宋体" w:hAnsi="宋体" w:cs="宋体"/>
          <w:color w:val="auto"/>
          <w:szCs w:val="21"/>
          <w:highlight w:val="none"/>
        </w:rPr>
        <w:t>中标</w:t>
      </w:r>
      <w:r>
        <w:rPr>
          <w:rFonts w:ascii="宋体" w:hAnsi="宋体" w:cs="宋体"/>
          <w:color w:val="auto"/>
          <w:szCs w:val="21"/>
          <w:highlight w:val="none"/>
        </w:rPr>
        <w:t>的，联合体各方应当共同与</w:t>
      </w:r>
      <w:r>
        <w:rPr>
          <w:rFonts w:hint="eastAsia" w:ascii="宋体" w:hAnsi="宋体" w:cs="宋体"/>
          <w:color w:val="auto"/>
          <w:szCs w:val="21"/>
          <w:highlight w:val="none"/>
        </w:rPr>
        <w:t>招标人</w:t>
      </w:r>
      <w:r>
        <w:rPr>
          <w:rFonts w:ascii="宋体" w:hAnsi="宋体" w:cs="宋体"/>
          <w:color w:val="auto"/>
          <w:szCs w:val="21"/>
          <w:highlight w:val="none"/>
        </w:rPr>
        <w:t>签订合同。</w:t>
      </w:r>
    </w:p>
    <w:p w14:paraId="5B8661B9">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87" w:name="_Toc30731"/>
      <w:bookmarkStart w:id="88" w:name="_Toc30126"/>
      <w:bookmarkStart w:id="89" w:name="_Toc1681"/>
      <w:bookmarkStart w:id="90" w:name="_Toc355879684"/>
      <w:bookmarkStart w:id="91" w:name="_Toc410722655"/>
      <w:r>
        <w:rPr>
          <w:rFonts w:hint="eastAsia" w:ascii="宋体" w:hAnsi="宋体"/>
          <w:b/>
          <w:bCs/>
          <w:color w:val="auto"/>
          <w:szCs w:val="21"/>
          <w:highlight w:val="none"/>
        </w:rPr>
        <w:t>证明投标人合格和资格的文件</w:t>
      </w:r>
      <w:bookmarkEnd w:id="87"/>
      <w:bookmarkEnd w:id="88"/>
      <w:bookmarkEnd w:id="89"/>
      <w:bookmarkEnd w:id="90"/>
      <w:bookmarkEnd w:id="91"/>
    </w:p>
    <w:p w14:paraId="4468D412">
      <w:pPr>
        <w:numPr>
          <w:ilvl w:val="1"/>
          <w:numId w:val="31"/>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投标人应提交证明其有资格参加投标和中标后有能力履行合同的文件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并作为其投标文件的一部分。如果投标人为联合体</w:t>
      </w:r>
      <w:r>
        <w:rPr>
          <w:rFonts w:hint="eastAsia" w:ascii="宋体" w:hAnsi="宋体" w:cs="宋体"/>
          <w:color w:val="auto"/>
          <w:szCs w:val="21"/>
          <w:highlight w:val="none"/>
        </w:rPr>
        <w:t>，</w:t>
      </w:r>
      <w:r>
        <w:rPr>
          <w:rFonts w:hint="eastAsia" w:ascii="宋体" w:hAnsi="宋体" w:cs="宋体"/>
          <w:color w:val="auto"/>
          <w:szCs w:val="21"/>
          <w:highlight w:val="none"/>
          <w:lang w:eastAsia="zh-TW"/>
        </w:rPr>
        <w:t>应提交联合体各方的资格证明文件、</w:t>
      </w:r>
      <w:r>
        <w:rPr>
          <w:rFonts w:hint="eastAsia" w:ascii="宋体" w:hAnsi="宋体" w:cs="宋体"/>
          <w:color w:val="auto"/>
          <w:szCs w:val="21"/>
          <w:highlight w:val="none"/>
        </w:rPr>
        <w:t>共同投标协议</w:t>
      </w:r>
      <w:r>
        <w:rPr>
          <w:rFonts w:hint="eastAsia" w:ascii="宋体" w:hAnsi="宋体" w:cs="宋体"/>
          <w:color w:val="auto"/>
          <w:szCs w:val="21"/>
          <w:highlight w:val="none"/>
          <w:lang w:eastAsia="zh-TW"/>
        </w:rPr>
        <w:t>并注明主体方</w:t>
      </w:r>
      <w:r>
        <w:rPr>
          <w:rFonts w:hint="eastAsia" w:ascii="宋体" w:hAnsi="宋体" w:cs="宋体"/>
          <w:color w:val="auto"/>
          <w:szCs w:val="21"/>
          <w:highlight w:val="none"/>
        </w:rPr>
        <w:t>及各方拟承担的工作和责任。</w:t>
      </w:r>
      <w:r>
        <w:rPr>
          <w:rFonts w:hint="eastAsia" w:ascii="宋体" w:hAnsi="宋体" w:cs="宋体"/>
          <w:color w:val="auto"/>
          <w:szCs w:val="21"/>
          <w:highlight w:val="none"/>
          <w:lang w:eastAsia="zh-TW"/>
        </w:rPr>
        <w:t>否则</w:t>
      </w:r>
      <w:r>
        <w:rPr>
          <w:rFonts w:hint="eastAsia" w:ascii="宋体" w:hAnsi="宋体" w:cs="宋体"/>
          <w:color w:val="auto"/>
          <w:szCs w:val="21"/>
          <w:highlight w:val="none"/>
        </w:rPr>
        <w:t>，</w:t>
      </w:r>
      <w:r>
        <w:rPr>
          <w:rFonts w:hint="eastAsia" w:ascii="宋体" w:hAnsi="宋体" w:cs="宋体"/>
          <w:color w:val="auto"/>
          <w:szCs w:val="21"/>
          <w:highlight w:val="none"/>
          <w:lang w:eastAsia="zh-TW"/>
        </w:rPr>
        <w:t>将导致其投标</w:t>
      </w:r>
      <w:r>
        <w:rPr>
          <w:rFonts w:hint="eastAsia" w:ascii="宋体" w:hAnsi="宋体" w:cs="宋体"/>
          <w:color w:val="auto"/>
          <w:szCs w:val="21"/>
          <w:highlight w:val="none"/>
        </w:rPr>
        <w:t>无效。</w:t>
      </w:r>
    </w:p>
    <w:p w14:paraId="72DEA05A">
      <w:pPr>
        <w:numPr>
          <w:ilvl w:val="1"/>
          <w:numId w:val="31"/>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投标人提交的资格证明文件应证明其</w:t>
      </w:r>
      <w:r>
        <w:rPr>
          <w:rFonts w:hint="eastAsia" w:ascii="宋体" w:hAnsi="宋体" w:cs="宋体"/>
          <w:color w:val="auto"/>
          <w:szCs w:val="21"/>
          <w:highlight w:val="none"/>
        </w:rPr>
        <w:t>满足</w:t>
      </w:r>
      <w:r>
        <w:rPr>
          <w:rFonts w:hint="eastAsia" w:ascii="宋体" w:hAnsi="宋体" w:cs="宋体"/>
          <w:color w:val="auto"/>
          <w:szCs w:val="21"/>
          <w:highlight w:val="none"/>
          <w:lang w:eastAsia="zh-TW"/>
        </w:rPr>
        <w:t>本须知定义的合格投标人。</w:t>
      </w:r>
    </w:p>
    <w:p w14:paraId="3DF0089D">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92" w:name="_Toc410722656"/>
      <w:bookmarkStart w:id="93" w:name="_Toc484"/>
      <w:bookmarkStart w:id="94" w:name="_Toc355879685"/>
      <w:bookmarkStart w:id="95" w:name="_Toc23433"/>
      <w:bookmarkStart w:id="96" w:name="_Toc29351"/>
      <w:r>
        <w:rPr>
          <w:rFonts w:hint="eastAsia" w:ascii="宋体" w:hAnsi="宋体"/>
          <w:b/>
          <w:bCs/>
          <w:color w:val="auto"/>
          <w:szCs w:val="21"/>
          <w:highlight w:val="none"/>
        </w:rPr>
        <w:t>证明服务的合格性和符合招标文件规定的文件</w:t>
      </w:r>
      <w:bookmarkEnd w:id="92"/>
      <w:bookmarkEnd w:id="93"/>
      <w:bookmarkEnd w:id="94"/>
      <w:bookmarkEnd w:id="95"/>
      <w:bookmarkEnd w:id="96"/>
    </w:p>
    <w:p w14:paraId="159A44AE">
      <w:pPr>
        <w:numPr>
          <w:ilvl w:val="1"/>
          <w:numId w:val="31"/>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投标人应提交证明文件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证明其拟</w:t>
      </w:r>
      <w:r>
        <w:rPr>
          <w:rFonts w:hint="eastAsia" w:ascii="宋体" w:hAnsi="宋体" w:cs="宋体"/>
          <w:color w:val="auto"/>
          <w:szCs w:val="21"/>
          <w:highlight w:val="none"/>
        </w:rPr>
        <w:t>投标</w:t>
      </w:r>
      <w:r>
        <w:rPr>
          <w:rFonts w:hint="eastAsia" w:ascii="宋体" w:hAnsi="宋体" w:cs="宋体"/>
          <w:color w:val="auto"/>
          <w:szCs w:val="21"/>
          <w:highlight w:val="none"/>
          <w:lang w:eastAsia="zh-TW"/>
        </w:rPr>
        <w:t>的服务的合格性符合招标文件规定。该证明文件作为投标文件的一部分。</w:t>
      </w:r>
    </w:p>
    <w:p w14:paraId="3F41F198">
      <w:pPr>
        <w:numPr>
          <w:ilvl w:val="1"/>
          <w:numId w:val="31"/>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证明货物和服务与招标文件的要求相一致的文件，可以是文字资料、图纸和数据，它包括：</w:t>
      </w:r>
    </w:p>
    <w:p w14:paraId="6B27B530">
      <w:pPr>
        <w:numPr>
          <w:ilvl w:val="2"/>
          <w:numId w:val="31"/>
        </w:numPr>
        <w:tabs>
          <w:tab w:val="left" w:pos="851"/>
          <w:tab w:val="left" w:pos="1418"/>
        </w:tabs>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rPr>
        <w:t>服务主要内容、方案、质量、标准指标等的详细说明；</w:t>
      </w:r>
    </w:p>
    <w:p w14:paraId="33D7D417">
      <w:pPr>
        <w:numPr>
          <w:ilvl w:val="2"/>
          <w:numId w:val="31"/>
        </w:numPr>
        <w:tabs>
          <w:tab w:val="left" w:pos="851"/>
          <w:tab w:val="left" w:pos="1418"/>
          <w:tab w:val="clear" w:pos="1135"/>
        </w:tabs>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 xml:space="preserve">对照招标文件服务内容与要求，逐条说明所提供服务已对招标文件的服务内容与要 </w:t>
      </w:r>
    </w:p>
    <w:p w14:paraId="1927988E">
      <w:pPr>
        <w:tabs>
          <w:tab w:val="left" w:pos="851"/>
          <w:tab w:val="left" w:pos="1418"/>
        </w:tabs>
        <w:autoSpaceDE w:val="0"/>
        <w:autoSpaceDN w:val="0"/>
        <w:adjustRightInd w:val="0"/>
        <w:snapToGrid w:val="0"/>
        <w:spacing w:line="360" w:lineRule="auto"/>
        <w:ind w:left="567" w:leftChars="270" w:firstLine="850" w:firstLineChars="405"/>
        <w:rPr>
          <w:rFonts w:hint="eastAsia" w:ascii="宋体" w:hAnsi="宋体" w:cs="宋体"/>
          <w:color w:val="auto"/>
          <w:szCs w:val="21"/>
          <w:highlight w:val="none"/>
        </w:rPr>
      </w:pPr>
      <w:r>
        <w:rPr>
          <w:rFonts w:hint="eastAsia" w:ascii="宋体" w:hAnsi="宋体" w:cs="宋体"/>
          <w:color w:val="auto"/>
          <w:szCs w:val="21"/>
          <w:highlight w:val="none"/>
        </w:rPr>
        <w:t>求作出了实质性的响应，并申明与服务内容与要求条文的偏差和例外。特别对有具</w:t>
      </w:r>
    </w:p>
    <w:p w14:paraId="4EB339C9">
      <w:pPr>
        <w:tabs>
          <w:tab w:val="left" w:pos="851"/>
          <w:tab w:val="left" w:pos="1418"/>
        </w:tabs>
        <w:autoSpaceDE w:val="0"/>
        <w:autoSpaceDN w:val="0"/>
        <w:adjustRightInd w:val="0"/>
        <w:snapToGrid w:val="0"/>
        <w:spacing w:line="360" w:lineRule="auto"/>
        <w:ind w:left="567" w:leftChars="270" w:firstLine="850" w:firstLineChars="405"/>
        <w:rPr>
          <w:rFonts w:hint="eastAsia" w:ascii="宋体" w:hAnsi="宋体" w:cs="宋体"/>
          <w:color w:val="auto"/>
          <w:szCs w:val="21"/>
          <w:highlight w:val="none"/>
        </w:rPr>
      </w:pPr>
      <w:r>
        <w:rPr>
          <w:rFonts w:hint="eastAsia" w:ascii="宋体" w:hAnsi="宋体" w:cs="宋体"/>
          <w:color w:val="auto"/>
          <w:szCs w:val="21"/>
          <w:highlight w:val="none"/>
        </w:rPr>
        <w:t>体参数要求的指标，投标人须提供所投服务的具体参数值。投标人在阐述时应注意</w:t>
      </w:r>
    </w:p>
    <w:p w14:paraId="04168C2B">
      <w:pPr>
        <w:tabs>
          <w:tab w:val="left" w:pos="851"/>
          <w:tab w:val="left" w:pos="1418"/>
        </w:tabs>
        <w:autoSpaceDE w:val="0"/>
        <w:autoSpaceDN w:val="0"/>
        <w:adjustRightInd w:val="0"/>
        <w:snapToGrid w:val="0"/>
        <w:spacing w:line="360" w:lineRule="auto"/>
        <w:ind w:left="567" w:leftChars="270" w:firstLine="850" w:firstLineChars="405"/>
        <w:rPr>
          <w:rFonts w:hint="eastAsia" w:ascii="宋体" w:hAnsi="宋体" w:cs="宋体"/>
          <w:color w:val="auto"/>
          <w:szCs w:val="21"/>
          <w:highlight w:val="none"/>
        </w:rPr>
      </w:pPr>
      <w:r>
        <w:rPr>
          <w:rFonts w:hint="eastAsia" w:ascii="宋体" w:hAnsi="宋体" w:cs="宋体"/>
          <w:color w:val="auto"/>
          <w:szCs w:val="21"/>
          <w:highlight w:val="none"/>
        </w:rPr>
        <w:t>招标文件的服务内容、要求和标准。投标人在投标中要实质上满足或超过招标文件</w:t>
      </w:r>
    </w:p>
    <w:p w14:paraId="5392C1A4">
      <w:pPr>
        <w:tabs>
          <w:tab w:val="left" w:pos="851"/>
          <w:tab w:val="left" w:pos="1418"/>
        </w:tabs>
        <w:autoSpaceDE w:val="0"/>
        <w:autoSpaceDN w:val="0"/>
        <w:adjustRightInd w:val="0"/>
        <w:snapToGrid w:val="0"/>
        <w:spacing w:line="360" w:lineRule="auto"/>
        <w:ind w:left="567" w:leftChars="270" w:firstLine="850" w:firstLineChars="405"/>
        <w:rPr>
          <w:rFonts w:ascii="宋体" w:hAnsi="宋体"/>
          <w:color w:val="auto"/>
          <w:szCs w:val="21"/>
          <w:highlight w:val="none"/>
        </w:rPr>
      </w:pPr>
      <w:r>
        <w:rPr>
          <w:rFonts w:hint="eastAsia" w:ascii="宋体" w:hAnsi="宋体" w:cs="宋体"/>
          <w:color w:val="auto"/>
          <w:szCs w:val="21"/>
          <w:highlight w:val="none"/>
        </w:rPr>
        <w:t>的要求。</w:t>
      </w:r>
    </w:p>
    <w:p w14:paraId="0BCB7461">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97" w:name="_Toc11606"/>
      <w:bookmarkStart w:id="98" w:name="_Toc355879686"/>
      <w:bookmarkStart w:id="99" w:name="_Toc22221"/>
      <w:bookmarkStart w:id="100" w:name="_Toc410722657"/>
      <w:bookmarkStart w:id="101" w:name="_Toc26470"/>
      <w:r>
        <w:rPr>
          <w:rFonts w:hint="eastAsia" w:ascii="宋体" w:hAnsi="宋体"/>
          <w:b/>
          <w:bCs/>
          <w:color w:val="auto"/>
          <w:szCs w:val="21"/>
          <w:highlight w:val="none"/>
        </w:rPr>
        <w:t>投标保证金</w:t>
      </w:r>
      <w:bookmarkEnd w:id="97"/>
      <w:bookmarkEnd w:id="98"/>
      <w:bookmarkEnd w:id="99"/>
      <w:bookmarkEnd w:id="100"/>
      <w:bookmarkEnd w:id="101"/>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本项目不适用</w:t>
      </w:r>
      <w:r>
        <w:rPr>
          <w:rFonts w:hint="eastAsia" w:ascii="宋体" w:hAnsi="宋体"/>
          <w:b/>
          <w:bCs/>
          <w:color w:val="auto"/>
          <w:szCs w:val="21"/>
          <w:highlight w:val="none"/>
          <w:lang w:eastAsia="zh-CN"/>
        </w:rPr>
        <w:t>）</w:t>
      </w:r>
    </w:p>
    <w:p w14:paraId="29E73A0D">
      <w:pPr>
        <w:numPr>
          <w:ilvl w:val="1"/>
          <w:numId w:val="31"/>
        </w:numPr>
        <w:autoSpaceDE w:val="0"/>
        <w:autoSpaceDN w:val="0"/>
        <w:adjustRightInd w:val="0"/>
        <w:snapToGrid w:val="0"/>
        <w:spacing w:line="360" w:lineRule="auto"/>
        <w:jc w:val="left"/>
        <w:rPr>
          <w:rFonts w:hint="eastAsia" w:ascii="宋体" w:hAnsi="宋体" w:cs="黑体"/>
          <w:b/>
          <w:bCs/>
          <w:color w:val="auto"/>
          <w:szCs w:val="21"/>
          <w:highlight w:val="none"/>
        </w:rPr>
      </w:pPr>
      <w:bookmarkStart w:id="102" w:name="_Toc355879687"/>
      <w:r>
        <w:rPr>
          <w:rFonts w:hint="eastAsia" w:ascii="宋体" w:hAnsi="宋体" w:cs="宋体"/>
          <w:color w:val="auto"/>
          <w:szCs w:val="21"/>
          <w:highlight w:val="none"/>
          <w:lang w:eastAsia="zh-TW"/>
        </w:rPr>
        <w:t>投标人应</w:t>
      </w:r>
      <w:r>
        <w:rPr>
          <w:rFonts w:hint="eastAsia" w:ascii="宋体" w:hAnsi="宋体" w:cs="宋体"/>
          <w:color w:val="auto"/>
          <w:szCs w:val="21"/>
          <w:highlight w:val="none"/>
        </w:rPr>
        <w:t>按</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中规定</w:t>
      </w:r>
      <w:r>
        <w:rPr>
          <w:rFonts w:hint="eastAsia" w:ascii="宋体" w:hAnsi="宋体" w:cs="宋体"/>
          <w:color w:val="auto"/>
          <w:szCs w:val="21"/>
          <w:highlight w:val="none"/>
        </w:rPr>
        <w:t>的金</w:t>
      </w:r>
      <w:r>
        <w:rPr>
          <w:rFonts w:hint="eastAsia" w:ascii="宋体" w:hAnsi="宋体" w:cs="宋体"/>
          <w:color w:val="auto"/>
          <w:szCs w:val="21"/>
          <w:highlight w:val="none"/>
          <w:lang w:eastAsia="zh-TW"/>
        </w:rPr>
        <w:t>额</w:t>
      </w:r>
      <w:r>
        <w:rPr>
          <w:rFonts w:hint="eastAsia" w:ascii="宋体" w:hAnsi="宋体" w:cs="宋体"/>
          <w:color w:val="auto"/>
          <w:szCs w:val="21"/>
          <w:highlight w:val="none"/>
        </w:rPr>
        <w:t>、期限缴纳</w:t>
      </w:r>
      <w:r>
        <w:rPr>
          <w:rFonts w:hint="eastAsia" w:ascii="宋体" w:hAnsi="宋体" w:cs="宋体"/>
          <w:color w:val="auto"/>
          <w:szCs w:val="21"/>
          <w:highlight w:val="none"/>
          <w:lang w:eastAsia="zh-TW"/>
        </w:rPr>
        <w:t>投标保证金</w:t>
      </w:r>
      <w:r>
        <w:rPr>
          <w:rFonts w:hint="eastAsia" w:ascii="宋体" w:hAnsi="宋体" w:cs="宋体"/>
          <w:color w:val="auto"/>
          <w:szCs w:val="21"/>
          <w:highlight w:val="none"/>
        </w:rPr>
        <w:t>，</w:t>
      </w:r>
      <w:r>
        <w:rPr>
          <w:rFonts w:hint="eastAsia" w:ascii="宋体" w:hAnsi="宋体" w:cs="宋体"/>
          <w:color w:val="auto"/>
          <w:szCs w:val="21"/>
          <w:highlight w:val="none"/>
          <w:lang w:eastAsia="zh-TW"/>
        </w:rPr>
        <w:t>并作为其投标</w:t>
      </w:r>
      <w:r>
        <w:rPr>
          <w:rFonts w:hint="eastAsia" w:ascii="宋体" w:hAnsi="宋体" w:cs="宋体"/>
          <w:color w:val="auto"/>
          <w:szCs w:val="21"/>
          <w:highlight w:val="none"/>
        </w:rPr>
        <w:t>文件的组成</w:t>
      </w:r>
      <w:r>
        <w:rPr>
          <w:rFonts w:hint="eastAsia" w:ascii="宋体" w:hAnsi="宋体" w:cs="宋体"/>
          <w:color w:val="auto"/>
          <w:szCs w:val="21"/>
          <w:highlight w:val="none"/>
          <w:lang w:eastAsia="zh-TW"/>
        </w:rPr>
        <w:t>部分。</w:t>
      </w:r>
    </w:p>
    <w:p w14:paraId="105B250B">
      <w:pPr>
        <w:numPr>
          <w:ilvl w:val="1"/>
          <w:numId w:val="31"/>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如无</w:t>
      </w:r>
      <w:r>
        <w:rPr>
          <w:rFonts w:hint="eastAsia" w:ascii="宋体" w:hAnsi="宋体" w:cs="宋体"/>
          <w:color w:val="auto"/>
          <w:szCs w:val="21"/>
          <w:highlight w:val="none"/>
        </w:rPr>
        <w:t>异议</w:t>
      </w:r>
      <w:r>
        <w:rPr>
          <w:rFonts w:hint="eastAsia" w:ascii="宋体" w:hAnsi="宋体" w:cs="宋体"/>
          <w:color w:val="auto"/>
          <w:szCs w:val="21"/>
          <w:highlight w:val="none"/>
          <w:lang w:eastAsia="zh-TW"/>
        </w:rPr>
        <w:t>或投诉，未中标的投标人保证金，在中标通知书发出后五个工作日内不计利息原额退还；如有</w:t>
      </w:r>
      <w:r>
        <w:rPr>
          <w:rFonts w:hint="eastAsia" w:ascii="宋体" w:hAnsi="宋体" w:cs="宋体"/>
          <w:color w:val="auto"/>
          <w:szCs w:val="21"/>
          <w:highlight w:val="none"/>
        </w:rPr>
        <w:t>异议</w:t>
      </w:r>
      <w:r>
        <w:rPr>
          <w:rFonts w:hint="eastAsia" w:ascii="宋体" w:hAnsi="宋体" w:cs="宋体"/>
          <w:color w:val="auto"/>
          <w:szCs w:val="21"/>
          <w:highlight w:val="none"/>
          <w:lang w:eastAsia="zh-TW"/>
        </w:rPr>
        <w:t>或投诉，招标采购单位将在</w:t>
      </w:r>
      <w:r>
        <w:rPr>
          <w:rFonts w:hint="eastAsia" w:ascii="宋体" w:hAnsi="宋体" w:cs="宋体"/>
          <w:color w:val="auto"/>
          <w:szCs w:val="21"/>
          <w:highlight w:val="none"/>
        </w:rPr>
        <w:t>异议</w:t>
      </w:r>
      <w:r>
        <w:rPr>
          <w:rFonts w:hint="eastAsia" w:ascii="宋体" w:hAnsi="宋体" w:cs="宋体"/>
          <w:color w:val="auto"/>
          <w:szCs w:val="21"/>
          <w:highlight w:val="none"/>
          <w:lang w:eastAsia="zh-TW"/>
        </w:rPr>
        <w:t>和投诉处理完毕后不计利息原额退还。</w:t>
      </w:r>
    </w:p>
    <w:p w14:paraId="153AFDBA">
      <w:pPr>
        <w:numPr>
          <w:ilvl w:val="1"/>
          <w:numId w:val="31"/>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中标人的投标保证金，在中标人与招标人签订采购合同后五个工作日内不计利息原额退还。</w:t>
      </w:r>
    </w:p>
    <w:p w14:paraId="34235291">
      <w:pPr>
        <w:numPr>
          <w:ilvl w:val="1"/>
          <w:numId w:val="31"/>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下列任一情况发生时</w:t>
      </w:r>
      <w:r>
        <w:rPr>
          <w:rFonts w:hint="eastAsia" w:ascii="宋体" w:hAnsi="宋体" w:cs="宋体"/>
          <w:color w:val="auto"/>
          <w:szCs w:val="21"/>
          <w:highlight w:val="none"/>
        </w:rPr>
        <w:t>，</w:t>
      </w:r>
      <w:r>
        <w:rPr>
          <w:rFonts w:hint="eastAsia" w:ascii="宋体" w:hAnsi="宋体" w:cs="宋体"/>
          <w:color w:val="auto"/>
          <w:szCs w:val="21"/>
          <w:highlight w:val="none"/>
          <w:lang w:eastAsia="zh-TW"/>
        </w:rPr>
        <w:t>投标保证金将被</w:t>
      </w:r>
      <w:r>
        <w:rPr>
          <w:rFonts w:hint="eastAsia" w:ascii="宋体" w:hAnsi="宋体" w:cs="宋体"/>
          <w:color w:val="auto"/>
          <w:szCs w:val="21"/>
          <w:highlight w:val="none"/>
          <w:lang w:eastAsia="zh-CN"/>
        </w:rPr>
        <w:t>不予退还</w:t>
      </w:r>
      <w:r>
        <w:rPr>
          <w:rFonts w:hint="eastAsia" w:ascii="宋体" w:hAnsi="宋体" w:cs="宋体"/>
          <w:color w:val="auto"/>
          <w:szCs w:val="21"/>
          <w:highlight w:val="none"/>
        </w:rPr>
        <w:t>：</w:t>
      </w:r>
    </w:p>
    <w:p w14:paraId="74FBD15D">
      <w:pPr>
        <w:numPr>
          <w:ilvl w:val="2"/>
          <w:numId w:val="31"/>
        </w:numPr>
        <w:tabs>
          <w:tab w:val="left" w:pos="851"/>
          <w:tab w:val="left" w:pos="1418"/>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投标人在招标文件中规定的投标有效期内撤回其投标；</w:t>
      </w:r>
    </w:p>
    <w:p w14:paraId="0F2B1FE8">
      <w:pPr>
        <w:numPr>
          <w:ilvl w:val="2"/>
          <w:numId w:val="31"/>
        </w:numPr>
        <w:tabs>
          <w:tab w:val="left" w:pos="851"/>
          <w:tab w:val="left" w:pos="1418"/>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中标后无正当理由放弃中标或中标人在规定期限内未能根据本须知规定签订合同；</w:t>
      </w:r>
    </w:p>
    <w:p w14:paraId="63D281C7">
      <w:pPr>
        <w:numPr>
          <w:ilvl w:val="2"/>
          <w:numId w:val="31"/>
        </w:numPr>
        <w:tabs>
          <w:tab w:val="left" w:pos="851"/>
          <w:tab w:val="left" w:pos="1418"/>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中标</w:t>
      </w:r>
      <w:r>
        <w:rPr>
          <w:rFonts w:hint="eastAsia" w:ascii="宋体" w:hAnsi="宋体" w:cs="宋体"/>
          <w:color w:val="auto"/>
          <w:szCs w:val="21"/>
          <w:highlight w:val="none"/>
          <w:lang w:eastAsia="zh-TW"/>
        </w:rPr>
        <w:t>人未按招标文件要求递交履约保证金的</w:t>
      </w:r>
      <w:r>
        <w:rPr>
          <w:rFonts w:hint="eastAsia" w:ascii="宋体" w:hAnsi="宋体" w:cs="宋体"/>
          <w:color w:val="auto"/>
          <w:szCs w:val="21"/>
          <w:highlight w:val="none"/>
        </w:rPr>
        <w:t>；</w:t>
      </w:r>
    </w:p>
    <w:p w14:paraId="6E539138">
      <w:pPr>
        <w:numPr>
          <w:ilvl w:val="2"/>
          <w:numId w:val="31"/>
        </w:numPr>
        <w:tabs>
          <w:tab w:val="left" w:pos="1418"/>
          <w:tab w:val="clear" w:pos="1135"/>
        </w:tabs>
        <w:autoSpaceDE w:val="0"/>
        <w:autoSpaceDN w:val="0"/>
        <w:adjustRightInd w:val="0"/>
        <w:snapToGrid w:val="0"/>
        <w:spacing w:line="360" w:lineRule="auto"/>
        <w:ind w:left="1418" w:hanging="850"/>
        <w:jc w:val="left"/>
        <w:rPr>
          <w:rFonts w:ascii="宋体" w:hAnsi="宋体" w:cs="宋体"/>
          <w:color w:val="auto"/>
          <w:szCs w:val="21"/>
          <w:highlight w:val="none"/>
        </w:rPr>
      </w:pPr>
      <w:r>
        <w:rPr>
          <w:rFonts w:hint="eastAsia" w:ascii="宋体" w:hAnsi="宋体" w:cs="宋体"/>
          <w:color w:val="auto"/>
          <w:szCs w:val="21"/>
          <w:highlight w:val="none"/>
        </w:rPr>
        <w:t>将中标项目转让给他人，或者在投标文件中未说明，且未经招标人同意，违反招标文件规定，将中标项目分包给他人的；</w:t>
      </w:r>
    </w:p>
    <w:p w14:paraId="2B5A3187">
      <w:pPr>
        <w:numPr>
          <w:ilvl w:val="2"/>
          <w:numId w:val="31"/>
        </w:numPr>
        <w:tabs>
          <w:tab w:val="left" w:pos="851"/>
          <w:tab w:val="left" w:pos="1418"/>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中标人未按本须知规定交纳招标代理服务费。</w:t>
      </w:r>
    </w:p>
    <w:p w14:paraId="30DEF1A4">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03" w:name="_Toc410722658"/>
      <w:bookmarkStart w:id="104" w:name="_Toc12787"/>
      <w:bookmarkStart w:id="105" w:name="_Toc2167"/>
      <w:bookmarkStart w:id="106" w:name="_Toc31451"/>
      <w:r>
        <w:rPr>
          <w:rFonts w:hint="eastAsia" w:ascii="宋体" w:hAnsi="宋体"/>
          <w:b/>
          <w:bCs/>
          <w:color w:val="auto"/>
          <w:szCs w:val="21"/>
          <w:highlight w:val="none"/>
        </w:rPr>
        <w:t>投标有效期</w:t>
      </w:r>
      <w:bookmarkEnd w:id="102"/>
      <w:bookmarkEnd w:id="103"/>
      <w:bookmarkEnd w:id="104"/>
      <w:bookmarkEnd w:id="105"/>
      <w:bookmarkEnd w:id="106"/>
    </w:p>
    <w:p w14:paraId="5EFA6581">
      <w:pPr>
        <w:numPr>
          <w:ilvl w:val="1"/>
          <w:numId w:val="31"/>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投标应自</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中规定的</w:t>
      </w:r>
      <w:r>
        <w:rPr>
          <w:rFonts w:hint="eastAsia" w:ascii="宋体" w:hAnsi="宋体" w:cs="宋体"/>
          <w:color w:val="auto"/>
          <w:szCs w:val="21"/>
          <w:highlight w:val="none"/>
        </w:rPr>
        <w:t>投标文件递交截止时间</w:t>
      </w:r>
      <w:r>
        <w:rPr>
          <w:rFonts w:hint="eastAsia" w:ascii="宋体" w:hAnsi="宋体" w:cs="宋体"/>
          <w:color w:val="auto"/>
          <w:szCs w:val="21"/>
          <w:highlight w:val="none"/>
          <w:lang w:eastAsia="zh-TW"/>
        </w:rPr>
        <w:t>起</w:t>
      </w:r>
      <w:r>
        <w:rPr>
          <w:rFonts w:hint="eastAsia" w:ascii="宋体" w:hAnsi="宋体" w:cs="宋体"/>
          <w:color w:val="auto"/>
          <w:szCs w:val="21"/>
          <w:highlight w:val="none"/>
        </w:rPr>
        <w:t>，</w:t>
      </w:r>
      <w:r>
        <w:rPr>
          <w:rFonts w:hint="eastAsia" w:ascii="宋体" w:hAnsi="宋体" w:cs="宋体"/>
          <w:color w:val="auto"/>
          <w:szCs w:val="21"/>
          <w:highlight w:val="none"/>
          <w:lang w:eastAsia="zh-TW"/>
        </w:rPr>
        <w:t>并在</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中所述期限内保持有效。投标有效期不足的投标将被视为非实质性响应</w:t>
      </w:r>
      <w:r>
        <w:rPr>
          <w:rFonts w:hint="eastAsia" w:ascii="宋体" w:hAnsi="宋体"/>
          <w:color w:val="auto"/>
          <w:szCs w:val="21"/>
          <w:highlight w:val="none"/>
        </w:rPr>
        <w:t>，</w:t>
      </w:r>
      <w:r>
        <w:rPr>
          <w:rFonts w:hint="eastAsia" w:ascii="宋体" w:hAnsi="宋体" w:cs="宋体"/>
          <w:color w:val="auto"/>
          <w:szCs w:val="21"/>
          <w:highlight w:val="none"/>
        </w:rPr>
        <w:t>视为无效投标</w:t>
      </w:r>
      <w:r>
        <w:rPr>
          <w:rFonts w:hint="eastAsia" w:ascii="宋体" w:hAnsi="宋体" w:cs="宋体"/>
          <w:color w:val="auto"/>
          <w:szCs w:val="21"/>
          <w:highlight w:val="none"/>
          <w:lang w:eastAsia="zh-TW"/>
        </w:rPr>
        <w:t>。</w:t>
      </w:r>
    </w:p>
    <w:p w14:paraId="25FFE439">
      <w:pPr>
        <w:numPr>
          <w:ilvl w:val="1"/>
          <w:numId w:val="31"/>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特殊情况下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在原投标有效期截止之前</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招标代理机构可要求投标人延长投标有效期。这种要求与答复均应以书面形式提交。投标人可拒绝招标代理机构的这种要求</w:t>
      </w:r>
      <w:r>
        <w:rPr>
          <w:rFonts w:hint="eastAsia" w:ascii="宋体" w:hAnsi="宋体" w:cs="宋体"/>
          <w:color w:val="auto"/>
          <w:szCs w:val="21"/>
          <w:highlight w:val="none"/>
        </w:rPr>
        <w:t>，</w:t>
      </w:r>
      <w:r>
        <w:rPr>
          <w:rFonts w:hint="eastAsia" w:ascii="宋体" w:hAnsi="宋体" w:cs="宋体"/>
          <w:color w:val="auto"/>
          <w:szCs w:val="21"/>
          <w:highlight w:val="none"/>
          <w:lang w:eastAsia="zh-TW"/>
        </w:rPr>
        <w:t>其投标保证金将不会被</w:t>
      </w:r>
      <w:r>
        <w:rPr>
          <w:rFonts w:hint="eastAsia" w:ascii="宋体" w:hAnsi="宋体" w:cs="宋体"/>
          <w:color w:val="auto"/>
          <w:szCs w:val="21"/>
          <w:highlight w:val="none"/>
          <w:lang w:eastAsia="zh-CN"/>
        </w:rPr>
        <w:t>不予退还</w:t>
      </w:r>
      <w:r>
        <w:rPr>
          <w:rFonts w:hint="eastAsia" w:ascii="宋体" w:hAnsi="宋体" w:cs="宋体"/>
          <w:color w:val="auto"/>
          <w:szCs w:val="21"/>
          <w:highlight w:val="none"/>
        </w:rPr>
        <w:t>，</w:t>
      </w:r>
      <w:r>
        <w:rPr>
          <w:rFonts w:hint="eastAsia" w:ascii="宋体" w:hAnsi="宋体" w:cs="宋体"/>
          <w:color w:val="auto"/>
          <w:szCs w:val="21"/>
          <w:highlight w:val="none"/>
          <w:lang w:eastAsia="zh-TW"/>
        </w:rPr>
        <w:t>但其投标在原投标有效期期满后将不再有效。同意延长投标有效期的投标人将不会被要求和允许修正其投标</w:t>
      </w:r>
      <w:r>
        <w:rPr>
          <w:rFonts w:hint="eastAsia" w:ascii="宋体" w:hAnsi="宋体" w:cs="宋体"/>
          <w:color w:val="auto"/>
          <w:szCs w:val="21"/>
          <w:highlight w:val="none"/>
        </w:rPr>
        <w:t>，</w:t>
      </w:r>
      <w:r>
        <w:rPr>
          <w:rFonts w:hint="eastAsia" w:ascii="宋体" w:hAnsi="宋体" w:cs="宋体"/>
          <w:color w:val="auto"/>
          <w:szCs w:val="21"/>
          <w:highlight w:val="none"/>
          <w:lang w:eastAsia="zh-TW"/>
        </w:rPr>
        <w:t>而只会被要求相应地延长其投标保证金的有效期。在这种情况下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本须知有关投标保证金的退还和</w:t>
      </w:r>
      <w:r>
        <w:rPr>
          <w:rFonts w:hint="eastAsia" w:ascii="宋体" w:hAnsi="宋体" w:cs="宋体"/>
          <w:color w:val="auto"/>
          <w:szCs w:val="21"/>
          <w:highlight w:val="none"/>
          <w:lang w:eastAsia="zh-CN"/>
        </w:rPr>
        <w:t>不予退还</w:t>
      </w:r>
      <w:r>
        <w:rPr>
          <w:rFonts w:hint="eastAsia" w:ascii="宋体" w:hAnsi="宋体" w:cs="宋体"/>
          <w:color w:val="auto"/>
          <w:szCs w:val="21"/>
          <w:highlight w:val="none"/>
          <w:lang w:eastAsia="zh-TW"/>
        </w:rPr>
        <w:t>的规定将在延长了的有效期内继续有效。</w:t>
      </w:r>
    </w:p>
    <w:p w14:paraId="5E09A6C5">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07" w:name="_Toc2819"/>
      <w:bookmarkStart w:id="108" w:name="_Toc355879688"/>
      <w:bookmarkStart w:id="109" w:name="_Toc27055"/>
      <w:bookmarkStart w:id="110" w:name="_Toc21846"/>
      <w:bookmarkStart w:id="111" w:name="_Toc410722659"/>
      <w:r>
        <w:rPr>
          <w:rFonts w:hint="eastAsia" w:ascii="宋体" w:hAnsi="宋体"/>
          <w:b/>
          <w:bCs/>
          <w:color w:val="auto"/>
          <w:szCs w:val="21"/>
          <w:highlight w:val="none"/>
        </w:rPr>
        <w:t>投标文件的式样和签署</w:t>
      </w:r>
      <w:bookmarkEnd w:id="107"/>
      <w:bookmarkEnd w:id="108"/>
      <w:bookmarkEnd w:id="109"/>
      <w:bookmarkEnd w:id="110"/>
      <w:bookmarkEnd w:id="111"/>
    </w:p>
    <w:p w14:paraId="4F794F6E">
      <w:pPr>
        <w:numPr>
          <w:ilvl w:val="1"/>
          <w:numId w:val="31"/>
        </w:numPr>
        <w:autoSpaceDE w:val="0"/>
        <w:autoSpaceDN w:val="0"/>
        <w:adjustRightInd w:val="0"/>
        <w:snapToGrid w:val="0"/>
        <w:spacing w:line="360" w:lineRule="auto"/>
        <w:rPr>
          <w:rFonts w:hint="eastAsia"/>
          <w:color w:val="auto"/>
          <w:highlight w:val="none"/>
        </w:rPr>
      </w:pPr>
      <w:r>
        <w:rPr>
          <w:rFonts w:hint="eastAsia" w:ascii="宋体" w:hAnsi="宋体" w:cs="宋体"/>
          <w:color w:val="auto"/>
          <w:szCs w:val="21"/>
          <w:highlight w:val="none"/>
          <w:lang w:eastAsia="zh-TW"/>
        </w:rPr>
        <w:t>投标文件的式样：投标人应准备一份投标文件正本</w:t>
      </w:r>
      <w:r>
        <w:rPr>
          <w:rFonts w:hint="eastAsia" w:ascii="宋体" w:hAnsi="宋体" w:cs="宋体"/>
          <w:color w:val="auto"/>
          <w:szCs w:val="21"/>
          <w:highlight w:val="none"/>
        </w:rPr>
        <w:t>、电子文件</w:t>
      </w:r>
      <w:r>
        <w:rPr>
          <w:rFonts w:hint="eastAsia" w:ascii="宋体" w:hAnsi="宋体" w:cs="宋体"/>
          <w:color w:val="auto"/>
          <w:szCs w:val="21"/>
          <w:highlight w:val="none"/>
          <w:lang w:eastAsia="zh-TW"/>
        </w:rPr>
        <w:t>和</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中规定数目的副本。</w:t>
      </w:r>
      <w:r>
        <w:rPr>
          <w:rFonts w:hint="eastAsia" w:ascii="宋体" w:hAnsi="宋体"/>
          <w:color w:val="auto"/>
          <w:szCs w:val="21"/>
          <w:highlight w:val="none"/>
        </w:rPr>
        <w:t>投标文件原则上采用A4纸制做。每份投标文件必须分别固定装订成册（不得采用活页形式），并在投标文件封面上清楚地标明“正本”或“副本”字样。</w:t>
      </w:r>
      <w:r>
        <w:rPr>
          <w:rFonts w:hint="eastAsia" w:ascii="宋体" w:hAnsi="宋体" w:cs="宋体"/>
          <w:color w:val="auto"/>
          <w:szCs w:val="21"/>
          <w:highlight w:val="none"/>
          <w:lang w:eastAsia="zh-TW"/>
        </w:rPr>
        <w:t>若副本与正本不符</w:t>
      </w:r>
      <w:r>
        <w:rPr>
          <w:rFonts w:hint="eastAsia" w:ascii="宋体" w:hAnsi="宋体" w:cs="宋体"/>
          <w:color w:val="auto"/>
          <w:szCs w:val="21"/>
          <w:highlight w:val="none"/>
        </w:rPr>
        <w:t>，</w:t>
      </w:r>
      <w:r>
        <w:rPr>
          <w:rFonts w:hint="eastAsia" w:ascii="宋体" w:hAnsi="宋体" w:cs="宋体"/>
          <w:color w:val="auto"/>
          <w:szCs w:val="21"/>
          <w:highlight w:val="none"/>
          <w:lang w:eastAsia="zh-TW"/>
        </w:rPr>
        <w:t>以正本为准。</w:t>
      </w:r>
      <w:r>
        <w:rPr>
          <w:rFonts w:hint="eastAsia" w:ascii="宋体" w:hAnsi="宋体"/>
          <w:color w:val="auto"/>
          <w:szCs w:val="21"/>
          <w:highlight w:val="none"/>
        </w:rPr>
        <w:t>投标人应按</w:t>
      </w:r>
      <w:r>
        <w:rPr>
          <w:rFonts w:hint="eastAsia" w:ascii="宋体" w:hAnsi="宋体"/>
          <w:b/>
          <w:color w:val="auto"/>
          <w:szCs w:val="21"/>
          <w:highlight w:val="none"/>
        </w:rPr>
        <w:t>投标资料表</w:t>
      </w:r>
      <w:r>
        <w:rPr>
          <w:rFonts w:hint="eastAsia" w:ascii="宋体" w:hAnsi="宋体"/>
          <w:color w:val="auto"/>
          <w:szCs w:val="21"/>
          <w:highlight w:val="none"/>
        </w:rPr>
        <w:t>的规定，同时提交电子介质的投标文件。电子介质的投标文件与纸质投标文件具有同等的法律效力。除非</w:t>
      </w:r>
      <w:r>
        <w:rPr>
          <w:rFonts w:hint="eastAsia" w:ascii="宋体" w:hAnsi="宋体"/>
          <w:b/>
          <w:color w:val="auto"/>
          <w:szCs w:val="21"/>
          <w:highlight w:val="none"/>
        </w:rPr>
        <w:t>投标资料表</w:t>
      </w:r>
      <w:r>
        <w:rPr>
          <w:rFonts w:hint="eastAsia" w:ascii="宋体" w:hAnsi="宋体"/>
          <w:color w:val="auto"/>
          <w:szCs w:val="21"/>
          <w:highlight w:val="none"/>
        </w:rPr>
        <w:t>中另有规定，电子介质的投标文件与纸质投标文件不一致时，以纸质投标文件为准。</w:t>
      </w:r>
    </w:p>
    <w:p w14:paraId="1D0D3C27">
      <w:pPr>
        <w:numPr>
          <w:ilvl w:val="1"/>
          <w:numId w:val="31"/>
        </w:numPr>
        <w:autoSpaceDE w:val="0"/>
        <w:autoSpaceDN w:val="0"/>
        <w:adjustRightInd w:val="0"/>
        <w:snapToGrid w:val="0"/>
        <w:spacing w:line="360" w:lineRule="auto"/>
        <w:rPr>
          <w:rFonts w:hint="eastAsia"/>
          <w:color w:val="auto"/>
          <w:highlight w:val="none"/>
        </w:rPr>
      </w:pPr>
      <w:r>
        <w:rPr>
          <w:rFonts w:hint="eastAsia"/>
          <w:color w:val="auto"/>
          <w:highlight w:val="none"/>
        </w:rPr>
        <w:t>电子介质的投标文件：是指将按招标文件要求签署、盖章后的正本投标文件扫描成PDF格式后拷贝至无病毒无密码的U盘或光盘。</w:t>
      </w:r>
    </w:p>
    <w:p w14:paraId="0DDE8C72">
      <w:pPr>
        <w:numPr>
          <w:ilvl w:val="1"/>
          <w:numId w:val="31"/>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投标文件的签署：</w:t>
      </w:r>
    </w:p>
    <w:p w14:paraId="1BF76D69">
      <w:pPr>
        <w:numPr>
          <w:ilvl w:val="2"/>
          <w:numId w:val="31"/>
        </w:numPr>
        <w:tabs>
          <w:tab w:val="left" w:pos="851"/>
          <w:tab w:val="left" w:pos="1418"/>
          <w:tab w:val="clear" w:pos="1135"/>
        </w:tabs>
        <w:autoSpaceDE w:val="0"/>
        <w:autoSpaceDN w:val="0"/>
        <w:adjustRightInd w:val="0"/>
        <w:snapToGrid w:val="0"/>
        <w:spacing w:line="360" w:lineRule="auto"/>
        <w:ind w:left="1418" w:hanging="850"/>
        <w:rPr>
          <w:rFonts w:ascii="宋体" w:hAnsi="宋体" w:cs="宋体"/>
          <w:color w:val="auto"/>
          <w:szCs w:val="21"/>
          <w:highlight w:val="none"/>
        </w:rPr>
      </w:pPr>
      <w:r>
        <w:rPr>
          <w:rFonts w:hint="eastAsia" w:ascii="宋体" w:hAnsi="宋体"/>
          <w:color w:val="auto"/>
          <w:szCs w:val="21"/>
          <w:highlight w:val="none"/>
        </w:rPr>
        <w:t>投标文件正本须用不褪色墨水书写或打印，投标文件格式规定签字或盖章处须由投标人的法定代表人或经其正式授权的代表亲笔签署本人姓名或印盖本人姓名章，不得加盖合同专用章、投标人专用章、或其他电子制版章等各种形式的专用章。</w:t>
      </w:r>
      <w:r>
        <w:rPr>
          <w:rFonts w:hint="eastAsia" w:ascii="宋体" w:hAnsi="宋体" w:cs="宋体"/>
          <w:b/>
          <w:bCs/>
          <w:color w:val="auto"/>
          <w:sz w:val="24"/>
          <w:szCs w:val="24"/>
          <w:highlight w:val="none"/>
          <w:u w:val="double"/>
        </w:rPr>
        <w:t>投标文件正本须在封面及明示盖章处加盖投标人公章，副本应为正本签字盖章后的复印件，与正本具有同等法律效力</w:t>
      </w:r>
      <w:r>
        <w:rPr>
          <w:rFonts w:hint="eastAsia" w:ascii="宋体" w:hAnsi="宋体" w:cs="宋体"/>
          <w:b/>
          <w:bCs/>
          <w:color w:val="auto"/>
          <w:sz w:val="24"/>
          <w:szCs w:val="24"/>
          <w:highlight w:val="none"/>
          <w:u w:val="double"/>
          <w:lang w:eastAsia="zh-TW"/>
        </w:rPr>
        <w:t>。</w:t>
      </w:r>
      <w:r>
        <w:rPr>
          <w:rFonts w:hint="eastAsia" w:ascii="宋体" w:hAnsi="宋体"/>
          <w:color w:val="auto"/>
          <w:szCs w:val="21"/>
          <w:highlight w:val="none"/>
        </w:rPr>
        <w:t>授权代表须将以书面形式出具的</w:t>
      </w:r>
      <w:r>
        <w:rPr>
          <w:rFonts w:hint="eastAsia" w:ascii="宋体" w:hAnsi="宋体" w:cs="宋体"/>
          <w:color w:val="auto"/>
          <w:szCs w:val="21"/>
          <w:highlight w:val="none"/>
        </w:rPr>
        <w:t>《法定代表人授权委托书》</w:t>
      </w:r>
      <w:r>
        <w:rPr>
          <w:rFonts w:hint="eastAsia" w:ascii="宋体" w:hAnsi="宋体"/>
          <w:color w:val="auto"/>
          <w:szCs w:val="21"/>
          <w:highlight w:val="none"/>
        </w:rPr>
        <w:t>附在投标文件中</w:t>
      </w:r>
      <w:r>
        <w:rPr>
          <w:rFonts w:hint="eastAsia" w:ascii="宋体" w:hAnsi="宋体" w:cs="宋体"/>
          <w:color w:val="auto"/>
          <w:szCs w:val="21"/>
          <w:highlight w:val="none"/>
          <w:lang w:eastAsia="zh-TW"/>
        </w:rPr>
        <w:t>。</w:t>
      </w:r>
    </w:p>
    <w:p w14:paraId="672D5993">
      <w:pPr>
        <w:numPr>
          <w:ilvl w:val="2"/>
          <w:numId w:val="31"/>
        </w:numPr>
        <w:tabs>
          <w:tab w:val="left" w:pos="709"/>
          <w:tab w:val="left" w:pos="1418"/>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投标文件中的任何重要的插字、涂改和增删，必须由法定代表人或经其正式授权的代表在旁边</w:t>
      </w:r>
      <w:r>
        <w:rPr>
          <w:rFonts w:hint="eastAsia" w:ascii="宋体" w:hAnsi="宋体" w:cs="宋体"/>
          <w:color w:val="auto"/>
          <w:szCs w:val="21"/>
          <w:highlight w:val="none"/>
        </w:rPr>
        <w:t>签章或签字</w:t>
      </w:r>
      <w:r>
        <w:rPr>
          <w:rFonts w:hint="eastAsia" w:ascii="宋体" w:hAnsi="宋体" w:cs="宋体"/>
          <w:color w:val="auto"/>
          <w:szCs w:val="21"/>
          <w:highlight w:val="none"/>
          <w:lang w:eastAsia="zh-TW"/>
        </w:rPr>
        <w:t>才有效。</w:t>
      </w:r>
    </w:p>
    <w:p w14:paraId="48C6C7B2">
      <w:pPr>
        <w:numPr>
          <w:ilvl w:val="0"/>
          <w:numId w:val="30"/>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112" w:name="_Toc355879689"/>
      <w:bookmarkStart w:id="113" w:name="_Toc30454"/>
      <w:bookmarkStart w:id="114" w:name="_Toc8815"/>
      <w:bookmarkStart w:id="115" w:name="_Toc410722660"/>
      <w:bookmarkStart w:id="116" w:name="_Toc2435"/>
      <w:r>
        <w:rPr>
          <w:rFonts w:hint="eastAsia" w:ascii="宋体" w:hAnsi="宋体"/>
          <w:b/>
          <w:color w:val="auto"/>
          <w:sz w:val="28"/>
          <w:szCs w:val="28"/>
          <w:highlight w:val="none"/>
          <w:lang w:eastAsia="zh-TW"/>
        </w:rPr>
        <w:t>投标文件的递交</w:t>
      </w:r>
      <w:bookmarkEnd w:id="112"/>
      <w:bookmarkEnd w:id="113"/>
      <w:bookmarkEnd w:id="114"/>
      <w:bookmarkEnd w:id="115"/>
      <w:bookmarkEnd w:id="116"/>
    </w:p>
    <w:p w14:paraId="63C2B048">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17" w:name="_Toc355879690"/>
      <w:bookmarkStart w:id="118" w:name="_Toc23439"/>
      <w:bookmarkStart w:id="119" w:name="_Toc27082"/>
      <w:bookmarkStart w:id="120" w:name="_Toc410722661"/>
      <w:bookmarkStart w:id="121" w:name="_Toc1606"/>
      <w:r>
        <w:rPr>
          <w:rFonts w:hint="eastAsia" w:ascii="宋体" w:hAnsi="宋体"/>
          <w:b/>
          <w:bCs/>
          <w:color w:val="auto"/>
          <w:szCs w:val="21"/>
          <w:highlight w:val="none"/>
        </w:rPr>
        <w:t>投标文件的密封和标记</w:t>
      </w:r>
      <w:bookmarkEnd w:id="117"/>
      <w:bookmarkEnd w:id="118"/>
      <w:bookmarkEnd w:id="119"/>
      <w:bookmarkEnd w:id="120"/>
      <w:bookmarkEnd w:id="121"/>
    </w:p>
    <w:p w14:paraId="6E923936">
      <w:pPr>
        <w:numPr>
          <w:ilvl w:val="1"/>
          <w:numId w:val="31"/>
        </w:numPr>
        <w:autoSpaceDE w:val="0"/>
        <w:autoSpaceDN w:val="0"/>
        <w:adjustRightInd w:val="0"/>
        <w:snapToGrid w:val="0"/>
        <w:spacing w:line="360" w:lineRule="auto"/>
        <w:rPr>
          <w:rFonts w:hint="eastAsia" w:ascii="宋体" w:hAnsi="宋体" w:cs="黑体"/>
          <w:b/>
          <w:bCs/>
          <w:dstrike/>
          <w:color w:val="auto"/>
          <w:szCs w:val="21"/>
          <w:highlight w:val="none"/>
        </w:rPr>
      </w:pPr>
      <w:r>
        <w:rPr>
          <w:rFonts w:hint="eastAsia" w:ascii="宋体" w:hAnsi="宋体" w:cs="宋体"/>
          <w:b/>
          <w:bCs/>
          <w:color w:val="auto"/>
          <w:sz w:val="24"/>
          <w:szCs w:val="24"/>
          <w:highlight w:val="none"/>
          <w:u w:val="double"/>
          <w:lang w:eastAsia="zh-TW"/>
        </w:rPr>
        <w:t>为方便开标唱标</w:t>
      </w:r>
      <w:r>
        <w:rPr>
          <w:rFonts w:hint="eastAsia" w:ascii="宋体" w:hAnsi="宋体" w:cs="宋体"/>
          <w:b/>
          <w:bCs/>
          <w:color w:val="auto"/>
          <w:sz w:val="24"/>
          <w:szCs w:val="24"/>
          <w:highlight w:val="none"/>
          <w:u w:val="double"/>
        </w:rPr>
        <w:t>，</w:t>
      </w:r>
      <w:r>
        <w:rPr>
          <w:rFonts w:hint="eastAsia" w:ascii="宋体" w:hAnsi="宋体" w:cs="宋体"/>
          <w:b/>
          <w:bCs/>
          <w:color w:val="auto"/>
          <w:sz w:val="24"/>
          <w:szCs w:val="24"/>
          <w:highlight w:val="none"/>
          <w:u w:val="double"/>
          <w:lang w:eastAsia="zh-TW"/>
        </w:rPr>
        <w:t>投标人应将法定代表人证明书或法定代表人授权委托书</w:t>
      </w:r>
      <w:r>
        <w:rPr>
          <w:rFonts w:hint="eastAsia" w:ascii="宋体" w:hAnsi="宋体" w:cs="宋体"/>
          <w:b/>
          <w:bCs/>
          <w:color w:val="auto"/>
          <w:sz w:val="24"/>
          <w:szCs w:val="24"/>
          <w:highlight w:val="none"/>
          <w:u w:val="double"/>
        </w:rPr>
        <w:t>、</w:t>
      </w:r>
      <w:r>
        <w:rPr>
          <w:rFonts w:hint="eastAsia" w:ascii="宋体" w:hAnsi="宋体" w:cs="宋体"/>
          <w:b/>
          <w:bCs/>
          <w:color w:val="auto"/>
          <w:sz w:val="24"/>
          <w:szCs w:val="24"/>
          <w:highlight w:val="none"/>
          <w:u w:val="double"/>
          <w:lang w:val="en-US" w:eastAsia="zh-CN"/>
        </w:rPr>
        <w:t>开标一览表和</w:t>
      </w:r>
      <w:r>
        <w:rPr>
          <w:rFonts w:hint="eastAsia" w:ascii="宋体" w:hAnsi="宋体" w:cs="宋体"/>
          <w:b/>
          <w:bCs/>
          <w:color w:val="auto"/>
          <w:sz w:val="24"/>
          <w:szCs w:val="24"/>
          <w:highlight w:val="none"/>
          <w:u w:val="double"/>
        </w:rPr>
        <w:t>电子文件</w:t>
      </w:r>
      <w:r>
        <w:rPr>
          <w:rFonts w:hint="eastAsia" w:ascii="宋体" w:hAnsi="宋体" w:cs="宋体"/>
          <w:b/>
          <w:bCs/>
          <w:color w:val="auto"/>
          <w:sz w:val="24"/>
          <w:szCs w:val="24"/>
          <w:highlight w:val="none"/>
          <w:u w:val="double"/>
          <w:lang w:eastAsia="zh-TW"/>
        </w:rPr>
        <w:t>单独</w:t>
      </w:r>
      <w:r>
        <w:rPr>
          <w:rFonts w:hint="eastAsia" w:ascii="宋体" w:hAnsi="宋体" w:cs="宋体"/>
          <w:b/>
          <w:bCs/>
          <w:color w:val="auto"/>
          <w:sz w:val="24"/>
          <w:szCs w:val="24"/>
          <w:highlight w:val="none"/>
          <w:u w:val="double"/>
        </w:rPr>
        <w:t>一起</w:t>
      </w:r>
      <w:r>
        <w:rPr>
          <w:rFonts w:hint="eastAsia" w:ascii="宋体" w:hAnsi="宋体" w:cs="宋体"/>
          <w:b/>
          <w:bCs/>
          <w:color w:val="auto"/>
          <w:sz w:val="24"/>
          <w:szCs w:val="24"/>
          <w:highlight w:val="none"/>
          <w:u w:val="double"/>
          <w:lang w:eastAsia="zh-TW"/>
        </w:rPr>
        <w:t>密封提交</w:t>
      </w:r>
      <w:r>
        <w:rPr>
          <w:rFonts w:hint="eastAsia" w:ascii="宋体" w:hAnsi="宋体" w:cs="宋体"/>
          <w:b/>
          <w:bCs/>
          <w:color w:val="auto"/>
          <w:sz w:val="24"/>
          <w:szCs w:val="24"/>
          <w:highlight w:val="none"/>
          <w:u w:val="double"/>
        </w:rPr>
        <w:t>。</w:t>
      </w:r>
      <w:r>
        <w:rPr>
          <w:rFonts w:hint="eastAsia" w:ascii="宋体" w:hAnsi="宋体" w:cs="宋体"/>
          <w:color w:val="auto"/>
          <w:szCs w:val="21"/>
          <w:highlight w:val="none"/>
        </w:rPr>
        <w:t>若联合体投标，应将各方共同签署的《联合投标协议》和《投标联合体授权主体方协议书》一并提交，</w:t>
      </w:r>
      <w:r>
        <w:rPr>
          <w:rFonts w:hint="eastAsia" w:ascii="宋体" w:hAnsi="宋体" w:cs="宋体"/>
          <w:color w:val="auto"/>
          <w:szCs w:val="21"/>
          <w:highlight w:val="none"/>
          <w:lang w:eastAsia="zh-TW"/>
        </w:rPr>
        <w:t>并在信封上标明</w:t>
      </w:r>
      <w:r>
        <w:rPr>
          <w:rFonts w:hint="eastAsia" w:ascii="宋体" w:hAnsi="宋体" w:cs="宋体"/>
          <w:color w:val="auto"/>
          <w:szCs w:val="21"/>
          <w:highlight w:val="none"/>
        </w:rPr>
        <w:t>“开标信封”的</w:t>
      </w:r>
      <w:r>
        <w:rPr>
          <w:rFonts w:hint="eastAsia" w:ascii="宋体" w:hAnsi="宋体" w:cs="宋体"/>
          <w:color w:val="auto"/>
          <w:szCs w:val="21"/>
          <w:highlight w:val="none"/>
          <w:lang w:eastAsia="zh-TW"/>
        </w:rPr>
        <w:t>字样。投标人应将投标文件正本和所有的副本分开密封装在单独的信封中</w:t>
      </w:r>
      <w:r>
        <w:rPr>
          <w:rFonts w:hint="eastAsia" w:ascii="宋体" w:hAnsi="宋体" w:cs="宋体"/>
          <w:color w:val="auto"/>
          <w:szCs w:val="21"/>
          <w:highlight w:val="none"/>
        </w:rPr>
        <w:t>，</w:t>
      </w:r>
      <w:r>
        <w:rPr>
          <w:rFonts w:hint="eastAsia" w:ascii="宋体" w:hAnsi="宋体" w:cs="宋体"/>
          <w:color w:val="auto"/>
          <w:szCs w:val="21"/>
          <w:highlight w:val="none"/>
          <w:lang w:eastAsia="zh-TW"/>
        </w:rPr>
        <w:t>且在信封</w:t>
      </w:r>
      <w:r>
        <w:rPr>
          <w:rFonts w:hint="eastAsia" w:ascii="宋体" w:hAnsi="宋体" w:cs="宋体"/>
          <w:color w:val="auto"/>
          <w:szCs w:val="21"/>
          <w:highlight w:val="none"/>
        </w:rPr>
        <w:t>上</w:t>
      </w:r>
      <w:r>
        <w:rPr>
          <w:rFonts w:hint="eastAsia" w:ascii="宋体" w:hAnsi="宋体" w:cs="宋体"/>
          <w:color w:val="auto"/>
          <w:szCs w:val="21"/>
          <w:highlight w:val="none"/>
          <w:lang w:eastAsia="zh-TW"/>
        </w:rPr>
        <w:t>标明</w:t>
      </w:r>
      <w:r>
        <w:rPr>
          <w:rFonts w:hint="eastAsia" w:ascii="宋体" w:hAnsi="宋体" w:cs="宋体"/>
          <w:color w:val="auto"/>
          <w:szCs w:val="21"/>
          <w:highlight w:val="none"/>
        </w:rPr>
        <w:t>“</w:t>
      </w:r>
      <w:r>
        <w:rPr>
          <w:rFonts w:hint="eastAsia" w:ascii="宋体" w:hAnsi="宋体" w:cs="宋体"/>
          <w:color w:val="auto"/>
          <w:szCs w:val="21"/>
          <w:highlight w:val="none"/>
          <w:lang w:eastAsia="zh-TW"/>
        </w:rPr>
        <w:t>正本</w:t>
      </w:r>
      <w:r>
        <w:rPr>
          <w:rFonts w:hint="eastAsia" w:ascii="宋体" w:hAnsi="宋体" w:cs="宋体"/>
          <w:color w:val="auto"/>
          <w:szCs w:val="21"/>
          <w:highlight w:val="none"/>
        </w:rPr>
        <w:t>”“</w:t>
      </w:r>
      <w:r>
        <w:rPr>
          <w:rFonts w:hint="eastAsia" w:ascii="宋体" w:hAnsi="宋体"/>
          <w:color w:val="auto"/>
          <w:szCs w:val="21"/>
          <w:highlight w:val="none"/>
        </w:rPr>
        <w:t>副</w:t>
      </w:r>
      <w:r>
        <w:rPr>
          <w:rFonts w:hint="eastAsia" w:ascii="宋体" w:hAnsi="宋体" w:cs="宋体"/>
          <w:color w:val="auto"/>
          <w:szCs w:val="21"/>
          <w:highlight w:val="none"/>
          <w:lang w:eastAsia="zh-TW"/>
        </w:rPr>
        <w:t>本</w:t>
      </w:r>
      <w:r>
        <w:rPr>
          <w:rFonts w:hint="eastAsia" w:ascii="宋体" w:hAnsi="宋体" w:cs="宋体"/>
          <w:color w:val="auto"/>
          <w:szCs w:val="21"/>
          <w:highlight w:val="none"/>
        </w:rPr>
        <w:t>”</w:t>
      </w:r>
      <w:r>
        <w:rPr>
          <w:rFonts w:hint="eastAsia" w:ascii="宋体" w:hAnsi="宋体" w:cs="宋体"/>
          <w:color w:val="auto"/>
          <w:szCs w:val="21"/>
          <w:highlight w:val="none"/>
          <w:lang w:eastAsia="zh-TW"/>
        </w:rPr>
        <w:t>字样。</w:t>
      </w:r>
    </w:p>
    <w:p w14:paraId="587CF134">
      <w:pPr>
        <w:numPr>
          <w:ilvl w:val="1"/>
          <w:numId w:val="31"/>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投标文件封装：</w:t>
      </w:r>
    </w:p>
    <w:p w14:paraId="6B891499">
      <w:pPr>
        <w:numPr>
          <w:ilvl w:val="2"/>
          <w:numId w:val="31"/>
        </w:numPr>
        <w:tabs>
          <w:tab w:val="left" w:pos="851"/>
          <w:tab w:val="left" w:pos="1418"/>
        </w:tabs>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清楚标明递交至</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中指明的地址</w:t>
      </w:r>
      <w:r>
        <w:rPr>
          <w:rFonts w:hint="eastAsia" w:ascii="宋体" w:hAnsi="宋体" w:cs="宋体"/>
          <w:color w:val="auto"/>
          <w:szCs w:val="21"/>
          <w:highlight w:val="none"/>
        </w:rPr>
        <w:t>及写明投标人名称和地址</w:t>
      </w:r>
      <w:r>
        <w:rPr>
          <w:rFonts w:hint="eastAsia" w:ascii="宋体" w:hAnsi="宋体" w:cs="宋体"/>
          <w:color w:val="auto"/>
          <w:szCs w:val="21"/>
          <w:highlight w:val="none"/>
          <w:lang w:eastAsia="zh-TW"/>
        </w:rPr>
        <w:t>。</w:t>
      </w:r>
    </w:p>
    <w:p w14:paraId="68FB7934">
      <w:pPr>
        <w:numPr>
          <w:ilvl w:val="2"/>
          <w:numId w:val="31"/>
        </w:numPr>
        <w:tabs>
          <w:tab w:val="left" w:pos="1418"/>
        </w:tabs>
        <w:autoSpaceDE w:val="0"/>
        <w:autoSpaceDN w:val="0"/>
        <w:adjustRightInd w:val="0"/>
        <w:snapToGrid w:val="0"/>
        <w:spacing w:line="360" w:lineRule="auto"/>
        <w:ind w:left="1418" w:hanging="851"/>
        <w:rPr>
          <w:rFonts w:hint="eastAsia" w:ascii="宋体" w:hAnsi="宋体" w:cs="宋体"/>
          <w:color w:val="auto"/>
          <w:szCs w:val="21"/>
          <w:highlight w:val="none"/>
        </w:rPr>
      </w:pPr>
      <w:r>
        <w:rPr>
          <w:rFonts w:hint="eastAsia" w:ascii="宋体" w:hAnsi="宋体" w:cs="宋体"/>
          <w:color w:val="auto"/>
          <w:szCs w:val="21"/>
          <w:highlight w:val="none"/>
          <w:lang w:eastAsia="zh-TW"/>
        </w:rPr>
        <w:t>注明投标邀请函中指明的项目名称、</w:t>
      </w:r>
      <w:r>
        <w:rPr>
          <w:rFonts w:hint="eastAsia" w:ascii="宋体" w:hAnsi="宋体" w:cs="宋体"/>
          <w:color w:val="auto"/>
          <w:szCs w:val="21"/>
          <w:highlight w:val="none"/>
        </w:rPr>
        <w:t>项目</w:t>
      </w:r>
      <w:r>
        <w:rPr>
          <w:rFonts w:hint="eastAsia" w:ascii="宋体" w:hAnsi="宋体" w:cs="宋体"/>
          <w:color w:val="auto"/>
          <w:szCs w:val="21"/>
          <w:highlight w:val="none"/>
          <w:lang w:eastAsia="zh-TW"/>
        </w:rPr>
        <w:t>编号和</w:t>
      </w:r>
      <w:r>
        <w:rPr>
          <w:rFonts w:hint="eastAsia" w:ascii="宋体" w:hAnsi="宋体"/>
          <w:color w:val="auto"/>
          <w:szCs w:val="21"/>
          <w:highlight w:val="none"/>
        </w:rPr>
        <w:t>“</w:t>
      </w:r>
      <w:r>
        <w:rPr>
          <w:rFonts w:hint="eastAsia" w:ascii="宋体" w:hAnsi="宋体" w:cs="宋体"/>
          <w:color w:val="auto"/>
          <w:szCs w:val="21"/>
          <w:highlight w:val="none"/>
          <w:lang w:eastAsia="zh-TW"/>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招标文件中规定的开标日期和时间</w:t>
      </w:r>
      <w:r>
        <w:rPr>
          <w:rFonts w:hint="eastAsia" w:ascii="宋体" w:hAnsi="宋体" w:cs="宋体"/>
          <w:color w:val="auto"/>
          <w:szCs w:val="21"/>
          <w:highlight w:val="none"/>
          <w:lang w:eastAsia="zh-CN"/>
        </w:rPr>
        <w:t>）</w:t>
      </w:r>
      <w:r>
        <w:rPr>
          <w:rFonts w:hint="eastAsia" w:ascii="宋体" w:hAnsi="宋体" w:cs="宋体"/>
          <w:color w:val="auto"/>
          <w:szCs w:val="21"/>
          <w:highlight w:val="none"/>
        </w:rPr>
        <w:t>之前不得启封”的</w:t>
      </w:r>
      <w:r>
        <w:rPr>
          <w:rFonts w:hint="eastAsia" w:ascii="宋体" w:hAnsi="宋体" w:cs="宋体"/>
          <w:color w:val="auto"/>
          <w:szCs w:val="21"/>
          <w:highlight w:val="none"/>
          <w:lang w:eastAsia="zh-TW"/>
        </w:rPr>
        <w:t>字样。</w:t>
      </w:r>
    </w:p>
    <w:p w14:paraId="5DAC2506">
      <w:pPr>
        <w:numPr>
          <w:ilvl w:val="1"/>
          <w:numId w:val="31"/>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如果未按本须知</w:t>
      </w:r>
      <w:r>
        <w:rPr>
          <w:rFonts w:hint="eastAsia" w:ascii="宋体" w:hAnsi="宋体" w:cs="宋体"/>
          <w:color w:val="auto"/>
          <w:szCs w:val="21"/>
          <w:highlight w:val="none"/>
        </w:rPr>
        <w:t>上款</w:t>
      </w:r>
      <w:r>
        <w:rPr>
          <w:rFonts w:hint="eastAsia" w:ascii="宋体" w:hAnsi="宋体" w:cs="宋体"/>
          <w:color w:val="auto"/>
          <w:szCs w:val="21"/>
          <w:highlight w:val="none"/>
          <w:lang w:eastAsia="zh-TW"/>
        </w:rPr>
        <w:t>要求加写标记和</w:t>
      </w:r>
      <w:r>
        <w:rPr>
          <w:rFonts w:hint="eastAsia" w:ascii="宋体" w:hAnsi="宋体" w:cs="宋体"/>
          <w:color w:val="auto"/>
          <w:szCs w:val="21"/>
          <w:highlight w:val="none"/>
        </w:rPr>
        <w:t>密封，</w:t>
      </w:r>
      <w:r>
        <w:rPr>
          <w:rFonts w:hint="eastAsia" w:ascii="宋体" w:hAnsi="宋体" w:cs="宋体"/>
          <w:color w:val="auto"/>
          <w:szCs w:val="21"/>
          <w:highlight w:val="none"/>
          <w:lang w:eastAsia="zh-TW"/>
        </w:rPr>
        <w:t>招标代理机构对误投或提前启封概不负责</w:t>
      </w:r>
      <w:r>
        <w:rPr>
          <w:rFonts w:hint="eastAsia" w:ascii="宋体" w:hAnsi="宋体" w:cs="宋体"/>
          <w:color w:val="auto"/>
          <w:szCs w:val="21"/>
          <w:highlight w:val="none"/>
        </w:rPr>
        <w:t>。</w:t>
      </w:r>
    </w:p>
    <w:p w14:paraId="2B181594">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22" w:name="_Toc11622"/>
      <w:bookmarkStart w:id="123" w:name="_Toc30960"/>
      <w:bookmarkStart w:id="124" w:name="_Toc26281"/>
      <w:bookmarkStart w:id="125" w:name="_Toc355879691"/>
      <w:bookmarkStart w:id="126" w:name="_Toc410722662"/>
      <w:r>
        <w:rPr>
          <w:rFonts w:hint="eastAsia" w:ascii="宋体" w:hAnsi="宋体"/>
          <w:b/>
          <w:bCs/>
          <w:color w:val="auto"/>
          <w:szCs w:val="21"/>
          <w:highlight w:val="none"/>
        </w:rPr>
        <w:t>投标截止期</w:t>
      </w:r>
      <w:bookmarkEnd w:id="122"/>
      <w:bookmarkEnd w:id="123"/>
      <w:bookmarkEnd w:id="124"/>
      <w:bookmarkEnd w:id="125"/>
      <w:bookmarkEnd w:id="126"/>
    </w:p>
    <w:p w14:paraId="05C87A63">
      <w:pPr>
        <w:numPr>
          <w:ilvl w:val="1"/>
          <w:numId w:val="31"/>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投标人应在不迟于</w:t>
      </w:r>
      <w:r>
        <w:rPr>
          <w:rFonts w:hint="eastAsia" w:ascii="宋体" w:hAnsi="宋体" w:cs="宋体"/>
          <w:b/>
          <w:color w:val="auto"/>
          <w:szCs w:val="21"/>
          <w:highlight w:val="none"/>
        </w:rPr>
        <w:t>投标资料表</w:t>
      </w:r>
      <w:r>
        <w:rPr>
          <w:rFonts w:hint="eastAsia" w:ascii="宋体" w:hAnsi="宋体" w:cs="宋体"/>
          <w:color w:val="auto"/>
          <w:szCs w:val="21"/>
          <w:highlight w:val="none"/>
          <w:lang w:eastAsia="zh-TW"/>
        </w:rPr>
        <w:t>中规定的截止日期和时间将投标文件递交至招标代理机构</w:t>
      </w:r>
      <w:r>
        <w:rPr>
          <w:rFonts w:hint="eastAsia" w:ascii="宋体" w:hAnsi="宋体" w:cs="宋体"/>
          <w:color w:val="auto"/>
          <w:szCs w:val="21"/>
          <w:highlight w:val="none"/>
        </w:rPr>
        <w:t>，</w:t>
      </w:r>
      <w:r>
        <w:rPr>
          <w:rFonts w:hint="eastAsia" w:ascii="宋体" w:hAnsi="宋体" w:cs="宋体"/>
          <w:color w:val="auto"/>
          <w:szCs w:val="21"/>
          <w:highlight w:val="none"/>
          <w:lang w:eastAsia="zh-TW"/>
        </w:rPr>
        <w:t>递交地点应是</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中指明的地址。</w:t>
      </w:r>
    </w:p>
    <w:p w14:paraId="7D8D2FC6">
      <w:pPr>
        <w:numPr>
          <w:ilvl w:val="1"/>
          <w:numId w:val="31"/>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为使投标人准备投标时有充分时间对招标文件的修改部分进行研究，招标采购单位可适当推迟投标截止期，但应发布公告并书面通知所有</w:t>
      </w:r>
      <w:r>
        <w:rPr>
          <w:rFonts w:hint="eastAsia" w:ascii="宋体" w:hAnsi="宋体" w:cs="宋体"/>
          <w:color w:val="auto"/>
          <w:szCs w:val="21"/>
          <w:highlight w:val="none"/>
          <w:lang w:eastAsia="zh-CN"/>
        </w:rPr>
        <w:t>获取招标文件</w:t>
      </w:r>
      <w:r>
        <w:rPr>
          <w:rFonts w:hint="eastAsia" w:ascii="宋体" w:hAnsi="宋体" w:cs="宋体"/>
          <w:color w:val="auto"/>
          <w:szCs w:val="21"/>
          <w:highlight w:val="none"/>
          <w:lang w:eastAsia="zh-TW"/>
        </w:rPr>
        <w:t>的潜在投标人。在此情况下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招标采购单位和投标人受投标截止期制约的所有权利和义务均应延长至新的截止期。</w:t>
      </w:r>
    </w:p>
    <w:p w14:paraId="76E8C837">
      <w:pPr>
        <w:numPr>
          <w:ilvl w:val="1"/>
          <w:numId w:val="31"/>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招标代理机构将</w:t>
      </w:r>
      <w:r>
        <w:rPr>
          <w:rFonts w:hint="eastAsia" w:ascii="宋体" w:hAnsi="宋体" w:cs="宋体"/>
          <w:color w:val="auto"/>
          <w:szCs w:val="21"/>
          <w:highlight w:val="none"/>
        </w:rPr>
        <w:t>拒收</w:t>
      </w:r>
      <w:r>
        <w:rPr>
          <w:rFonts w:hint="eastAsia" w:ascii="宋体" w:hAnsi="宋体" w:cs="宋体"/>
          <w:color w:val="auto"/>
          <w:szCs w:val="21"/>
          <w:highlight w:val="none"/>
          <w:lang w:eastAsia="zh-TW"/>
        </w:rPr>
        <w:t>在</w:t>
      </w:r>
      <w:r>
        <w:rPr>
          <w:rFonts w:hint="eastAsia" w:ascii="宋体" w:hAnsi="宋体" w:cs="宋体"/>
          <w:color w:val="auto"/>
          <w:szCs w:val="21"/>
          <w:highlight w:val="none"/>
        </w:rPr>
        <w:t>招标文件</w:t>
      </w:r>
      <w:r>
        <w:rPr>
          <w:rFonts w:hint="eastAsia" w:ascii="宋体" w:hAnsi="宋体" w:cs="宋体"/>
          <w:color w:val="auto"/>
          <w:szCs w:val="21"/>
          <w:highlight w:val="none"/>
          <w:lang w:eastAsia="zh-TW"/>
        </w:rPr>
        <w:t>规定的</w:t>
      </w:r>
      <w:r>
        <w:rPr>
          <w:rFonts w:hint="eastAsia" w:ascii="宋体" w:hAnsi="宋体" w:cs="宋体"/>
          <w:color w:val="auto"/>
          <w:szCs w:val="21"/>
          <w:highlight w:val="none"/>
        </w:rPr>
        <w:t>投标</w:t>
      </w:r>
      <w:r>
        <w:rPr>
          <w:rFonts w:hint="eastAsia" w:ascii="宋体" w:hAnsi="宋体" w:cs="宋体"/>
          <w:color w:val="auto"/>
          <w:szCs w:val="21"/>
          <w:highlight w:val="none"/>
          <w:lang w:eastAsia="zh-TW"/>
        </w:rPr>
        <w:t>截止时间</w:t>
      </w:r>
      <w:r>
        <w:rPr>
          <w:rFonts w:hint="eastAsia" w:ascii="宋体" w:hAnsi="宋体" w:cs="宋体"/>
          <w:color w:val="auto"/>
          <w:szCs w:val="21"/>
          <w:highlight w:val="none"/>
        </w:rPr>
        <w:t>之</w:t>
      </w:r>
      <w:r>
        <w:rPr>
          <w:rFonts w:hint="eastAsia" w:ascii="宋体" w:hAnsi="宋体" w:cs="宋体"/>
          <w:color w:val="auto"/>
          <w:szCs w:val="21"/>
          <w:highlight w:val="none"/>
          <w:lang w:eastAsia="zh-TW"/>
        </w:rPr>
        <w:t>后</w:t>
      </w:r>
      <w:r>
        <w:rPr>
          <w:rFonts w:hint="eastAsia" w:ascii="宋体" w:hAnsi="宋体" w:cs="宋体"/>
          <w:color w:val="auto"/>
          <w:szCs w:val="21"/>
          <w:highlight w:val="none"/>
        </w:rPr>
        <w:t>送达的投标文件。</w:t>
      </w:r>
    </w:p>
    <w:p w14:paraId="3A704409">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27" w:name="_Toc16183"/>
      <w:bookmarkStart w:id="128" w:name="_Toc410722663"/>
      <w:bookmarkStart w:id="129" w:name="_Toc12679"/>
      <w:bookmarkStart w:id="130" w:name="_Toc25820"/>
      <w:bookmarkStart w:id="131" w:name="_Toc355879692"/>
      <w:r>
        <w:rPr>
          <w:rFonts w:hint="eastAsia" w:ascii="宋体" w:hAnsi="宋体"/>
          <w:b/>
          <w:bCs/>
          <w:color w:val="auto"/>
          <w:szCs w:val="21"/>
          <w:highlight w:val="none"/>
        </w:rPr>
        <w:t>投标文件的修改和撤回</w:t>
      </w:r>
      <w:bookmarkEnd w:id="127"/>
      <w:bookmarkEnd w:id="128"/>
      <w:bookmarkEnd w:id="129"/>
      <w:bookmarkEnd w:id="130"/>
      <w:bookmarkEnd w:id="131"/>
    </w:p>
    <w:p w14:paraId="0AA834CC">
      <w:pPr>
        <w:numPr>
          <w:ilvl w:val="1"/>
          <w:numId w:val="31"/>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在投标截止时间前，可以对所递交的投标文件进行补充、修改或者撤回，并书面通知招标采购单位。补充、修改的内容应当按招标文件要求签署、盖章，并作为投标文件的组成部分。在投标截止时间之后，投标人不得对其投标文件做任何修改和补充。</w:t>
      </w:r>
    </w:p>
    <w:p w14:paraId="6989E260">
      <w:pPr>
        <w:numPr>
          <w:ilvl w:val="0"/>
          <w:numId w:val="30"/>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132" w:name="_Toc12315"/>
      <w:bookmarkStart w:id="133" w:name="_Toc410722664"/>
      <w:bookmarkStart w:id="134" w:name="_Toc26811"/>
      <w:bookmarkStart w:id="135" w:name="_Toc355879693"/>
      <w:bookmarkStart w:id="136" w:name="_Toc16089"/>
      <w:r>
        <w:rPr>
          <w:rFonts w:hint="eastAsia" w:ascii="宋体" w:hAnsi="宋体"/>
          <w:b/>
          <w:color w:val="auto"/>
          <w:sz w:val="28"/>
          <w:szCs w:val="28"/>
          <w:highlight w:val="none"/>
          <w:lang w:eastAsia="zh-TW"/>
        </w:rPr>
        <w:t>开标与评标</w:t>
      </w:r>
      <w:bookmarkEnd w:id="132"/>
      <w:bookmarkEnd w:id="133"/>
      <w:bookmarkEnd w:id="134"/>
      <w:bookmarkEnd w:id="135"/>
      <w:bookmarkEnd w:id="136"/>
    </w:p>
    <w:p w14:paraId="6CB33D14">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37" w:name="_Toc2763"/>
      <w:bookmarkStart w:id="138" w:name="_Toc410722665"/>
      <w:bookmarkStart w:id="139" w:name="_Toc30224"/>
      <w:bookmarkStart w:id="140" w:name="_Toc355879694"/>
      <w:bookmarkStart w:id="141" w:name="_Toc30391"/>
      <w:r>
        <w:rPr>
          <w:rFonts w:hint="eastAsia" w:ascii="宋体" w:hAnsi="宋体"/>
          <w:b/>
          <w:bCs/>
          <w:color w:val="auto"/>
          <w:szCs w:val="21"/>
          <w:highlight w:val="none"/>
        </w:rPr>
        <w:t>开标</w:t>
      </w:r>
      <w:bookmarkEnd w:id="137"/>
      <w:bookmarkEnd w:id="138"/>
      <w:bookmarkEnd w:id="139"/>
      <w:bookmarkEnd w:id="140"/>
      <w:bookmarkEnd w:id="141"/>
    </w:p>
    <w:p w14:paraId="62106C20">
      <w:pPr>
        <w:numPr>
          <w:ilvl w:val="1"/>
          <w:numId w:val="31"/>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招标代理机构在投标邀请函中规定的日期、时</w:t>
      </w:r>
      <w:r>
        <w:rPr>
          <w:rFonts w:hint="eastAsia" w:ascii="宋体" w:hAnsi="宋体" w:cs="宋体"/>
          <w:color w:val="auto"/>
          <w:szCs w:val="21"/>
          <w:highlight w:val="none"/>
        </w:rPr>
        <w:t>间</w:t>
      </w:r>
      <w:r>
        <w:rPr>
          <w:rFonts w:hint="eastAsia" w:ascii="宋体" w:hAnsi="宋体" w:cs="宋体"/>
          <w:color w:val="auto"/>
          <w:szCs w:val="21"/>
          <w:highlight w:val="none"/>
          <w:lang w:eastAsia="zh-TW"/>
        </w:rPr>
        <w:t>和地点组织公开开标。开标时邀请所有投标人代表参加。参加开标的代表应签名报到以证明其出席。</w:t>
      </w:r>
    </w:p>
    <w:p w14:paraId="33CDC5A9">
      <w:pPr>
        <w:numPr>
          <w:ilvl w:val="1"/>
          <w:numId w:val="31"/>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开标时</w:t>
      </w:r>
      <w:r>
        <w:rPr>
          <w:rFonts w:hint="eastAsia" w:ascii="宋体" w:hAnsi="宋体" w:cs="宋体"/>
          <w:color w:val="auto"/>
          <w:szCs w:val="21"/>
          <w:highlight w:val="none"/>
        </w:rPr>
        <w:t>，</w:t>
      </w:r>
      <w:r>
        <w:rPr>
          <w:rFonts w:hint="eastAsia" w:ascii="宋体" w:hAnsi="宋体" w:cs="宋体"/>
          <w:color w:val="auto"/>
          <w:szCs w:val="21"/>
          <w:highlight w:val="none"/>
          <w:lang w:eastAsia="zh-TW"/>
        </w:rPr>
        <w:t>由按签到顺序递交投标文件的前三名投标人代表作为全体投标人推选的代表</w:t>
      </w:r>
      <w:r>
        <w:rPr>
          <w:rFonts w:hint="eastAsia" w:ascii="宋体" w:hAnsi="宋体" w:cs="宋体"/>
          <w:color w:val="auto"/>
          <w:szCs w:val="21"/>
          <w:highlight w:val="none"/>
        </w:rPr>
        <w:t>就所有</w:t>
      </w:r>
      <w:r>
        <w:rPr>
          <w:rFonts w:hint="eastAsia" w:ascii="宋体" w:hAnsi="宋体" w:cs="宋体"/>
          <w:color w:val="auto"/>
          <w:szCs w:val="21"/>
          <w:highlight w:val="none"/>
          <w:lang w:eastAsia="zh-TW"/>
        </w:rPr>
        <w:t>投标文件的密封情况</w:t>
      </w:r>
      <w:r>
        <w:rPr>
          <w:rFonts w:hint="eastAsia" w:ascii="宋体" w:hAnsi="宋体" w:cs="宋体"/>
          <w:color w:val="auto"/>
          <w:szCs w:val="21"/>
          <w:highlight w:val="none"/>
        </w:rPr>
        <w:t>进行检查，</w:t>
      </w:r>
      <w:r>
        <w:rPr>
          <w:rFonts w:hint="eastAsia" w:ascii="宋体" w:hAnsi="宋体" w:cs="宋体"/>
          <w:color w:val="auto"/>
          <w:szCs w:val="21"/>
          <w:highlight w:val="none"/>
          <w:lang w:eastAsia="zh-TW"/>
        </w:rPr>
        <w:t>也可以由</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采购</w:t>
      </w:r>
      <w:r>
        <w:rPr>
          <w:rFonts w:hint="eastAsia" w:ascii="宋体" w:hAnsi="宋体" w:cs="宋体"/>
          <w:color w:val="auto"/>
          <w:szCs w:val="21"/>
          <w:highlight w:val="none"/>
        </w:rPr>
        <w:t>单位</w:t>
      </w:r>
      <w:r>
        <w:rPr>
          <w:rFonts w:hint="eastAsia" w:ascii="宋体" w:hAnsi="宋体" w:cs="宋体"/>
          <w:color w:val="auto"/>
          <w:szCs w:val="21"/>
          <w:highlight w:val="none"/>
          <w:lang w:eastAsia="zh-TW"/>
        </w:rPr>
        <w:t>委托的机构检查并见证，经确认无误后由招标工作人员当众拆封，宣读投标人名称、投标价格、价格折扣、投标文件的其他主要内容和招标文件允许提供的备选投标方案</w:t>
      </w:r>
      <w:r>
        <w:rPr>
          <w:rFonts w:hint="eastAsia" w:ascii="宋体" w:hAnsi="宋体" w:cs="宋体"/>
          <w:color w:val="auto"/>
          <w:szCs w:val="21"/>
          <w:highlight w:val="none"/>
        </w:rPr>
        <w:t>，</w:t>
      </w:r>
      <w:r>
        <w:rPr>
          <w:rFonts w:hint="eastAsia" w:ascii="宋体" w:hAnsi="宋体" w:cs="宋体"/>
          <w:color w:val="auto"/>
          <w:szCs w:val="21"/>
          <w:highlight w:val="none"/>
          <w:lang w:eastAsia="zh-TW"/>
        </w:rPr>
        <w:t>以及招标代理机构认为合适的其他内容。</w:t>
      </w:r>
    </w:p>
    <w:p w14:paraId="58A8E945">
      <w:pPr>
        <w:numPr>
          <w:ilvl w:val="1"/>
          <w:numId w:val="31"/>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在开标时</w:t>
      </w:r>
      <w:r>
        <w:rPr>
          <w:rFonts w:hint="eastAsia" w:ascii="宋体" w:hAnsi="宋体" w:cs="宋体"/>
          <w:color w:val="auto"/>
          <w:szCs w:val="21"/>
          <w:highlight w:val="none"/>
        </w:rPr>
        <w:t>，未宣读的投标价格、价格折扣和招标文件允许提供的备选投标方案等实质内容，</w:t>
      </w:r>
      <w:r>
        <w:rPr>
          <w:rFonts w:hint="eastAsia" w:ascii="宋体" w:hAnsi="宋体" w:cs="宋体"/>
          <w:color w:val="auto"/>
          <w:szCs w:val="21"/>
          <w:highlight w:val="none"/>
          <w:lang w:eastAsia="zh-TW"/>
        </w:rPr>
        <w:t>评标时不予</w:t>
      </w:r>
      <w:r>
        <w:rPr>
          <w:rFonts w:hint="eastAsia" w:ascii="宋体" w:hAnsi="宋体" w:cs="宋体"/>
          <w:color w:val="auto"/>
          <w:szCs w:val="21"/>
          <w:highlight w:val="none"/>
        </w:rPr>
        <w:t>承认</w:t>
      </w:r>
      <w:r>
        <w:rPr>
          <w:rFonts w:hint="eastAsia" w:ascii="宋体" w:hAnsi="宋体" w:cs="宋体"/>
          <w:color w:val="auto"/>
          <w:szCs w:val="21"/>
          <w:highlight w:val="none"/>
          <w:lang w:eastAsia="zh-TW"/>
        </w:rPr>
        <w:t>。</w:t>
      </w:r>
    </w:p>
    <w:p w14:paraId="084F059F">
      <w:pPr>
        <w:numPr>
          <w:ilvl w:val="1"/>
          <w:numId w:val="31"/>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招标代理机构将做开标记录</w:t>
      </w:r>
      <w:r>
        <w:rPr>
          <w:rFonts w:hint="eastAsia" w:ascii="宋体" w:hAnsi="宋体" w:cs="宋体"/>
          <w:color w:val="auto"/>
          <w:szCs w:val="21"/>
          <w:highlight w:val="none"/>
        </w:rPr>
        <w:t>，开标记录由投标人代表和有关人员共同签字确认</w:t>
      </w:r>
      <w:r>
        <w:rPr>
          <w:rFonts w:hint="eastAsia" w:ascii="宋体" w:hAnsi="宋体" w:cs="宋体"/>
          <w:color w:val="auto"/>
          <w:szCs w:val="21"/>
          <w:highlight w:val="none"/>
          <w:lang w:eastAsia="zh-TW"/>
        </w:rPr>
        <w:t>。</w:t>
      </w:r>
    </w:p>
    <w:p w14:paraId="6EB71D2A">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42" w:name="_Toc31803"/>
      <w:bookmarkStart w:id="143" w:name="_Toc22080"/>
      <w:bookmarkStart w:id="144" w:name="_Toc410722666"/>
      <w:bookmarkStart w:id="145" w:name="_Toc26006"/>
      <w:bookmarkStart w:id="146" w:name="_Toc355879695"/>
      <w:r>
        <w:rPr>
          <w:rFonts w:hint="eastAsia" w:ascii="宋体" w:hAnsi="宋体"/>
          <w:b/>
          <w:bCs/>
          <w:color w:val="auto"/>
          <w:szCs w:val="21"/>
          <w:highlight w:val="none"/>
        </w:rPr>
        <w:t>评标委员会和评标方法</w:t>
      </w:r>
      <w:bookmarkEnd w:id="142"/>
      <w:bookmarkEnd w:id="143"/>
      <w:bookmarkEnd w:id="144"/>
      <w:bookmarkEnd w:id="145"/>
      <w:bookmarkEnd w:id="146"/>
    </w:p>
    <w:p w14:paraId="2EE33B12">
      <w:pPr>
        <w:numPr>
          <w:ilvl w:val="1"/>
          <w:numId w:val="31"/>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bCs/>
          <w:color w:val="auto"/>
          <w:szCs w:val="21"/>
          <w:highlight w:val="none"/>
        </w:rPr>
        <w:t>评标由参照相关法律、法规、规章、政策的规定，组建的评标委员会负责。评标委员会成员按相关规定由有关技术、经济等方面的专家组成，专家人数构成将按照</w:t>
      </w:r>
      <w:r>
        <w:rPr>
          <w:rFonts w:hint="eastAsia" w:ascii="宋体" w:hAnsi="宋体" w:cs="宋体"/>
          <w:b/>
          <w:color w:val="auto"/>
          <w:szCs w:val="21"/>
          <w:highlight w:val="none"/>
        </w:rPr>
        <w:t>投标资料表</w:t>
      </w:r>
      <w:r>
        <w:rPr>
          <w:rFonts w:hint="eastAsia" w:ascii="宋体" w:hAnsi="宋体" w:cs="宋体"/>
          <w:bCs/>
          <w:color w:val="auto"/>
          <w:szCs w:val="21"/>
          <w:highlight w:val="none"/>
        </w:rPr>
        <w:t>中确定。评标委员会成员依法从专家库中随机抽取</w:t>
      </w:r>
      <w:r>
        <w:rPr>
          <w:rFonts w:hint="eastAsia" w:ascii="宋体" w:hAnsi="宋体" w:cs="宋体"/>
          <w:color w:val="auto"/>
          <w:szCs w:val="21"/>
          <w:highlight w:val="none"/>
          <w:lang w:eastAsia="zh-TW"/>
        </w:rPr>
        <w:t>。</w:t>
      </w:r>
    </w:p>
    <w:p w14:paraId="06FBCC35">
      <w:pPr>
        <w:numPr>
          <w:ilvl w:val="1"/>
          <w:numId w:val="31"/>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评标委员会名单在</w:t>
      </w:r>
      <w:r>
        <w:rPr>
          <w:rFonts w:hint="eastAsia" w:ascii="宋体" w:hAnsi="宋体" w:cs="宋体"/>
          <w:color w:val="auto"/>
          <w:szCs w:val="21"/>
          <w:highlight w:val="none"/>
        </w:rPr>
        <w:t>评审</w:t>
      </w:r>
      <w:r>
        <w:rPr>
          <w:rFonts w:hint="eastAsia" w:ascii="宋体" w:hAnsi="宋体" w:cs="宋体"/>
          <w:color w:val="auto"/>
          <w:szCs w:val="21"/>
          <w:highlight w:val="none"/>
          <w:lang w:eastAsia="zh-TW"/>
        </w:rPr>
        <w:t>结果确定前严格保密。评审专家有下列情形之一的，受到邀请应主动提出回避，采购当事人也可以要求该评审专家回避：</w:t>
      </w:r>
    </w:p>
    <w:p w14:paraId="57A83D66">
      <w:pPr>
        <w:numPr>
          <w:ilvl w:val="2"/>
          <w:numId w:val="31"/>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三年内曾在参加该采购项目供应商中任职或担任顾问的；</w:t>
      </w:r>
    </w:p>
    <w:p w14:paraId="55C95856">
      <w:pPr>
        <w:numPr>
          <w:ilvl w:val="2"/>
          <w:numId w:val="31"/>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配偶或直系亲属在参加该采购项目的供应商中任职或担任顾问的；</w:t>
      </w:r>
    </w:p>
    <w:p w14:paraId="6FF7FA9E">
      <w:pPr>
        <w:numPr>
          <w:ilvl w:val="2"/>
          <w:numId w:val="31"/>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与参加该采购项目供应商发生过法律纠纷的；</w:t>
      </w:r>
    </w:p>
    <w:p w14:paraId="106CA907">
      <w:pPr>
        <w:numPr>
          <w:ilvl w:val="2"/>
          <w:numId w:val="31"/>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任职单位与招标人或参与该采购项目供应商存在行政隶属关系的；</w:t>
      </w:r>
    </w:p>
    <w:p w14:paraId="585DD0E4">
      <w:pPr>
        <w:numPr>
          <w:ilvl w:val="2"/>
          <w:numId w:val="31"/>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参与招标文件论证的；</w:t>
      </w:r>
    </w:p>
    <w:p w14:paraId="18786B28">
      <w:pPr>
        <w:numPr>
          <w:ilvl w:val="2"/>
          <w:numId w:val="31"/>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法律、法规、规章规定应当回避以及其他可能影响公正评审的。</w:t>
      </w:r>
    </w:p>
    <w:p w14:paraId="20B80B71">
      <w:pPr>
        <w:numPr>
          <w:ilvl w:val="1"/>
          <w:numId w:val="31"/>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评标委员会和有关工作人员不得透露对投标文件的评审和比较以及与评标有关的其他情况。</w:t>
      </w:r>
    </w:p>
    <w:p w14:paraId="5C2AB65E">
      <w:pPr>
        <w:numPr>
          <w:ilvl w:val="1"/>
          <w:numId w:val="31"/>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评标委员会将按照</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中确定的评标方法</w:t>
      </w:r>
      <w:r>
        <w:rPr>
          <w:rFonts w:hint="eastAsia" w:ascii="宋体" w:hAnsi="宋体" w:cs="宋体"/>
          <w:color w:val="auto"/>
          <w:szCs w:val="21"/>
          <w:highlight w:val="none"/>
        </w:rPr>
        <w:t>和</w:t>
      </w:r>
      <w:r>
        <w:rPr>
          <w:rFonts w:hint="eastAsia" w:ascii="宋体" w:hAnsi="宋体" w:cs="宋体"/>
          <w:color w:val="auto"/>
          <w:szCs w:val="21"/>
          <w:highlight w:val="none"/>
          <w:lang w:eastAsia="zh-TW"/>
        </w:rPr>
        <w:t>本招标文件第</w:t>
      </w:r>
      <w:r>
        <w:rPr>
          <w:rFonts w:hint="eastAsia" w:ascii="宋体" w:hAnsi="宋体" w:cs="宋体"/>
          <w:color w:val="auto"/>
          <w:szCs w:val="21"/>
          <w:highlight w:val="none"/>
        </w:rPr>
        <w:t>四</w:t>
      </w:r>
      <w:r>
        <w:rPr>
          <w:rFonts w:hint="eastAsia" w:ascii="宋体" w:hAnsi="宋体" w:cs="宋体"/>
          <w:color w:val="auto"/>
          <w:szCs w:val="21"/>
          <w:highlight w:val="none"/>
          <w:lang w:eastAsia="zh-TW"/>
        </w:rPr>
        <w:t>章中规定</w:t>
      </w:r>
      <w:r>
        <w:rPr>
          <w:rFonts w:hint="eastAsia" w:ascii="宋体" w:hAnsi="宋体" w:cs="宋体"/>
          <w:color w:val="auto"/>
          <w:szCs w:val="21"/>
          <w:highlight w:val="none"/>
        </w:rPr>
        <w:t>的评标</w:t>
      </w:r>
      <w:r>
        <w:rPr>
          <w:rFonts w:hint="eastAsia" w:ascii="宋体" w:hAnsi="宋体" w:cs="宋体"/>
          <w:color w:val="auto"/>
          <w:szCs w:val="21"/>
          <w:highlight w:val="none"/>
          <w:lang w:eastAsia="zh-TW"/>
        </w:rPr>
        <w:t>标准进行评标。</w:t>
      </w:r>
    </w:p>
    <w:p w14:paraId="789382E1">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47" w:name="_Toc28390"/>
      <w:bookmarkStart w:id="148" w:name="_Toc410722667"/>
      <w:bookmarkStart w:id="149" w:name="_Toc32632"/>
      <w:bookmarkStart w:id="150" w:name="_Toc355879696"/>
      <w:bookmarkStart w:id="151" w:name="_Toc12307"/>
      <w:r>
        <w:rPr>
          <w:rFonts w:hint="eastAsia" w:ascii="宋体" w:hAnsi="宋体"/>
          <w:b/>
          <w:bCs/>
          <w:color w:val="auto"/>
          <w:szCs w:val="21"/>
          <w:highlight w:val="none"/>
        </w:rPr>
        <w:t>投标文件的初审</w:t>
      </w:r>
      <w:bookmarkEnd w:id="147"/>
      <w:bookmarkEnd w:id="148"/>
      <w:bookmarkEnd w:id="149"/>
      <w:bookmarkEnd w:id="150"/>
      <w:bookmarkEnd w:id="151"/>
    </w:p>
    <w:p w14:paraId="015F0EF9">
      <w:pPr>
        <w:numPr>
          <w:ilvl w:val="1"/>
          <w:numId w:val="31"/>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评标委员会将</w:t>
      </w:r>
      <w:r>
        <w:rPr>
          <w:rFonts w:hint="eastAsia" w:ascii="宋体" w:hAnsi="宋体" w:cs="宋体"/>
          <w:color w:val="auto"/>
          <w:szCs w:val="21"/>
          <w:highlight w:val="none"/>
        </w:rPr>
        <w:t>依法</w:t>
      </w:r>
      <w:r>
        <w:rPr>
          <w:rFonts w:hint="eastAsia" w:ascii="宋体" w:hAnsi="宋体" w:cs="宋体"/>
          <w:color w:val="auto"/>
          <w:szCs w:val="21"/>
          <w:highlight w:val="none"/>
          <w:lang w:eastAsia="zh-TW"/>
        </w:rPr>
        <w:t>审查投标文件是否完整、文件签署是否合格、是否按招标文件的规定密封和标记、投标人是否</w:t>
      </w:r>
      <w:r>
        <w:rPr>
          <w:rFonts w:hint="eastAsia" w:ascii="宋体" w:hAnsi="宋体" w:cs="宋体"/>
          <w:color w:val="auto"/>
          <w:szCs w:val="21"/>
          <w:highlight w:val="none"/>
        </w:rPr>
        <w:t>缴纳</w:t>
      </w:r>
      <w:r>
        <w:rPr>
          <w:rFonts w:hint="eastAsia" w:ascii="宋体" w:hAnsi="宋体" w:cs="宋体"/>
          <w:color w:val="auto"/>
          <w:szCs w:val="21"/>
          <w:highlight w:val="none"/>
          <w:lang w:eastAsia="zh-TW"/>
        </w:rPr>
        <w:t>了投标保证金、有无计算</w:t>
      </w:r>
      <w:r>
        <w:rPr>
          <w:rFonts w:hint="eastAsia" w:ascii="宋体" w:hAnsi="宋体" w:cs="宋体"/>
          <w:color w:val="auto"/>
          <w:szCs w:val="21"/>
          <w:highlight w:val="none"/>
        </w:rPr>
        <w:t>上</w:t>
      </w:r>
      <w:r>
        <w:rPr>
          <w:rFonts w:hint="eastAsia" w:ascii="宋体" w:hAnsi="宋体" w:cs="宋体"/>
          <w:color w:val="auto"/>
          <w:szCs w:val="21"/>
          <w:highlight w:val="none"/>
          <w:lang w:eastAsia="zh-TW"/>
        </w:rPr>
        <w:t>的错误等。</w:t>
      </w:r>
    </w:p>
    <w:p w14:paraId="6758B5D9">
      <w:pPr>
        <w:numPr>
          <w:ilvl w:val="1"/>
          <w:numId w:val="31"/>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开标时，投标文件中开标一览表</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TW"/>
        </w:rPr>
        <w:t>报价表</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TW"/>
        </w:rPr>
        <w:t>内容与投标文件中明细表内容不一致的，以开标一览表</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TW"/>
        </w:rPr>
        <w:t>报价表</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TW"/>
        </w:rPr>
        <w:t>为准。投标文件中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r>
        <w:rPr>
          <w:rFonts w:hint="eastAsia" w:ascii="宋体" w:hAnsi="宋体" w:cs="宋体"/>
          <w:color w:val="auto"/>
          <w:szCs w:val="21"/>
          <w:highlight w:val="none"/>
        </w:rPr>
        <w:t>。如果投标人不接受对其错误的更正，其投标将被视为无效投标或确定为投标无效。</w:t>
      </w:r>
    </w:p>
    <w:p w14:paraId="0AE3AD22">
      <w:pPr>
        <w:numPr>
          <w:ilvl w:val="1"/>
          <w:numId w:val="31"/>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对于投标文件中不构成实质性偏差的不正规、不一致或不规则</w:t>
      </w:r>
      <w:r>
        <w:rPr>
          <w:rFonts w:hint="eastAsia" w:ascii="宋体" w:hAnsi="宋体" w:cs="宋体"/>
          <w:color w:val="auto"/>
          <w:szCs w:val="21"/>
          <w:highlight w:val="none"/>
        </w:rPr>
        <w:t>，</w:t>
      </w:r>
      <w:r>
        <w:rPr>
          <w:rFonts w:hint="eastAsia" w:ascii="宋体" w:hAnsi="宋体" w:cs="宋体"/>
          <w:color w:val="auto"/>
          <w:szCs w:val="21"/>
          <w:highlight w:val="none"/>
          <w:lang w:eastAsia="zh-TW"/>
        </w:rPr>
        <w:t>评标委员会可以接受</w:t>
      </w:r>
      <w:r>
        <w:rPr>
          <w:rFonts w:hint="eastAsia" w:ascii="宋体" w:hAnsi="宋体" w:cs="宋体"/>
          <w:color w:val="auto"/>
          <w:szCs w:val="21"/>
          <w:highlight w:val="none"/>
        </w:rPr>
        <w:t>，</w:t>
      </w:r>
      <w:r>
        <w:rPr>
          <w:rFonts w:hint="eastAsia" w:ascii="宋体" w:hAnsi="宋体" w:cs="宋体"/>
          <w:color w:val="auto"/>
          <w:szCs w:val="21"/>
          <w:highlight w:val="none"/>
          <w:lang w:eastAsia="zh-TW"/>
        </w:rPr>
        <w:t>但这种接受不能损害或影响任何投标人的相对排序。</w:t>
      </w:r>
    </w:p>
    <w:p w14:paraId="500345E2">
      <w:pPr>
        <w:numPr>
          <w:ilvl w:val="1"/>
          <w:numId w:val="31"/>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在详细评标之前</w:t>
      </w:r>
      <w:r>
        <w:rPr>
          <w:rFonts w:hint="eastAsia" w:ascii="宋体" w:hAnsi="宋体" w:cs="宋体"/>
          <w:color w:val="auto"/>
          <w:szCs w:val="21"/>
          <w:highlight w:val="none"/>
        </w:rPr>
        <w:t>，</w:t>
      </w:r>
      <w:r>
        <w:rPr>
          <w:rFonts w:hint="eastAsia" w:ascii="宋体" w:hAnsi="宋体" w:cs="宋体"/>
          <w:color w:val="auto"/>
          <w:szCs w:val="21"/>
          <w:highlight w:val="none"/>
          <w:lang w:eastAsia="zh-TW"/>
        </w:rPr>
        <w:t>评标委员会要审查每份投标文件是否实质上响应了招标文件的要求。实质上</w:t>
      </w:r>
      <w:r>
        <w:rPr>
          <w:rFonts w:hint="eastAsia" w:ascii="宋体" w:hAnsi="宋体" w:cs="宋体"/>
          <w:color w:val="auto"/>
          <w:szCs w:val="21"/>
          <w:highlight w:val="none"/>
        </w:rPr>
        <w:t>响</w:t>
      </w:r>
      <w:r>
        <w:rPr>
          <w:rFonts w:hint="eastAsia" w:ascii="宋体" w:hAnsi="宋体" w:cs="宋体"/>
          <w:color w:val="auto"/>
          <w:szCs w:val="21"/>
          <w:highlight w:val="none"/>
          <w:lang w:eastAsia="zh-TW"/>
        </w:rPr>
        <w:t>应的投标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应该是与招标文件要求的关键条款</w:t>
      </w:r>
      <w:r>
        <w:rPr>
          <w:rFonts w:hint="eastAsia" w:ascii="宋体" w:hAnsi="宋体" w:cs="宋体"/>
          <w:color w:val="auto"/>
          <w:szCs w:val="21"/>
          <w:highlight w:val="none"/>
        </w:rPr>
        <w:t>、</w:t>
      </w:r>
      <w:r>
        <w:rPr>
          <w:rFonts w:hint="eastAsia" w:ascii="宋体" w:hAnsi="宋体" w:cs="宋体"/>
          <w:color w:val="auto"/>
          <w:szCs w:val="21"/>
          <w:highlight w:val="none"/>
          <w:lang w:eastAsia="zh-TW"/>
        </w:rPr>
        <w:t>条件和规格相符</w:t>
      </w:r>
      <w:r>
        <w:rPr>
          <w:rFonts w:hint="eastAsia" w:ascii="宋体" w:hAnsi="宋体" w:cs="宋体"/>
          <w:color w:val="auto"/>
          <w:szCs w:val="21"/>
          <w:highlight w:val="none"/>
        </w:rPr>
        <w:t>或优于，</w:t>
      </w:r>
      <w:r>
        <w:rPr>
          <w:rFonts w:hint="eastAsia" w:ascii="宋体" w:hAnsi="宋体" w:cs="宋体"/>
          <w:color w:val="auto"/>
          <w:szCs w:val="21"/>
          <w:highlight w:val="none"/>
          <w:lang w:eastAsia="zh-TW"/>
        </w:rPr>
        <w:t>没有</w:t>
      </w:r>
      <w:r>
        <w:rPr>
          <w:rFonts w:hint="eastAsia" w:ascii="宋体" w:hAnsi="宋体" w:cs="宋体"/>
          <w:color w:val="auto"/>
          <w:szCs w:val="21"/>
          <w:highlight w:val="none"/>
        </w:rPr>
        <w:t>实质</w:t>
      </w:r>
      <w:r>
        <w:rPr>
          <w:rFonts w:hint="eastAsia" w:ascii="宋体" w:hAnsi="宋体" w:cs="宋体"/>
          <w:color w:val="auto"/>
          <w:szCs w:val="21"/>
          <w:highlight w:val="none"/>
          <w:lang w:eastAsia="zh-TW"/>
        </w:rPr>
        <w:t>偏离的投标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。评标委员会决定投标的响应性只根据投标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本身的真实无误的内容</w:t>
      </w:r>
      <w:r>
        <w:rPr>
          <w:rFonts w:hint="eastAsia" w:ascii="宋体" w:hAnsi="宋体" w:cs="宋体"/>
          <w:color w:val="auto"/>
          <w:szCs w:val="21"/>
          <w:highlight w:val="none"/>
        </w:rPr>
        <w:t>，</w:t>
      </w:r>
      <w:r>
        <w:rPr>
          <w:rFonts w:hint="eastAsia" w:ascii="宋体" w:hAnsi="宋体" w:cs="宋体"/>
          <w:color w:val="auto"/>
          <w:szCs w:val="21"/>
          <w:highlight w:val="none"/>
          <w:lang w:eastAsia="zh-TW"/>
        </w:rPr>
        <w:t>而不依据外部的证据</w:t>
      </w:r>
      <w:r>
        <w:rPr>
          <w:rFonts w:hint="eastAsia" w:ascii="宋体" w:hAnsi="宋体" w:cs="宋体"/>
          <w:color w:val="auto"/>
          <w:szCs w:val="21"/>
          <w:highlight w:val="none"/>
        </w:rPr>
        <w:t>，</w:t>
      </w:r>
      <w:r>
        <w:rPr>
          <w:rFonts w:hint="eastAsia" w:ascii="宋体" w:hAnsi="宋体" w:cs="宋体"/>
          <w:color w:val="auto"/>
          <w:szCs w:val="21"/>
          <w:highlight w:val="none"/>
          <w:lang w:eastAsia="zh-TW"/>
        </w:rPr>
        <w:t>但投标有不真实不正确的内容时除外。</w:t>
      </w:r>
    </w:p>
    <w:p w14:paraId="2094C487">
      <w:pPr>
        <w:numPr>
          <w:ilvl w:val="1"/>
          <w:numId w:val="31"/>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实质上没有响应招标文件要求的投标将</w:t>
      </w:r>
      <w:r>
        <w:rPr>
          <w:rFonts w:hint="eastAsia" w:ascii="宋体" w:hAnsi="宋体" w:cs="宋体"/>
          <w:color w:val="auto"/>
          <w:szCs w:val="21"/>
          <w:highlight w:val="none"/>
        </w:rPr>
        <w:t>被视为无效投标</w:t>
      </w:r>
      <w:r>
        <w:rPr>
          <w:rFonts w:hint="eastAsia" w:ascii="宋体" w:hAnsi="宋体" w:cs="宋体"/>
          <w:color w:val="auto"/>
          <w:szCs w:val="21"/>
          <w:highlight w:val="none"/>
          <w:lang w:eastAsia="zh-TW"/>
        </w:rPr>
        <w:t>。投标人不得通过修正或撤销不合要求的偏离或保留从而使其投标成为实质上响应的投标。</w:t>
      </w:r>
    </w:p>
    <w:p w14:paraId="7A0594FB">
      <w:pPr>
        <w:numPr>
          <w:ilvl w:val="2"/>
          <w:numId w:val="31"/>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在资格性审查、符合性检查时，未能通过资格性、符合性审查被认定为无效投标，对初步被认定为资格</w:t>
      </w:r>
      <w:r>
        <w:rPr>
          <w:rFonts w:hint="eastAsia" w:ascii="宋体" w:hAnsi="宋体" w:cs="宋体"/>
          <w:color w:val="auto"/>
          <w:szCs w:val="21"/>
          <w:highlight w:val="none"/>
        </w:rPr>
        <w:t>、符合</w:t>
      </w:r>
      <w:r>
        <w:rPr>
          <w:rFonts w:hint="eastAsia" w:ascii="宋体" w:hAnsi="宋体" w:cs="宋体"/>
          <w:color w:val="auto"/>
          <w:szCs w:val="21"/>
          <w:highlight w:val="none"/>
          <w:lang w:eastAsia="zh-TW"/>
        </w:rPr>
        <w:t>性审查不</w:t>
      </w:r>
      <w:r>
        <w:rPr>
          <w:rFonts w:hint="eastAsia" w:ascii="宋体" w:hAnsi="宋体" w:cs="宋体"/>
          <w:color w:val="auto"/>
          <w:szCs w:val="21"/>
          <w:highlight w:val="none"/>
        </w:rPr>
        <w:t>通过</w:t>
      </w:r>
      <w:r>
        <w:rPr>
          <w:rFonts w:hint="eastAsia" w:ascii="宋体" w:hAnsi="宋体" w:cs="宋体"/>
          <w:color w:val="auto"/>
          <w:szCs w:val="21"/>
          <w:highlight w:val="none"/>
          <w:lang w:eastAsia="zh-TW"/>
        </w:rPr>
        <w:t>的，可实行告知投标当事人，以让其核证、澄清事实。未通过资格</w:t>
      </w:r>
      <w:r>
        <w:rPr>
          <w:rFonts w:hint="eastAsia" w:ascii="宋体" w:hAnsi="宋体" w:cs="宋体"/>
          <w:color w:val="auto"/>
          <w:szCs w:val="21"/>
          <w:highlight w:val="none"/>
        </w:rPr>
        <w:t>、符合</w:t>
      </w:r>
      <w:r>
        <w:rPr>
          <w:rFonts w:hint="eastAsia" w:ascii="宋体" w:hAnsi="宋体" w:cs="宋体"/>
          <w:color w:val="auto"/>
          <w:szCs w:val="21"/>
          <w:highlight w:val="none"/>
          <w:lang w:eastAsia="zh-TW"/>
        </w:rPr>
        <w:t>性审查的投标人，不进入</w:t>
      </w:r>
      <w:r>
        <w:rPr>
          <w:rFonts w:hint="eastAsia" w:ascii="宋体" w:hAnsi="宋体" w:cs="宋体"/>
          <w:color w:val="auto"/>
          <w:szCs w:val="21"/>
          <w:highlight w:val="none"/>
        </w:rPr>
        <w:t>技术、商务、价格评审</w:t>
      </w:r>
      <w:r>
        <w:rPr>
          <w:rFonts w:hint="eastAsia" w:ascii="宋体" w:hAnsi="宋体" w:cs="宋体"/>
          <w:color w:val="auto"/>
          <w:szCs w:val="21"/>
          <w:highlight w:val="none"/>
          <w:lang w:eastAsia="zh-TW"/>
        </w:rPr>
        <w:t>。对投标有效性认定意见不一致的，评标委员会按</w:t>
      </w:r>
      <w:r>
        <w:rPr>
          <w:rFonts w:hint="eastAsia" w:ascii="宋体" w:hAnsi="宋体" w:cs="宋体"/>
          <w:color w:val="auto"/>
          <w:szCs w:val="21"/>
          <w:highlight w:val="none"/>
        </w:rPr>
        <w:t>少数服从多数的</w:t>
      </w:r>
      <w:r>
        <w:rPr>
          <w:rFonts w:hint="eastAsia" w:ascii="宋体" w:hAnsi="宋体" w:cs="宋体"/>
          <w:color w:val="auto"/>
          <w:szCs w:val="21"/>
          <w:highlight w:val="none"/>
          <w:lang w:eastAsia="zh-TW"/>
        </w:rPr>
        <w:t>原则</w:t>
      </w:r>
      <w:r>
        <w:rPr>
          <w:rFonts w:hint="eastAsia" w:ascii="宋体" w:hAnsi="宋体" w:cs="宋体"/>
          <w:color w:val="auto"/>
          <w:szCs w:val="21"/>
          <w:highlight w:val="none"/>
        </w:rPr>
        <w:t>做出结论</w:t>
      </w:r>
      <w:r>
        <w:rPr>
          <w:rFonts w:hint="eastAsia" w:ascii="宋体" w:hAnsi="宋体" w:cs="宋体"/>
          <w:color w:val="auto"/>
          <w:szCs w:val="21"/>
          <w:highlight w:val="none"/>
          <w:lang w:eastAsia="zh-TW"/>
        </w:rPr>
        <w:t xml:space="preserve">。具体条款详见招标文件第四章《资格、符合性评审条款》。  </w:t>
      </w:r>
    </w:p>
    <w:p w14:paraId="5D45044A">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52" w:name="_Toc16549"/>
      <w:bookmarkStart w:id="153" w:name="_Toc17426"/>
      <w:bookmarkStart w:id="154" w:name="_Toc410722668"/>
      <w:bookmarkStart w:id="155" w:name="_Toc355879697"/>
      <w:bookmarkStart w:id="156" w:name="_Toc5648"/>
      <w:r>
        <w:rPr>
          <w:rFonts w:hint="eastAsia" w:ascii="宋体" w:hAnsi="宋体"/>
          <w:b/>
          <w:bCs/>
          <w:color w:val="auto"/>
          <w:szCs w:val="21"/>
          <w:highlight w:val="none"/>
        </w:rPr>
        <w:t>投标文件的澄清</w:t>
      </w:r>
      <w:bookmarkEnd w:id="152"/>
      <w:bookmarkEnd w:id="153"/>
      <w:bookmarkEnd w:id="154"/>
      <w:bookmarkEnd w:id="155"/>
      <w:bookmarkEnd w:id="156"/>
    </w:p>
    <w:p w14:paraId="0F7C6171">
      <w:pPr>
        <w:numPr>
          <w:ilvl w:val="1"/>
          <w:numId w:val="31"/>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评标期间，对投标文件中含义不明确、同类问题表述不一致或者有明显文字和计算错误的内容，评标委员会可以书面形式（应当由评标委员会专家签字）要求投标人作出必要的澄清、说明或者纠正，但</w:t>
      </w:r>
      <w:r>
        <w:rPr>
          <w:rFonts w:hint="eastAsia"/>
          <w:color w:val="auto"/>
          <w:szCs w:val="21"/>
          <w:highlight w:val="none"/>
        </w:rPr>
        <w:t>不得超出投标文件的范围或者改变投标文件的实质性内容。</w:t>
      </w:r>
      <w:r>
        <w:rPr>
          <w:rFonts w:hint="eastAsia" w:ascii="宋体" w:hAnsi="宋体" w:cs="宋体"/>
          <w:color w:val="auto"/>
          <w:szCs w:val="21"/>
          <w:highlight w:val="none"/>
          <w:lang w:eastAsia="zh-TW"/>
        </w:rPr>
        <w:t>投标人的澄清、说明或者补正应当采用书面形式</w:t>
      </w:r>
      <w:r>
        <w:rPr>
          <w:rFonts w:hint="eastAsia" w:ascii="宋体" w:hAnsi="宋体" w:cs="宋体"/>
          <w:color w:val="auto"/>
          <w:szCs w:val="21"/>
          <w:highlight w:val="none"/>
        </w:rPr>
        <w:t>，</w:t>
      </w:r>
      <w:r>
        <w:rPr>
          <w:rFonts w:hint="eastAsia" w:ascii="宋体" w:hAnsi="宋体" w:cs="宋体"/>
          <w:color w:val="auto"/>
          <w:szCs w:val="21"/>
          <w:highlight w:val="none"/>
          <w:lang w:eastAsia="zh-TW"/>
        </w:rPr>
        <w:t>由其授权的代表签字</w:t>
      </w:r>
      <w:r>
        <w:rPr>
          <w:rFonts w:hint="eastAsia" w:ascii="宋体" w:hAnsi="宋体" w:cs="宋体"/>
          <w:color w:val="auto"/>
          <w:szCs w:val="21"/>
          <w:highlight w:val="none"/>
        </w:rPr>
        <w:t>或盖章</w:t>
      </w:r>
      <w:r>
        <w:rPr>
          <w:rFonts w:hint="eastAsia" w:ascii="宋体" w:hAnsi="宋体" w:cs="宋体"/>
          <w:color w:val="auto"/>
          <w:szCs w:val="21"/>
          <w:highlight w:val="none"/>
          <w:lang w:eastAsia="zh-TW"/>
        </w:rPr>
        <w:t>，并不得超出投标文件的范围或者改变投标文件的实质性内容</w:t>
      </w:r>
      <w:r>
        <w:rPr>
          <w:rFonts w:hint="eastAsia" w:ascii="宋体" w:hAnsi="宋体" w:cs="宋体"/>
          <w:color w:val="auto"/>
          <w:szCs w:val="21"/>
          <w:highlight w:val="none"/>
        </w:rPr>
        <w:t>。</w:t>
      </w:r>
      <w:r>
        <w:rPr>
          <w:rFonts w:hint="eastAsia" w:ascii="宋体" w:hAnsi="宋体" w:cs="宋体"/>
          <w:color w:val="auto"/>
          <w:szCs w:val="21"/>
          <w:highlight w:val="none"/>
          <w:lang w:eastAsia="zh-TW"/>
        </w:rPr>
        <w:t>有关澄清的答复均应由投标人的法定代表人或</w:t>
      </w:r>
      <w:r>
        <w:rPr>
          <w:rFonts w:hint="eastAsia" w:ascii="宋体" w:hAnsi="宋体" w:cs="宋体"/>
          <w:color w:val="auto"/>
          <w:szCs w:val="21"/>
          <w:highlight w:val="none"/>
        </w:rPr>
        <w:t>其</w:t>
      </w:r>
      <w:r>
        <w:rPr>
          <w:rFonts w:hint="eastAsia" w:ascii="宋体" w:hAnsi="宋体" w:cs="宋体"/>
          <w:color w:val="auto"/>
          <w:szCs w:val="21"/>
          <w:highlight w:val="none"/>
          <w:lang w:eastAsia="zh-TW"/>
        </w:rPr>
        <w:t>授权代表签字</w:t>
      </w:r>
      <w:r>
        <w:rPr>
          <w:rFonts w:hint="eastAsia" w:ascii="宋体" w:hAnsi="宋体" w:cs="宋体"/>
          <w:color w:val="auto"/>
          <w:szCs w:val="21"/>
          <w:highlight w:val="none"/>
        </w:rPr>
        <w:t>或盖章</w:t>
      </w:r>
      <w:r>
        <w:rPr>
          <w:rFonts w:hint="eastAsia" w:ascii="宋体" w:hAnsi="宋体" w:cs="宋体"/>
          <w:color w:val="auto"/>
          <w:szCs w:val="21"/>
          <w:highlight w:val="none"/>
          <w:lang w:eastAsia="zh-TW"/>
        </w:rPr>
        <w:t>的书面形式作出。</w:t>
      </w:r>
    </w:p>
    <w:p w14:paraId="4F6A7E2A">
      <w:pPr>
        <w:numPr>
          <w:ilvl w:val="1"/>
          <w:numId w:val="31"/>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投标人的澄清文件是其投标文件的组成部分。</w:t>
      </w:r>
    </w:p>
    <w:p w14:paraId="316AD493">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57" w:name="_Toc13180"/>
      <w:bookmarkStart w:id="158" w:name="_Toc30374"/>
      <w:bookmarkStart w:id="159" w:name="_Toc14356"/>
      <w:bookmarkStart w:id="160" w:name="_Toc410722669"/>
      <w:bookmarkStart w:id="161" w:name="_Toc355879698"/>
      <w:r>
        <w:rPr>
          <w:rFonts w:hint="eastAsia" w:ascii="宋体" w:hAnsi="宋体"/>
          <w:b/>
          <w:bCs/>
          <w:color w:val="auto"/>
          <w:szCs w:val="21"/>
          <w:highlight w:val="none"/>
        </w:rPr>
        <w:t>投标文件详细评价</w:t>
      </w:r>
      <w:bookmarkEnd w:id="157"/>
      <w:bookmarkEnd w:id="158"/>
      <w:bookmarkEnd w:id="159"/>
      <w:bookmarkEnd w:id="160"/>
      <w:bookmarkEnd w:id="161"/>
    </w:p>
    <w:p w14:paraId="3D7BDA14">
      <w:pPr>
        <w:numPr>
          <w:ilvl w:val="1"/>
          <w:numId w:val="31"/>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olor w:val="auto"/>
          <w:szCs w:val="21"/>
          <w:highlight w:val="none"/>
        </w:rPr>
        <w:t>评</w:t>
      </w:r>
      <w:r>
        <w:rPr>
          <w:rFonts w:hint="eastAsia" w:ascii="宋体" w:hAnsi="宋体" w:cs="宋体"/>
          <w:color w:val="auto"/>
          <w:szCs w:val="21"/>
          <w:highlight w:val="none"/>
          <w:lang w:eastAsia="zh-TW"/>
        </w:rPr>
        <w:t>标委员会将</w:t>
      </w:r>
      <w:r>
        <w:rPr>
          <w:rFonts w:hint="eastAsia" w:ascii="宋体" w:hAnsi="宋体" w:cs="宋体"/>
          <w:color w:val="auto"/>
          <w:szCs w:val="21"/>
          <w:highlight w:val="none"/>
        </w:rPr>
        <w:t>对通过</w:t>
      </w:r>
      <w:r>
        <w:rPr>
          <w:rFonts w:hint="eastAsia" w:ascii="宋体" w:hAnsi="宋体" w:cs="宋体"/>
          <w:color w:val="auto"/>
          <w:szCs w:val="21"/>
          <w:highlight w:val="none"/>
          <w:lang w:eastAsia="zh-TW"/>
        </w:rPr>
        <w:t>资格性、符合性审查的投标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进行</w:t>
      </w:r>
      <w:r>
        <w:rPr>
          <w:rFonts w:hint="eastAsia" w:ascii="宋体" w:hAnsi="宋体" w:cs="宋体"/>
          <w:color w:val="auto"/>
          <w:szCs w:val="21"/>
          <w:highlight w:val="none"/>
        </w:rPr>
        <w:t>详细</w:t>
      </w:r>
      <w:r>
        <w:rPr>
          <w:rFonts w:hint="eastAsia" w:ascii="宋体" w:hAnsi="宋体" w:cs="宋体"/>
          <w:color w:val="auto"/>
          <w:szCs w:val="21"/>
          <w:highlight w:val="none"/>
          <w:lang w:eastAsia="zh-TW"/>
        </w:rPr>
        <w:t>评价和比较</w:t>
      </w:r>
      <w:r>
        <w:rPr>
          <w:rFonts w:hint="eastAsia" w:ascii="宋体" w:hAnsi="宋体" w:cs="宋体"/>
          <w:color w:val="auto"/>
          <w:szCs w:val="21"/>
          <w:highlight w:val="none"/>
        </w:rPr>
        <w:t>。</w:t>
      </w:r>
    </w:p>
    <w:p w14:paraId="1645D3F6">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62" w:name="_Toc10898"/>
      <w:bookmarkStart w:id="163" w:name="_Toc12606"/>
      <w:bookmarkStart w:id="164" w:name="_Toc23122"/>
      <w:bookmarkStart w:id="165" w:name="_Toc410722670"/>
      <w:bookmarkStart w:id="166" w:name="_Toc355879699"/>
      <w:r>
        <w:rPr>
          <w:rFonts w:hint="eastAsia" w:ascii="宋体" w:hAnsi="宋体"/>
          <w:b/>
          <w:bCs/>
          <w:color w:val="auto"/>
          <w:szCs w:val="21"/>
          <w:highlight w:val="none"/>
        </w:rPr>
        <w:t>定标原则与授标</w:t>
      </w:r>
      <w:bookmarkEnd w:id="162"/>
      <w:bookmarkEnd w:id="163"/>
      <w:bookmarkEnd w:id="164"/>
      <w:bookmarkEnd w:id="165"/>
      <w:bookmarkEnd w:id="166"/>
    </w:p>
    <w:p w14:paraId="43C9FF91">
      <w:pPr>
        <w:numPr>
          <w:ilvl w:val="1"/>
          <w:numId w:val="31"/>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评标委员会按照招标文件确定的评标方法、步骤、标准，对投标文件进行评审，提出书面评标报告。</w:t>
      </w:r>
    </w:p>
    <w:p w14:paraId="79D0F8E1">
      <w:pPr>
        <w:numPr>
          <w:ilvl w:val="1"/>
          <w:numId w:val="31"/>
        </w:numPr>
        <w:autoSpaceDE w:val="0"/>
        <w:autoSpaceDN w:val="0"/>
        <w:adjustRightInd w:val="0"/>
        <w:snapToGrid w:val="0"/>
        <w:spacing w:line="360" w:lineRule="auto"/>
        <w:rPr>
          <w:rFonts w:hint="eastAsia" w:ascii="宋体" w:hAnsi="宋体"/>
          <w:color w:val="auto"/>
          <w:szCs w:val="21"/>
          <w:highlight w:val="none"/>
        </w:rPr>
      </w:pPr>
      <w:r>
        <w:rPr>
          <w:color w:val="auto"/>
        </w:rPr>
        <w:t>提供相同品牌产品（非单一产品采购，以核心产品为准。多个核心产品的，有一种产品品牌相同，即视为提供相同品牌产品），评审后得分最高的同品牌投标人获得中标人推荐资格；评审得分相同的，由</w:t>
      </w:r>
      <w:r>
        <w:rPr>
          <w:rFonts w:hint="eastAsia"/>
          <w:color w:val="auto"/>
          <w:lang w:eastAsia="zh-CN"/>
        </w:rPr>
        <w:t>招标人</w:t>
      </w:r>
      <w:r>
        <w:rPr>
          <w:color w:val="auto"/>
        </w:rPr>
        <w:t>或者</w:t>
      </w:r>
      <w:r>
        <w:rPr>
          <w:rFonts w:hint="eastAsia"/>
          <w:color w:val="auto"/>
          <w:lang w:eastAsia="zh-CN"/>
        </w:rPr>
        <w:t>招标人</w:t>
      </w:r>
      <w:r>
        <w:rPr>
          <w:color w:val="auto"/>
        </w:rPr>
        <w:t>委托评标委员会采取随机抽取方式确定，其他同品牌投标人不作为中标候选人</w:t>
      </w:r>
      <w:r>
        <w:rPr>
          <w:rFonts w:hint="eastAsia"/>
          <w:color w:val="auto"/>
          <w:lang w:eastAsia="zh-CN"/>
        </w:rPr>
        <w:t>。</w:t>
      </w:r>
    </w:p>
    <w:p w14:paraId="6D8056A5">
      <w:pPr>
        <w:numPr>
          <w:ilvl w:val="1"/>
          <w:numId w:val="31"/>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采用综合评分法的，按评审后得分由高到低顺序排列。得分相同的，按投标报价由低到高顺序排列。得分且投标报价相同的，按技术指标优劣顺序排列。除</w:t>
      </w:r>
      <w:r>
        <w:rPr>
          <w:rFonts w:hint="eastAsia" w:ascii="宋体" w:hAnsi="宋体"/>
          <w:b/>
          <w:color w:val="auto"/>
          <w:szCs w:val="21"/>
          <w:highlight w:val="none"/>
        </w:rPr>
        <w:t>投标资料表</w:t>
      </w:r>
      <w:r>
        <w:rPr>
          <w:rFonts w:hint="eastAsia" w:ascii="宋体" w:hAnsi="宋体"/>
          <w:color w:val="auto"/>
          <w:szCs w:val="21"/>
          <w:highlight w:val="none"/>
        </w:rPr>
        <w:t>另有规定的，推荐综合得分排名第一的投标人为第一中标候选人，排名第二的投标人为第二中标候选人。</w:t>
      </w:r>
    </w:p>
    <w:p w14:paraId="627F83C0">
      <w:pPr>
        <w:numPr>
          <w:ilvl w:val="1"/>
          <w:numId w:val="31"/>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采用</w:t>
      </w:r>
      <w:r>
        <w:rPr>
          <w:rFonts w:hint="eastAsia" w:ascii="宋体" w:hAnsi="宋体" w:cs="宋体"/>
          <w:color w:val="auto"/>
          <w:szCs w:val="21"/>
          <w:highlight w:val="none"/>
          <w:lang w:eastAsia="zh-TW"/>
        </w:rPr>
        <w:t>最低评标价法</w:t>
      </w:r>
      <w:r>
        <w:rPr>
          <w:rFonts w:hint="eastAsia" w:ascii="宋体" w:hAnsi="宋体" w:cs="宋体"/>
          <w:color w:val="auto"/>
          <w:szCs w:val="21"/>
          <w:highlight w:val="none"/>
        </w:rPr>
        <w:t>的，</w:t>
      </w:r>
      <w:r>
        <w:rPr>
          <w:rFonts w:hint="eastAsia" w:ascii="宋体" w:hAnsi="宋体" w:cs="宋体"/>
          <w:color w:val="auto"/>
          <w:szCs w:val="21"/>
          <w:highlight w:val="none"/>
          <w:lang w:eastAsia="zh-TW"/>
        </w:rPr>
        <w:t>按投标报价由低到高顺序排列。投标报价相同的，按技术指标优劣顺序排列。评标委员会认为，排在前面的中标候选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人递补，以此类推。</w:t>
      </w:r>
    </w:p>
    <w:p w14:paraId="04304DC8">
      <w:pPr>
        <w:numPr>
          <w:ilvl w:val="1"/>
          <w:numId w:val="31"/>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采用性价比法的，按商数得分由高到低顺序排列。商数得分相同的，按投标报价由低到高顺序排列。商数得分且投标报价相同的，按技术指标优劣顺序排列。</w:t>
      </w:r>
    </w:p>
    <w:p w14:paraId="783A10E7">
      <w:pPr>
        <w:numPr>
          <w:ilvl w:val="1"/>
          <w:numId w:val="31"/>
        </w:numPr>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评标委员会提</w:t>
      </w:r>
      <w:r>
        <w:rPr>
          <w:rFonts w:hint="eastAsia" w:ascii="宋体" w:hAnsi="宋体"/>
          <w:color w:val="auto"/>
          <w:szCs w:val="21"/>
          <w:highlight w:val="none"/>
        </w:rPr>
        <w:t>交</w:t>
      </w:r>
      <w:r>
        <w:rPr>
          <w:rFonts w:ascii="宋体" w:hAnsi="宋体"/>
          <w:color w:val="auto"/>
          <w:szCs w:val="21"/>
          <w:highlight w:val="none"/>
        </w:rPr>
        <w:t>评</w:t>
      </w:r>
      <w:r>
        <w:rPr>
          <w:rFonts w:hint="eastAsia" w:ascii="宋体" w:hAnsi="宋体"/>
          <w:color w:val="auto"/>
          <w:szCs w:val="21"/>
          <w:highlight w:val="none"/>
        </w:rPr>
        <w:t>标</w:t>
      </w:r>
      <w:r>
        <w:rPr>
          <w:rFonts w:ascii="宋体" w:hAnsi="宋体"/>
          <w:color w:val="auto"/>
          <w:szCs w:val="21"/>
          <w:highlight w:val="none"/>
        </w:rPr>
        <w:t>报告和推荐中标意见报</w:t>
      </w:r>
      <w:r>
        <w:rPr>
          <w:rFonts w:hint="eastAsia" w:ascii="宋体" w:hAnsi="宋体"/>
          <w:color w:val="auto"/>
          <w:szCs w:val="21"/>
          <w:highlight w:val="none"/>
        </w:rPr>
        <w:t>招标人确认，招标人在收到评标报告后的法定时间内，按照评标报告中推荐的中标候选人顺序确定中标人，也可以事先授权评标委员会直接确定中标人。确认后招标代理机构将在刊登本项目招标公告的法定媒体上</w:t>
      </w:r>
      <w:r>
        <w:rPr>
          <w:rFonts w:ascii="宋体" w:hAnsi="宋体"/>
          <w:color w:val="auto"/>
          <w:szCs w:val="21"/>
          <w:highlight w:val="none"/>
        </w:rPr>
        <w:t>发</w:t>
      </w:r>
      <w:r>
        <w:rPr>
          <w:rFonts w:hint="eastAsia" w:ascii="宋体" w:hAnsi="宋体"/>
          <w:color w:val="auto"/>
          <w:szCs w:val="21"/>
          <w:highlight w:val="none"/>
        </w:rPr>
        <w:t>布中标公告。不在中标名单之列者即为未中标人，招标代理机构不再以其他方式另行通知。</w:t>
      </w:r>
    </w:p>
    <w:p w14:paraId="011982F2">
      <w:pPr>
        <w:numPr>
          <w:ilvl w:val="1"/>
          <w:numId w:val="31"/>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bCs/>
          <w:color w:val="auto"/>
          <w:szCs w:val="21"/>
          <w:highlight w:val="none"/>
        </w:rPr>
        <w:t>因不可抗力或自身原因不能履行采购合同的、不按要求与招标人签订采购合同、中标人放弃中标、中标资格被依法确认无效的，招标人可以与排位在中标人之后第一位的中标候选人签订采购合同，没有其他中标候选人的，应当重新组织采购活动</w:t>
      </w:r>
      <w:r>
        <w:rPr>
          <w:rFonts w:hint="eastAsia" w:ascii="宋体" w:hAnsi="宋体"/>
          <w:color w:val="auto"/>
          <w:szCs w:val="21"/>
          <w:highlight w:val="none"/>
        </w:rPr>
        <w:t>。</w:t>
      </w:r>
    </w:p>
    <w:p w14:paraId="2969336E">
      <w:pPr>
        <w:numPr>
          <w:ilvl w:val="1"/>
          <w:numId w:val="31"/>
        </w:numPr>
        <w:autoSpaceDE w:val="0"/>
        <w:autoSpaceDN w:val="0"/>
        <w:adjustRightInd w:val="0"/>
        <w:snapToGrid w:val="0"/>
        <w:spacing w:line="360" w:lineRule="auto"/>
        <w:rPr>
          <w:rFonts w:hint="eastAsia" w:ascii="宋体" w:hAnsi="宋体"/>
          <w:color w:val="auto"/>
          <w:szCs w:val="21"/>
          <w:highlight w:val="none"/>
        </w:rPr>
      </w:pPr>
      <w:r>
        <w:rPr>
          <w:rFonts w:ascii="宋体" w:hAnsi="宋体" w:cs="宋体"/>
          <w:color w:val="auto"/>
          <w:szCs w:val="21"/>
          <w:highlight w:val="none"/>
        </w:rPr>
        <w:t>在招标采购中，出现下列情形之一的，应予废标：</w:t>
      </w:r>
    </w:p>
    <w:p w14:paraId="0F868E85">
      <w:pPr>
        <w:tabs>
          <w:tab w:val="left" w:pos="851"/>
        </w:tabs>
        <w:snapToGrid w:val="0"/>
        <w:spacing w:line="360" w:lineRule="auto"/>
        <w:ind w:left="709"/>
        <w:rPr>
          <w:rFonts w:ascii="宋体" w:hAnsi="宋体" w:cs="宋体"/>
          <w:color w:val="auto"/>
          <w:szCs w:val="21"/>
          <w:highlight w:val="none"/>
        </w:rPr>
      </w:pPr>
      <w:r>
        <w:rPr>
          <w:rFonts w:hint="eastAsia" w:ascii="宋体" w:hAnsi="宋体" w:cs="宋体"/>
          <w:color w:val="auto"/>
          <w:szCs w:val="21"/>
          <w:highlight w:val="none"/>
        </w:rPr>
        <w:t>28.7.1</w:t>
      </w:r>
      <w:r>
        <w:rPr>
          <w:rFonts w:ascii="宋体" w:hAnsi="宋体" w:cs="宋体"/>
          <w:color w:val="auto"/>
          <w:szCs w:val="21"/>
          <w:highlight w:val="none"/>
        </w:rPr>
        <w:t>符合专业条件的供应商或者对</w:t>
      </w:r>
      <w:r>
        <w:rPr>
          <w:rFonts w:hint="eastAsia" w:ascii="宋体" w:hAnsi="宋体" w:cs="宋体"/>
          <w:color w:val="auto"/>
          <w:szCs w:val="21"/>
          <w:highlight w:val="none"/>
        </w:rPr>
        <w:t>招标</w:t>
      </w:r>
      <w:r>
        <w:rPr>
          <w:rFonts w:ascii="宋体" w:hAnsi="宋体" w:cs="宋体"/>
          <w:color w:val="auto"/>
          <w:szCs w:val="21"/>
          <w:highlight w:val="none"/>
        </w:rPr>
        <w:t>文件作实质响应的供应商不足三家的；</w:t>
      </w:r>
    </w:p>
    <w:p w14:paraId="76C72468">
      <w:pPr>
        <w:tabs>
          <w:tab w:val="left" w:pos="851"/>
        </w:tabs>
        <w:snapToGrid w:val="0"/>
        <w:spacing w:line="360" w:lineRule="auto"/>
        <w:ind w:left="709"/>
        <w:rPr>
          <w:rFonts w:ascii="宋体" w:hAnsi="宋体" w:cs="宋体"/>
          <w:color w:val="auto"/>
          <w:szCs w:val="21"/>
          <w:highlight w:val="none"/>
        </w:rPr>
      </w:pPr>
      <w:r>
        <w:rPr>
          <w:rFonts w:hint="eastAsia" w:ascii="宋体" w:hAnsi="宋体" w:cs="宋体"/>
          <w:color w:val="auto"/>
          <w:szCs w:val="21"/>
          <w:highlight w:val="none"/>
        </w:rPr>
        <w:t>28.7.2</w:t>
      </w:r>
      <w:r>
        <w:rPr>
          <w:rFonts w:ascii="宋体" w:hAnsi="宋体" w:cs="宋体"/>
          <w:color w:val="auto"/>
          <w:szCs w:val="21"/>
          <w:highlight w:val="none"/>
        </w:rPr>
        <w:t>出现影响采购公正的违法、违规行为的；</w:t>
      </w:r>
    </w:p>
    <w:p w14:paraId="00108117">
      <w:pPr>
        <w:tabs>
          <w:tab w:val="left" w:pos="851"/>
        </w:tabs>
        <w:snapToGrid w:val="0"/>
        <w:spacing w:line="360" w:lineRule="auto"/>
        <w:ind w:left="709"/>
        <w:rPr>
          <w:rFonts w:ascii="宋体" w:hAnsi="宋体" w:cs="宋体"/>
          <w:color w:val="auto"/>
          <w:szCs w:val="21"/>
          <w:highlight w:val="none"/>
        </w:rPr>
      </w:pPr>
      <w:r>
        <w:rPr>
          <w:rFonts w:hint="eastAsia" w:ascii="宋体" w:hAnsi="宋体" w:cs="宋体"/>
          <w:color w:val="auto"/>
          <w:szCs w:val="21"/>
          <w:highlight w:val="none"/>
        </w:rPr>
        <w:t>28.7.3</w:t>
      </w:r>
      <w:r>
        <w:rPr>
          <w:rFonts w:ascii="宋体" w:hAnsi="宋体" w:cs="宋体"/>
          <w:color w:val="auto"/>
          <w:szCs w:val="21"/>
          <w:highlight w:val="none"/>
        </w:rPr>
        <w:t>投标人的报价均超过了采购预算，招标人不能支付的；</w:t>
      </w:r>
    </w:p>
    <w:p w14:paraId="533AC85A">
      <w:pPr>
        <w:tabs>
          <w:tab w:val="left" w:pos="851"/>
        </w:tabs>
        <w:snapToGrid w:val="0"/>
        <w:spacing w:line="360" w:lineRule="auto"/>
        <w:ind w:left="709"/>
        <w:rPr>
          <w:rFonts w:hint="eastAsia" w:ascii="宋体" w:hAnsi="宋体" w:cs="宋体"/>
          <w:color w:val="auto"/>
          <w:szCs w:val="21"/>
          <w:highlight w:val="none"/>
        </w:rPr>
      </w:pPr>
      <w:r>
        <w:rPr>
          <w:rFonts w:hint="eastAsia" w:ascii="宋体" w:hAnsi="宋体" w:cs="宋体"/>
          <w:color w:val="auto"/>
          <w:szCs w:val="21"/>
          <w:highlight w:val="none"/>
        </w:rPr>
        <w:t>28.7.4</w:t>
      </w:r>
      <w:r>
        <w:rPr>
          <w:rFonts w:ascii="宋体" w:hAnsi="宋体" w:cs="宋体"/>
          <w:color w:val="auto"/>
          <w:szCs w:val="21"/>
          <w:highlight w:val="none"/>
        </w:rPr>
        <w:t>因重大变故，采购任务取消的</w:t>
      </w:r>
      <w:r>
        <w:rPr>
          <w:rFonts w:hint="eastAsia" w:ascii="宋体" w:hAnsi="宋体" w:cs="宋体"/>
          <w:color w:val="auto"/>
          <w:szCs w:val="21"/>
          <w:highlight w:val="none"/>
        </w:rPr>
        <w:t>。</w:t>
      </w:r>
    </w:p>
    <w:p w14:paraId="03A55656">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67" w:name="_Toc27557"/>
      <w:bookmarkStart w:id="168" w:name="_Toc18443"/>
      <w:r>
        <w:rPr>
          <w:rFonts w:hint="eastAsia" w:ascii="宋体" w:hAnsi="宋体"/>
          <w:b/>
          <w:bCs/>
          <w:color w:val="auto"/>
          <w:szCs w:val="21"/>
          <w:highlight w:val="none"/>
        </w:rPr>
        <w:t>异议的提出与答复</w:t>
      </w:r>
      <w:bookmarkEnd w:id="167"/>
      <w:bookmarkEnd w:id="168"/>
    </w:p>
    <w:p w14:paraId="683CAF29">
      <w:pPr>
        <w:numPr>
          <w:ilvl w:val="1"/>
          <w:numId w:val="31"/>
        </w:numPr>
        <w:autoSpaceDE w:val="0"/>
        <w:autoSpaceDN w:val="0"/>
        <w:adjustRightInd w:val="0"/>
        <w:snapToGrid w:val="0"/>
        <w:spacing w:line="360" w:lineRule="auto"/>
        <w:rPr>
          <w:rFonts w:hint="eastAsia" w:ascii="宋体" w:hAnsi="宋体" w:cs="黑体"/>
          <w:color w:val="auto"/>
          <w:szCs w:val="21"/>
          <w:highlight w:val="none"/>
        </w:rPr>
      </w:pPr>
      <w:r>
        <w:rPr>
          <w:rFonts w:hint="eastAsia" w:ascii="宋体" w:hAnsi="宋体" w:cs="黑体"/>
          <w:color w:val="auto"/>
          <w:szCs w:val="21"/>
          <w:highlight w:val="none"/>
        </w:rPr>
        <w:t>潜在投标人或其他利害关系人对招标文件有异议的，应当在投标截止时间10日前以书面形式（加盖投标人公章）向招标代理机构提交异议函原件，逾期异议无效。</w:t>
      </w:r>
    </w:p>
    <w:p w14:paraId="388A3FCB">
      <w:pPr>
        <w:numPr>
          <w:ilvl w:val="1"/>
          <w:numId w:val="31"/>
        </w:numPr>
        <w:autoSpaceDE w:val="0"/>
        <w:autoSpaceDN w:val="0"/>
        <w:adjustRightInd w:val="0"/>
        <w:snapToGrid w:val="0"/>
        <w:spacing w:line="360" w:lineRule="auto"/>
        <w:rPr>
          <w:rFonts w:hint="eastAsia" w:ascii="宋体" w:hAnsi="宋体" w:cs="黑体"/>
          <w:color w:val="auto"/>
          <w:szCs w:val="21"/>
          <w:highlight w:val="none"/>
        </w:rPr>
      </w:pPr>
      <w:r>
        <w:rPr>
          <w:rFonts w:hint="eastAsia" w:ascii="宋体" w:hAnsi="宋体" w:cs="黑体"/>
          <w:color w:val="auto"/>
          <w:szCs w:val="21"/>
          <w:highlight w:val="none"/>
        </w:rPr>
        <w:t>投标人对开标异议的，应当在开标现场提出，招标人或招标代理机构应当当场作出答复，并制作记录。</w:t>
      </w:r>
    </w:p>
    <w:p w14:paraId="390561B7">
      <w:pPr>
        <w:numPr>
          <w:ilvl w:val="1"/>
          <w:numId w:val="31"/>
        </w:numPr>
        <w:autoSpaceDE w:val="0"/>
        <w:autoSpaceDN w:val="0"/>
        <w:adjustRightInd w:val="0"/>
        <w:snapToGrid w:val="0"/>
        <w:spacing w:line="360" w:lineRule="auto"/>
        <w:rPr>
          <w:rFonts w:hint="eastAsia" w:ascii="宋体" w:hAnsi="宋体" w:cs="黑体"/>
          <w:color w:val="auto"/>
          <w:szCs w:val="21"/>
          <w:highlight w:val="none"/>
        </w:rPr>
      </w:pPr>
      <w:r>
        <w:rPr>
          <w:rFonts w:hint="eastAsia" w:ascii="宋体" w:hAnsi="宋体" w:cs="黑体"/>
          <w:color w:val="auto"/>
          <w:szCs w:val="21"/>
          <w:highlight w:val="none"/>
        </w:rPr>
        <w:t>投标人对评标结果有异议的，应当在公示期间以书面形式（加盖投标人公章）向招标代理机构提交异议函原件，逾期异议无效。</w:t>
      </w:r>
    </w:p>
    <w:p w14:paraId="576B730B">
      <w:pPr>
        <w:numPr>
          <w:ilvl w:val="1"/>
          <w:numId w:val="31"/>
        </w:numPr>
        <w:autoSpaceDE w:val="0"/>
        <w:autoSpaceDN w:val="0"/>
        <w:adjustRightInd w:val="0"/>
        <w:snapToGrid w:val="0"/>
        <w:spacing w:line="360" w:lineRule="auto"/>
        <w:rPr>
          <w:rFonts w:hint="eastAsia" w:ascii="宋体" w:hAnsi="宋体" w:cs="黑体"/>
          <w:color w:val="auto"/>
          <w:szCs w:val="21"/>
          <w:highlight w:val="none"/>
        </w:rPr>
      </w:pPr>
      <w:r>
        <w:rPr>
          <w:rFonts w:hint="eastAsia" w:ascii="宋体" w:hAnsi="宋体" w:cs="黑体"/>
          <w:color w:val="auto"/>
          <w:szCs w:val="21"/>
          <w:highlight w:val="none"/>
        </w:rPr>
        <w:t>以联合体形式参加采购活动的，其异议应当由组成联合体的所有供应商共同提出。</w:t>
      </w:r>
    </w:p>
    <w:p w14:paraId="1533516D">
      <w:pPr>
        <w:numPr>
          <w:ilvl w:val="1"/>
          <w:numId w:val="31"/>
        </w:numPr>
        <w:autoSpaceDE w:val="0"/>
        <w:autoSpaceDN w:val="0"/>
        <w:adjustRightInd w:val="0"/>
        <w:snapToGrid w:val="0"/>
        <w:spacing w:line="360" w:lineRule="auto"/>
        <w:rPr>
          <w:rFonts w:hint="eastAsia" w:ascii="宋体" w:hAnsi="宋体" w:cs="黑体"/>
          <w:color w:val="auto"/>
          <w:szCs w:val="21"/>
          <w:highlight w:val="none"/>
        </w:rPr>
      </w:pPr>
      <w:r>
        <w:rPr>
          <w:rFonts w:hint="eastAsia" w:ascii="宋体" w:hAnsi="宋体" w:cs="黑体"/>
          <w:color w:val="auto"/>
          <w:szCs w:val="21"/>
          <w:highlight w:val="none"/>
        </w:rPr>
        <w:t>提交异议应以书面形式（加盖投标人公章）向招标人及招标代理机构提出异议，异议内容不得含有虚假、恶意成分。依据谁主张谁举证的原则，异议者提供的异议书应当包括下列主要内容：具体的异议事项、法律依据、事实依据及相关确凿的证明材料、明确的请求、异议项目名称、编号、投标人名称及地址、授权代表姓名及其联系电话、异议时间，异议书应当署名并由法定代表人或授权代表签字并加盖公章。投标人递交异议书时需提供异议书原件、法定代表人授权委托书（应载明委托代理的具体权限及事项）及授权代表身份证复印件。招标人及招标代理机构不接受投标人以电话、传真或电邮形式提交的异议。</w:t>
      </w:r>
    </w:p>
    <w:p w14:paraId="34DD553F">
      <w:pPr>
        <w:numPr>
          <w:ilvl w:val="1"/>
          <w:numId w:val="31"/>
        </w:numPr>
        <w:autoSpaceDE w:val="0"/>
        <w:autoSpaceDN w:val="0"/>
        <w:adjustRightInd w:val="0"/>
        <w:snapToGrid w:val="0"/>
        <w:spacing w:line="360" w:lineRule="auto"/>
        <w:rPr>
          <w:rFonts w:hint="eastAsia" w:ascii="宋体" w:hAnsi="宋体" w:cs="黑体"/>
          <w:color w:val="auto"/>
          <w:szCs w:val="21"/>
          <w:highlight w:val="none"/>
        </w:rPr>
      </w:pPr>
      <w:r>
        <w:rPr>
          <w:rFonts w:hint="eastAsia" w:ascii="宋体" w:hAnsi="宋体" w:cs="黑体"/>
          <w:color w:val="auto"/>
          <w:szCs w:val="21"/>
          <w:highlight w:val="none"/>
        </w:rPr>
        <w:t>投标人异议应当有明确的请求和必要的证明材料，捏造事实、提供虚假材料或者以非法手段取得证明材料不能作为异议的证明材料。</w:t>
      </w:r>
    </w:p>
    <w:p w14:paraId="6E074923">
      <w:pPr>
        <w:numPr>
          <w:ilvl w:val="1"/>
          <w:numId w:val="31"/>
        </w:numPr>
        <w:autoSpaceDE w:val="0"/>
        <w:autoSpaceDN w:val="0"/>
        <w:adjustRightInd w:val="0"/>
        <w:snapToGrid w:val="0"/>
        <w:spacing w:line="360" w:lineRule="auto"/>
        <w:rPr>
          <w:rFonts w:hint="eastAsia" w:ascii="宋体" w:hAnsi="宋体" w:cs="黑体"/>
          <w:color w:val="auto"/>
          <w:szCs w:val="21"/>
          <w:highlight w:val="none"/>
        </w:rPr>
      </w:pPr>
      <w:r>
        <w:rPr>
          <w:rFonts w:hint="eastAsia" w:ascii="宋体" w:hAnsi="宋体" w:cs="黑体"/>
          <w:color w:val="auto"/>
          <w:szCs w:val="21"/>
          <w:highlight w:val="none"/>
        </w:rPr>
        <w:t>投标人异议须提供相关证明材料，包括但不限于权益受损害的情况说明及受损害的原因、证据内容等，并对异议内容的真实性承担责任。</w:t>
      </w:r>
    </w:p>
    <w:p w14:paraId="43F96AE8">
      <w:pPr>
        <w:numPr>
          <w:ilvl w:val="1"/>
          <w:numId w:val="31"/>
        </w:numPr>
        <w:autoSpaceDE w:val="0"/>
        <w:autoSpaceDN w:val="0"/>
        <w:adjustRightInd w:val="0"/>
        <w:snapToGrid w:val="0"/>
        <w:spacing w:line="360" w:lineRule="auto"/>
        <w:rPr>
          <w:rFonts w:hint="eastAsia" w:ascii="宋体" w:hAnsi="宋体" w:cs="黑体"/>
          <w:color w:val="auto"/>
          <w:szCs w:val="21"/>
          <w:highlight w:val="none"/>
        </w:rPr>
      </w:pPr>
      <w:r>
        <w:rPr>
          <w:rFonts w:hint="eastAsia" w:ascii="宋体" w:hAnsi="宋体" w:cs="黑体"/>
          <w:color w:val="auto"/>
          <w:szCs w:val="21"/>
          <w:highlight w:val="none"/>
        </w:rPr>
        <w:t>招标人及招标代理机构应当在收到书面异议之日起3日内作出答复，但答复的内容不得涉及其他投标人的商业秘密。</w:t>
      </w:r>
    </w:p>
    <w:p w14:paraId="1A484735">
      <w:pPr>
        <w:numPr>
          <w:ilvl w:val="1"/>
          <w:numId w:val="31"/>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黑体"/>
          <w:color w:val="auto"/>
          <w:szCs w:val="21"/>
          <w:highlight w:val="none"/>
        </w:rPr>
        <w:t>投标人提出的异议涉及评审过程或者结果的，招标人及招标代理机构可以组织原评标委员会协助处理异议事项，并可依据评标委员会出具的意见进行答复。</w:t>
      </w:r>
    </w:p>
    <w:p w14:paraId="6BC8D44A">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69" w:name="_Toc410722672"/>
      <w:bookmarkStart w:id="170" w:name="_Toc21154"/>
      <w:bookmarkStart w:id="171" w:name="_Toc13816"/>
      <w:bookmarkStart w:id="172" w:name="_Toc355879701"/>
      <w:bookmarkStart w:id="173" w:name="_Toc21460"/>
      <w:r>
        <w:rPr>
          <w:rFonts w:hint="eastAsia" w:ascii="宋体" w:hAnsi="宋体"/>
          <w:b/>
          <w:bCs/>
          <w:color w:val="auto"/>
          <w:szCs w:val="21"/>
          <w:highlight w:val="none"/>
        </w:rPr>
        <w:t>中标通知书</w:t>
      </w:r>
      <w:bookmarkEnd w:id="169"/>
      <w:bookmarkEnd w:id="170"/>
      <w:bookmarkEnd w:id="171"/>
      <w:bookmarkEnd w:id="172"/>
      <w:bookmarkEnd w:id="173"/>
    </w:p>
    <w:p w14:paraId="70F93617">
      <w:pPr>
        <w:numPr>
          <w:ilvl w:val="1"/>
          <w:numId w:val="31"/>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中标人确定后</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招标代理机构将在</w:t>
      </w:r>
      <w:r>
        <w:rPr>
          <w:rFonts w:hint="eastAsia" w:ascii="宋体" w:hAnsi="宋体" w:cs="宋体"/>
          <w:color w:val="auto"/>
          <w:szCs w:val="21"/>
          <w:highlight w:val="none"/>
        </w:rPr>
        <w:t>招标信息</w:t>
      </w:r>
      <w:r>
        <w:rPr>
          <w:rFonts w:hint="eastAsia" w:ascii="宋体" w:hAnsi="宋体" w:cs="宋体"/>
          <w:color w:val="auto"/>
          <w:szCs w:val="21"/>
          <w:highlight w:val="none"/>
          <w:lang w:eastAsia="zh-TW"/>
        </w:rPr>
        <w:t>媒体上发布中标公告，并向中标人发出《中标通知书》</w:t>
      </w:r>
      <w:r>
        <w:rPr>
          <w:rFonts w:hint="eastAsia" w:ascii="宋体" w:hAnsi="宋体" w:cs="宋体"/>
          <w:color w:val="auto"/>
          <w:szCs w:val="21"/>
          <w:highlight w:val="none"/>
        </w:rPr>
        <w:t>，</w:t>
      </w:r>
      <w:r>
        <w:rPr>
          <w:rFonts w:hint="eastAsia" w:ascii="宋体" w:hAnsi="宋体"/>
          <w:color w:val="auto"/>
          <w:szCs w:val="21"/>
          <w:highlight w:val="none"/>
        </w:rPr>
        <w:t>向招标人及未中标人发出《招标结果通知书》，</w:t>
      </w:r>
      <w:r>
        <w:rPr>
          <w:rFonts w:hint="eastAsia" w:ascii="宋体" w:hAnsi="宋体" w:cs="宋体"/>
          <w:color w:val="auto"/>
          <w:szCs w:val="21"/>
          <w:highlight w:val="none"/>
          <w:lang w:eastAsia="zh-TW"/>
        </w:rPr>
        <w:t>《中标通知书》对中标人和招标人具有同等法律效力。</w:t>
      </w:r>
    </w:p>
    <w:p w14:paraId="267E484E">
      <w:pPr>
        <w:numPr>
          <w:ilvl w:val="1"/>
          <w:numId w:val="31"/>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《中标通知书》将作为授予合同资格的合法依据，是合同的一个组成部分。</w:t>
      </w:r>
    </w:p>
    <w:p w14:paraId="767BDB12">
      <w:pPr>
        <w:numPr>
          <w:ilvl w:val="0"/>
          <w:numId w:val="30"/>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174" w:name="_Toc5128"/>
      <w:bookmarkStart w:id="175" w:name="_Toc12523"/>
      <w:bookmarkStart w:id="176" w:name="_Toc410722673"/>
      <w:bookmarkStart w:id="177" w:name="_Toc26827"/>
      <w:bookmarkStart w:id="178" w:name="_Toc355879702"/>
      <w:r>
        <w:rPr>
          <w:rFonts w:hint="eastAsia" w:ascii="宋体" w:hAnsi="宋体"/>
          <w:b/>
          <w:color w:val="auto"/>
          <w:sz w:val="28"/>
          <w:szCs w:val="28"/>
          <w:highlight w:val="none"/>
          <w:lang w:eastAsia="zh-TW"/>
        </w:rPr>
        <w:t>授予合同</w:t>
      </w:r>
      <w:bookmarkEnd w:id="174"/>
      <w:bookmarkEnd w:id="175"/>
      <w:bookmarkEnd w:id="176"/>
      <w:bookmarkEnd w:id="177"/>
      <w:bookmarkEnd w:id="178"/>
    </w:p>
    <w:p w14:paraId="311F75FD">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79" w:name="_Toc355879703"/>
      <w:bookmarkStart w:id="180" w:name="_Toc11166"/>
      <w:bookmarkStart w:id="181" w:name="_Toc410722674"/>
      <w:bookmarkStart w:id="182" w:name="_Toc16753"/>
      <w:bookmarkStart w:id="183" w:name="_Toc6849"/>
      <w:r>
        <w:rPr>
          <w:rFonts w:hint="eastAsia" w:ascii="宋体" w:hAnsi="宋体"/>
          <w:b/>
          <w:bCs/>
          <w:color w:val="auto"/>
          <w:szCs w:val="21"/>
          <w:highlight w:val="none"/>
        </w:rPr>
        <w:t>合同的订立</w:t>
      </w:r>
      <w:bookmarkEnd w:id="179"/>
      <w:bookmarkEnd w:id="180"/>
      <w:bookmarkEnd w:id="181"/>
      <w:bookmarkEnd w:id="182"/>
      <w:bookmarkEnd w:id="183"/>
    </w:p>
    <w:p w14:paraId="46E2AF70">
      <w:pPr>
        <w:numPr>
          <w:ilvl w:val="1"/>
          <w:numId w:val="31"/>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rPr>
        <w:t>除非</w:t>
      </w:r>
      <w:r>
        <w:rPr>
          <w:rFonts w:hint="eastAsia" w:ascii="宋体" w:hAnsi="宋体" w:cs="宋体"/>
          <w:b/>
          <w:color w:val="auto"/>
          <w:szCs w:val="21"/>
          <w:highlight w:val="none"/>
        </w:rPr>
        <w:t>投标资料表</w:t>
      </w:r>
      <w:r>
        <w:rPr>
          <w:rFonts w:hint="eastAsia" w:ascii="宋体" w:hAnsi="宋体" w:cs="宋体"/>
          <w:color w:val="auto"/>
          <w:szCs w:val="21"/>
          <w:highlight w:val="none"/>
        </w:rPr>
        <w:t>另有规定，</w:t>
      </w:r>
      <w:r>
        <w:rPr>
          <w:rFonts w:hint="eastAsia" w:ascii="宋体" w:hAnsi="宋体" w:cs="宋体"/>
          <w:color w:val="auto"/>
          <w:szCs w:val="21"/>
          <w:highlight w:val="none"/>
          <w:lang w:eastAsia="zh-TW"/>
        </w:rPr>
        <w:t>招标人或者</w:t>
      </w:r>
      <w:r>
        <w:rPr>
          <w:rFonts w:hint="eastAsia" w:ascii="宋体" w:hAnsi="宋体" w:cs="宋体"/>
          <w:color w:val="auto"/>
          <w:szCs w:val="21"/>
          <w:highlight w:val="none"/>
        </w:rPr>
        <w:t>招标代理机构</w:t>
      </w:r>
      <w:r>
        <w:rPr>
          <w:rFonts w:hint="eastAsia" w:ascii="宋体" w:hAnsi="宋体" w:cs="宋体"/>
          <w:color w:val="auto"/>
          <w:szCs w:val="21"/>
          <w:highlight w:val="none"/>
          <w:lang w:eastAsia="zh-TW"/>
        </w:rPr>
        <w:t>应当自中标通知书发出之日起三十日内，按照招标文件和中标人投标文件的约定，与中标人签订书面合同。所签订的合同不得对招标文件和中标人投标文件作实质性修改</w:t>
      </w:r>
      <w:r>
        <w:rPr>
          <w:rFonts w:hint="eastAsia" w:ascii="宋体" w:hAnsi="宋体" w:cs="宋体"/>
          <w:color w:val="auto"/>
          <w:szCs w:val="21"/>
          <w:highlight w:val="none"/>
        </w:rPr>
        <w:t>。</w:t>
      </w:r>
    </w:p>
    <w:p w14:paraId="19FB7B08">
      <w:pPr>
        <w:numPr>
          <w:ilvl w:val="1"/>
          <w:numId w:val="31"/>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招标采购单位不得向中标人提出任何不合理的要求，作为签订合同的条件，不得与中标人私下订立背离合同实质性内容的协议。</w:t>
      </w:r>
    </w:p>
    <w:p w14:paraId="05B2ADC6">
      <w:pPr>
        <w:numPr>
          <w:ilvl w:val="0"/>
          <w:numId w:val="31"/>
        </w:numPr>
        <w:autoSpaceDE w:val="0"/>
        <w:autoSpaceDN w:val="0"/>
        <w:adjustRightInd w:val="0"/>
        <w:snapToGrid w:val="0"/>
        <w:spacing w:line="360" w:lineRule="auto"/>
        <w:outlineLvl w:val="0"/>
        <w:rPr>
          <w:rFonts w:hint="eastAsia" w:ascii="宋体" w:hAnsi="宋体"/>
          <w:b/>
          <w:bCs/>
          <w:color w:val="auto"/>
          <w:szCs w:val="21"/>
          <w:highlight w:val="none"/>
        </w:rPr>
      </w:pPr>
      <w:bookmarkStart w:id="184" w:name="_Toc24372"/>
      <w:bookmarkStart w:id="185" w:name="_Toc355879704"/>
      <w:bookmarkStart w:id="186" w:name="_Toc25880"/>
      <w:bookmarkStart w:id="187" w:name="_Toc21922"/>
      <w:bookmarkStart w:id="188" w:name="_Toc410722675"/>
      <w:r>
        <w:rPr>
          <w:rFonts w:hint="eastAsia" w:ascii="宋体" w:hAnsi="宋体"/>
          <w:b/>
          <w:bCs/>
          <w:color w:val="auto"/>
          <w:szCs w:val="21"/>
          <w:highlight w:val="none"/>
        </w:rPr>
        <w:t>合同的履行</w:t>
      </w:r>
      <w:bookmarkEnd w:id="184"/>
      <w:bookmarkEnd w:id="185"/>
      <w:bookmarkEnd w:id="186"/>
      <w:bookmarkEnd w:id="187"/>
      <w:bookmarkEnd w:id="188"/>
    </w:p>
    <w:p w14:paraId="10C0AA7C">
      <w:pPr>
        <w:numPr>
          <w:ilvl w:val="1"/>
          <w:numId w:val="31"/>
        </w:numPr>
        <w:autoSpaceDE w:val="0"/>
        <w:autoSpaceDN w:val="0"/>
        <w:adjustRightInd w:val="0"/>
        <w:snapToGrid w:val="0"/>
        <w:spacing w:line="360" w:lineRule="auto"/>
        <w:jc w:val="left"/>
        <w:rPr>
          <w:rFonts w:hint="eastAsia" w:ascii="宋体" w:hAnsi="宋体" w:cs="黑体"/>
          <w:b/>
          <w:bCs/>
          <w:color w:val="auto"/>
          <w:szCs w:val="21"/>
          <w:highlight w:val="none"/>
        </w:rPr>
      </w:pPr>
      <w:r>
        <w:rPr>
          <w:rFonts w:hint="eastAsia" w:ascii="宋体" w:hAnsi="宋体" w:cs="宋体"/>
          <w:color w:val="auto"/>
          <w:szCs w:val="21"/>
          <w:highlight w:val="none"/>
          <w:lang w:eastAsia="zh-TW"/>
        </w:rPr>
        <w:t>合同订立后，合同各方不得擅自变更、中止或者终止合同。合同需要变更的，招标人应将有关合同变更内容，以书面形式报监管部门备案；因特殊情况需要中止或终止合同的，招标人应将中止或终止合同的理由以及相应措施，以书面形式报监管部门备案。</w:t>
      </w:r>
    </w:p>
    <w:p w14:paraId="0FABDBD6">
      <w:pPr>
        <w:numPr>
          <w:ilvl w:val="1"/>
          <w:numId w:val="31"/>
        </w:numPr>
        <w:autoSpaceDE w:val="0"/>
        <w:autoSpaceDN w:val="0"/>
        <w:adjustRightInd w:val="0"/>
        <w:snapToGrid w:val="0"/>
        <w:spacing w:line="360" w:lineRule="auto"/>
        <w:rPr>
          <w:rFonts w:hint="eastAsia" w:ascii="宋体" w:hAnsi="宋体"/>
          <w:b/>
          <w:bCs/>
          <w:color w:val="auto"/>
          <w:szCs w:val="21"/>
          <w:highlight w:val="none"/>
        </w:rPr>
      </w:pPr>
      <w:r>
        <w:rPr>
          <w:rFonts w:hint="eastAsia" w:ascii="宋体" w:hAnsi="宋体" w:cs="宋体"/>
          <w:color w:val="auto"/>
          <w:szCs w:val="21"/>
          <w:highlight w:val="none"/>
          <w:lang w:eastAsia="zh-TW"/>
        </w:rPr>
        <w:t>合同履行中，招标人需追加与合同标的相同的货物、工程或者服务的，在不改变合同其他条款的前提下，可以与供应商签订补充合同，但所补充合同的采购金额不得超过原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采购金额的百分之十。签订补充合同的必须按规定备案。</w:t>
      </w:r>
    </w:p>
    <w:p w14:paraId="6498DDEE">
      <w:pPr>
        <w:numPr>
          <w:ilvl w:val="0"/>
          <w:numId w:val="31"/>
        </w:numPr>
        <w:autoSpaceDE w:val="0"/>
        <w:autoSpaceDN w:val="0"/>
        <w:adjustRightInd w:val="0"/>
        <w:snapToGrid w:val="0"/>
        <w:spacing w:line="360" w:lineRule="auto"/>
        <w:ind w:left="0" w:firstLine="0"/>
        <w:outlineLvl w:val="0"/>
        <w:rPr>
          <w:rFonts w:ascii="宋体" w:hAnsi="宋体"/>
          <w:b/>
          <w:bCs/>
          <w:color w:val="auto"/>
          <w:szCs w:val="21"/>
          <w:highlight w:val="none"/>
        </w:rPr>
      </w:pPr>
      <w:r>
        <w:rPr>
          <w:rFonts w:hint="eastAsia" w:ascii="宋体" w:hAnsi="宋体"/>
          <w:b/>
          <w:bCs/>
          <w:color w:val="auto"/>
          <w:szCs w:val="21"/>
          <w:highlight w:val="none"/>
        </w:rPr>
        <w:t>履约保证金</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本项目不适用</w:t>
      </w:r>
      <w:r>
        <w:rPr>
          <w:rFonts w:hint="eastAsia" w:ascii="宋体" w:hAnsi="宋体"/>
          <w:b/>
          <w:bCs/>
          <w:color w:val="auto"/>
          <w:szCs w:val="21"/>
          <w:highlight w:val="none"/>
          <w:lang w:eastAsia="zh-CN"/>
        </w:rPr>
        <w:t>）</w:t>
      </w:r>
    </w:p>
    <w:p w14:paraId="0BE23207">
      <w:pPr>
        <w:numPr>
          <w:ilvl w:val="1"/>
          <w:numId w:val="31"/>
        </w:numPr>
        <w:autoSpaceDE w:val="0"/>
        <w:autoSpaceDN w:val="0"/>
        <w:adjustRightInd w:val="0"/>
        <w:snapToGrid w:val="0"/>
        <w:spacing w:line="360" w:lineRule="auto"/>
        <w:outlineLvl w:val="0"/>
        <w:rPr>
          <w:rFonts w:ascii="宋体" w:hAnsi="宋体" w:cs="黑体"/>
          <w:b/>
          <w:bCs/>
          <w:color w:val="auto"/>
          <w:szCs w:val="21"/>
          <w:highlight w:val="none"/>
        </w:rPr>
      </w:pPr>
      <w:r>
        <w:rPr>
          <w:rFonts w:hint="eastAsia" w:ascii="宋体" w:hAnsi="宋体" w:cs="宋体"/>
          <w:color w:val="auto"/>
          <w:szCs w:val="21"/>
          <w:highlight w:val="none"/>
          <w:lang w:eastAsia="zh-TW"/>
        </w:rPr>
        <w:t>中标人应按照</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规定的</w:t>
      </w:r>
      <w:r>
        <w:rPr>
          <w:rFonts w:hint="eastAsia" w:ascii="宋体" w:hAnsi="宋体" w:cs="宋体"/>
          <w:color w:val="auto"/>
          <w:szCs w:val="21"/>
          <w:highlight w:val="none"/>
        </w:rPr>
        <w:t>金额，</w:t>
      </w:r>
      <w:r>
        <w:rPr>
          <w:rFonts w:hint="eastAsia" w:ascii="宋体" w:hAnsi="宋体" w:cs="宋体"/>
          <w:color w:val="auto"/>
          <w:szCs w:val="21"/>
          <w:highlight w:val="none"/>
          <w:lang w:eastAsia="zh-TW"/>
        </w:rPr>
        <w:t>采用招标文件中提供的履约保证金保函格式或</w:t>
      </w:r>
      <w:r>
        <w:rPr>
          <w:rFonts w:hint="eastAsia" w:ascii="宋体" w:hAnsi="宋体" w:cs="宋体"/>
          <w:color w:val="auto"/>
          <w:szCs w:val="21"/>
          <w:highlight w:val="none"/>
        </w:rPr>
        <w:t>招标人</w:t>
      </w:r>
      <w:r>
        <w:rPr>
          <w:rFonts w:hint="eastAsia" w:ascii="宋体" w:hAnsi="宋体" w:cs="宋体"/>
          <w:color w:val="auto"/>
          <w:szCs w:val="21"/>
          <w:highlight w:val="none"/>
          <w:lang w:eastAsia="zh-TW"/>
        </w:rPr>
        <w:t>可以接受的其他形式向</w:t>
      </w:r>
      <w:r>
        <w:rPr>
          <w:rFonts w:hint="eastAsia" w:ascii="宋体" w:hAnsi="宋体" w:cs="宋体"/>
          <w:color w:val="auto"/>
          <w:szCs w:val="21"/>
          <w:highlight w:val="none"/>
        </w:rPr>
        <w:t>招标人</w:t>
      </w:r>
      <w:r>
        <w:rPr>
          <w:rFonts w:hint="eastAsia" w:ascii="宋体" w:hAnsi="宋体" w:cs="宋体"/>
          <w:color w:val="auto"/>
          <w:szCs w:val="21"/>
          <w:highlight w:val="none"/>
          <w:lang w:eastAsia="zh-TW"/>
        </w:rPr>
        <w:t>提交履约保证金。</w:t>
      </w:r>
    </w:p>
    <w:p w14:paraId="56F0A07B">
      <w:pPr>
        <w:numPr>
          <w:ilvl w:val="0"/>
          <w:numId w:val="31"/>
        </w:numPr>
        <w:autoSpaceDE w:val="0"/>
        <w:autoSpaceDN w:val="0"/>
        <w:adjustRightInd w:val="0"/>
        <w:snapToGrid w:val="0"/>
        <w:spacing w:line="360" w:lineRule="auto"/>
        <w:ind w:left="0" w:firstLine="0"/>
        <w:outlineLvl w:val="0"/>
        <w:rPr>
          <w:rFonts w:ascii="宋体" w:hAnsi="宋体"/>
          <w:b/>
          <w:bCs/>
          <w:color w:val="auto"/>
          <w:szCs w:val="21"/>
          <w:highlight w:val="none"/>
        </w:rPr>
      </w:pPr>
      <w:r>
        <w:rPr>
          <w:rFonts w:hint="eastAsia" w:ascii="宋体" w:hAnsi="宋体"/>
          <w:b/>
          <w:bCs/>
          <w:color w:val="auto"/>
          <w:szCs w:val="21"/>
          <w:highlight w:val="none"/>
        </w:rPr>
        <w:t>招标代理服务费</w:t>
      </w:r>
    </w:p>
    <w:p w14:paraId="3B748420">
      <w:pPr>
        <w:numPr>
          <w:ilvl w:val="1"/>
          <w:numId w:val="31"/>
        </w:numPr>
        <w:autoSpaceDE w:val="0"/>
        <w:autoSpaceDN w:val="0"/>
        <w:adjustRightInd w:val="0"/>
        <w:snapToGrid w:val="0"/>
        <w:spacing w:line="360" w:lineRule="auto"/>
        <w:outlineLvl w:val="0"/>
        <w:rPr>
          <w:rFonts w:ascii="宋体" w:hAnsi="宋体" w:cs="黑体"/>
          <w:b/>
          <w:bCs/>
          <w:color w:val="auto"/>
          <w:szCs w:val="21"/>
          <w:highlight w:val="none"/>
        </w:rPr>
      </w:pPr>
      <w:r>
        <w:rPr>
          <w:rFonts w:hint="eastAsia" w:ascii="宋体" w:hAnsi="宋体" w:cs="宋体"/>
          <w:color w:val="auto"/>
          <w:szCs w:val="21"/>
          <w:highlight w:val="none"/>
        </w:rPr>
        <w:t>中标人应按照招标文件</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rPr>
        <w:t>中的规定缴纳招标代理服务费。</w:t>
      </w:r>
    </w:p>
    <w:p w14:paraId="79D08673">
      <w:pPr>
        <w:numPr>
          <w:ilvl w:val="1"/>
          <w:numId w:val="31"/>
        </w:numPr>
        <w:autoSpaceDE w:val="0"/>
        <w:autoSpaceDN w:val="0"/>
        <w:adjustRightInd w:val="0"/>
        <w:snapToGrid w:val="0"/>
        <w:spacing w:line="360" w:lineRule="auto"/>
        <w:outlineLvl w:val="0"/>
        <w:rPr>
          <w:rFonts w:ascii="宋体" w:hAnsi="宋体" w:cs="宋体"/>
          <w:color w:val="auto"/>
          <w:szCs w:val="21"/>
          <w:highlight w:val="none"/>
        </w:rPr>
      </w:pPr>
      <w:r>
        <w:rPr>
          <w:rFonts w:hint="eastAsia" w:ascii="宋体" w:hAnsi="宋体" w:cs="宋体"/>
          <w:color w:val="auto"/>
          <w:szCs w:val="21"/>
          <w:highlight w:val="none"/>
        </w:rPr>
        <w:t>经依法取消中标资格的，招标代理服务费不予退还。</w:t>
      </w:r>
    </w:p>
    <w:p w14:paraId="39BB96D6">
      <w:pPr>
        <w:pStyle w:val="11"/>
        <w:rPr>
          <w:color w:val="auto"/>
        </w:rPr>
      </w:pPr>
    </w:p>
    <w:p w14:paraId="0F22535B">
      <w:pPr>
        <w:snapToGrid w:val="0"/>
        <w:spacing w:line="360" w:lineRule="auto"/>
        <w:jc w:val="center"/>
        <w:outlineLvl w:val="0"/>
        <w:rPr>
          <w:rFonts w:hint="eastAsia"/>
          <w:b/>
          <w:bCs/>
          <w:color w:val="auto"/>
          <w:sz w:val="28"/>
          <w:szCs w:val="28"/>
        </w:rPr>
      </w:pPr>
      <w:r>
        <w:rPr>
          <w:rFonts w:hint="eastAsia"/>
          <w:b/>
          <w:bCs/>
          <w:color w:val="auto"/>
          <w:sz w:val="28"/>
          <w:szCs w:val="28"/>
        </w:rPr>
        <w:br w:type="page"/>
      </w:r>
    </w:p>
    <w:p w14:paraId="435D2ACF">
      <w:pPr>
        <w:snapToGrid w:val="0"/>
        <w:spacing w:line="360" w:lineRule="auto"/>
        <w:jc w:val="center"/>
        <w:outlineLvl w:val="0"/>
        <w:rPr>
          <w:rFonts w:hint="eastAsia"/>
          <w:b/>
          <w:bCs/>
          <w:color w:val="auto"/>
          <w:sz w:val="28"/>
          <w:szCs w:val="28"/>
        </w:rPr>
      </w:pPr>
    </w:p>
    <w:p w14:paraId="3FBBB26C">
      <w:pPr>
        <w:snapToGrid w:val="0"/>
        <w:spacing w:line="360" w:lineRule="auto"/>
        <w:jc w:val="center"/>
        <w:outlineLvl w:val="0"/>
        <w:rPr>
          <w:rFonts w:hint="eastAsia"/>
          <w:b/>
          <w:bCs/>
          <w:color w:val="auto"/>
          <w:sz w:val="28"/>
          <w:szCs w:val="28"/>
        </w:rPr>
      </w:pPr>
    </w:p>
    <w:p w14:paraId="159E1FF8">
      <w:pPr>
        <w:snapToGrid w:val="0"/>
        <w:spacing w:line="360" w:lineRule="auto"/>
        <w:jc w:val="center"/>
        <w:outlineLvl w:val="0"/>
        <w:rPr>
          <w:rFonts w:hint="eastAsia"/>
          <w:b/>
          <w:bCs/>
          <w:color w:val="auto"/>
          <w:sz w:val="28"/>
          <w:szCs w:val="28"/>
        </w:rPr>
      </w:pPr>
    </w:p>
    <w:p w14:paraId="26790C5F">
      <w:pPr>
        <w:snapToGrid w:val="0"/>
        <w:spacing w:line="360" w:lineRule="auto"/>
        <w:jc w:val="center"/>
        <w:outlineLvl w:val="0"/>
        <w:rPr>
          <w:rFonts w:hint="eastAsia"/>
          <w:b/>
          <w:bCs/>
          <w:color w:val="auto"/>
          <w:sz w:val="28"/>
          <w:szCs w:val="28"/>
        </w:rPr>
      </w:pPr>
    </w:p>
    <w:p w14:paraId="2E7AFBBD">
      <w:pPr>
        <w:snapToGrid w:val="0"/>
        <w:spacing w:line="360" w:lineRule="auto"/>
        <w:jc w:val="center"/>
        <w:outlineLvl w:val="0"/>
        <w:rPr>
          <w:rFonts w:hint="eastAsia"/>
          <w:b/>
          <w:bCs/>
          <w:color w:val="auto"/>
          <w:sz w:val="28"/>
          <w:szCs w:val="28"/>
        </w:rPr>
      </w:pPr>
    </w:p>
    <w:p w14:paraId="6A61C516">
      <w:pPr>
        <w:snapToGrid w:val="0"/>
        <w:spacing w:line="360" w:lineRule="auto"/>
        <w:jc w:val="center"/>
        <w:outlineLvl w:val="0"/>
        <w:rPr>
          <w:rFonts w:hint="eastAsia"/>
          <w:b/>
          <w:bCs/>
          <w:color w:val="auto"/>
          <w:sz w:val="28"/>
          <w:szCs w:val="28"/>
        </w:rPr>
      </w:pPr>
    </w:p>
    <w:p w14:paraId="107D886F">
      <w:pPr>
        <w:snapToGrid w:val="0"/>
        <w:spacing w:line="360" w:lineRule="auto"/>
        <w:jc w:val="center"/>
        <w:outlineLvl w:val="0"/>
        <w:rPr>
          <w:rFonts w:hint="eastAsia"/>
          <w:b/>
          <w:bCs/>
          <w:color w:val="auto"/>
          <w:sz w:val="28"/>
          <w:szCs w:val="28"/>
        </w:rPr>
      </w:pPr>
    </w:p>
    <w:p w14:paraId="109BB334">
      <w:pPr>
        <w:snapToGrid w:val="0"/>
        <w:spacing w:line="360" w:lineRule="auto"/>
        <w:jc w:val="center"/>
        <w:outlineLvl w:val="0"/>
        <w:rPr>
          <w:rFonts w:hint="eastAsia"/>
          <w:b/>
          <w:bCs/>
          <w:color w:val="auto"/>
          <w:sz w:val="28"/>
          <w:szCs w:val="28"/>
        </w:rPr>
      </w:pPr>
    </w:p>
    <w:p w14:paraId="60B2436B">
      <w:pPr>
        <w:snapToGrid w:val="0"/>
        <w:spacing w:line="360" w:lineRule="auto"/>
        <w:jc w:val="center"/>
        <w:outlineLvl w:val="0"/>
        <w:rPr>
          <w:rFonts w:hint="eastAsia"/>
          <w:b/>
          <w:bCs/>
          <w:color w:val="auto"/>
          <w:sz w:val="44"/>
          <w:szCs w:val="44"/>
        </w:rPr>
      </w:pPr>
      <w:bookmarkStart w:id="189" w:name="_Toc15828"/>
      <w:r>
        <w:rPr>
          <w:rFonts w:hint="eastAsia"/>
          <w:b/>
          <w:bCs/>
          <w:color w:val="auto"/>
          <w:sz w:val="44"/>
          <w:szCs w:val="44"/>
        </w:rPr>
        <w:t>第六章</w:t>
      </w:r>
      <w:bookmarkEnd w:id="12"/>
      <w:bookmarkEnd w:id="189"/>
    </w:p>
    <w:p w14:paraId="5E13A37D">
      <w:pPr>
        <w:snapToGrid w:val="0"/>
        <w:spacing w:line="360" w:lineRule="auto"/>
        <w:jc w:val="center"/>
        <w:outlineLvl w:val="0"/>
        <w:rPr>
          <w:b/>
          <w:bCs/>
          <w:color w:val="auto"/>
          <w:sz w:val="44"/>
          <w:szCs w:val="44"/>
        </w:rPr>
      </w:pPr>
      <w:bookmarkStart w:id="190" w:name="_Toc7115"/>
      <w:bookmarkStart w:id="191" w:name="_Toc355879709"/>
      <w:r>
        <w:rPr>
          <w:rFonts w:hint="eastAsia"/>
          <w:b/>
          <w:bCs/>
          <w:color w:val="auto"/>
          <w:sz w:val="44"/>
          <w:szCs w:val="44"/>
        </w:rPr>
        <w:t>合同条款</w:t>
      </w:r>
      <w:bookmarkEnd w:id="190"/>
      <w:bookmarkEnd w:id="191"/>
    </w:p>
    <w:p w14:paraId="7B6E2FC4">
      <w:pPr>
        <w:snapToGrid w:val="0"/>
        <w:spacing w:line="360" w:lineRule="auto"/>
        <w:jc w:val="center"/>
        <w:outlineLvl w:val="0"/>
        <w:rPr>
          <w:b/>
          <w:bCs/>
          <w:color w:val="auto"/>
          <w:sz w:val="44"/>
          <w:szCs w:val="44"/>
        </w:rPr>
      </w:pPr>
    </w:p>
    <w:p w14:paraId="6669BAE6">
      <w:pPr>
        <w:snapToGrid w:val="0"/>
        <w:spacing w:line="360" w:lineRule="auto"/>
        <w:jc w:val="center"/>
        <w:outlineLvl w:val="0"/>
        <w:rPr>
          <w:b/>
          <w:bCs/>
          <w:color w:val="auto"/>
          <w:sz w:val="44"/>
          <w:szCs w:val="44"/>
        </w:rPr>
      </w:pPr>
    </w:p>
    <w:p w14:paraId="4758A692">
      <w:pPr>
        <w:snapToGrid w:val="0"/>
        <w:spacing w:line="360" w:lineRule="auto"/>
        <w:jc w:val="center"/>
        <w:outlineLvl w:val="0"/>
        <w:rPr>
          <w:b/>
          <w:bCs/>
          <w:color w:val="auto"/>
          <w:sz w:val="44"/>
          <w:szCs w:val="44"/>
        </w:rPr>
      </w:pPr>
    </w:p>
    <w:p w14:paraId="646EB7B9">
      <w:pPr>
        <w:snapToGrid w:val="0"/>
        <w:spacing w:line="360" w:lineRule="auto"/>
        <w:jc w:val="center"/>
        <w:outlineLvl w:val="0"/>
        <w:rPr>
          <w:b/>
          <w:bCs/>
          <w:color w:val="auto"/>
          <w:sz w:val="44"/>
          <w:szCs w:val="44"/>
        </w:rPr>
      </w:pPr>
    </w:p>
    <w:p w14:paraId="3176D9F3">
      <w:pPr>
        <w:rPr>
          <w:rFonts w:hint="eastAsia"/>
          <w:b/>
          <w:color w:val="auto"/>
          <w:sz w:val="24"/>
        </w:rPr>
      </w:pPr>
    </w:p>
    <w:p w14:paraId="458C93D7">
      <w:pPr>
        <w:jc w:val="center"/>
        <w:rPr>
          <w:rFonts w:hint="eastAsia"/>
          <w:b/>
          <w:bCs/>
          <w:color w:val="auto"/>
          <w:sz w:val="24"/>
        </w:rPr>
      </w:pPr>
      <w:r>
        <w:rPr>
          <w:rFonts w:hint="eastAsia"/>
          <w:b/>
          <w:color w:val="auto"/>
          <w:sz w:val="24"/>
        </w:rPr>
        <w:t>注：</w:t>
      </w:r>
      <w:r>
        <w:rPr>
          <w:rFonts w:hint="eastAsia"/>
          <w:b/>
          <w:color w:val="auto"/>
          <w:sz w:val="24"/>
          <w:lang w:eastAsia="zh-CN"/>
        </w:rPr>
        <w:t>本项目合同</w:t>
      </w:r>
      <w:r>
        <w:rPr>
          <w:rFonts w:hint="eastAsia"/>
          <w:b/>
          <w:color w:val="auto"/>
          <w:sz w:val="24"/>
        </w:rPr>
        <w:t>仅为合同的参考文本，合同签订双方可根据项目的具体要求进行修订。</w:t>
      </w:r>
    </w:p>
    <w:p w14:paraId="44A47475">
      <w:pPr>
        <w:pStyle w:val="44"/>
        <w:tabs>
          <w:tab w:val="left" w:pos="1440"/>
        </w:tabs>
        <w:spacing w:line="480" w:lineRule="auto"/>
        <w:jc w:val="center"/>
        <w:rPr>
          <w:rFonts w:ascii="宋体" w:hAnsi="宋体"/>
          <w:sz w:val="68"/>
        </w:rPr>
      </w:pPr>
      <w:r>
        <w:rPr>
          <w:rFonts w:hint="eastAsia" w:ascii="黑体" w:hAnsi="宋体" w:eastAsia="黑体" w:cs="宋体"/>
          <w:b/>
          <w:color w:val="auto"/>
          <w:sz w:val="52"/>
          <w:szCs w:val="52"/>
        </w:rPr>
        <w:t xml:space="preserve"> </w:t>
      </w:r>
      <w:r>
        <w:rPr>
          <w:rFonts w:hint="eastAsia" w:ascii="黑体" w:hAnsi="宋体" w:eastAsia="黑体" w:cs="宋体"/>
          <w:b/>
          <w:color w:val="auto"/>
          <w:sz w:val="52"/>
          <w:szCs w:val="52"/>
          <w:lang w:eastAsia="zh-TW"/>
        </w:rPr>
        <w:br w:type="page"/>
      </w:r>
      <w:bookmarkStart w:id="192" w:name="_Toc22774"/>
      <w:r>
        <w:rPr>
          <w:rFonts w:hint="eastAsia" w:ascii="宋体" w:hAnsi="宋体"/>
          <w:color w:val="000000"/>
          <w:sz w:val="68"/>
          <w:highlight w:val="white"/>
        </w:rPr>
        <w:t>采购</w:t>
      </w:r>
      <w:r>
        <w:rPr>
          <w:rFonts w:hint="eastAsia" w:ascii="宋体" w:hAnsi="宋体"/>
          <w:color w:val="000000"/>
          <w:sz w:val="68"/>
          <w:highlight w:val="white"/>
          <w:lang w:val="en-US" w:eastAsia="zh-CN"/>
        </w:rPr>
        <w:t>服务</w:t>
      </w:r>
      <w:r>
        <w:rPr>
          <w:rFonts w:hint="eastAsia" w:ascii="宋体" w:hAnsi="宋体"/>
          <w:color w:val="000000"/>
          <w:sz w:val="68"/>
          <w:highlight w:val="white"/>
        </w:rPr>
        <w:t>项目</w:t>
      </w:r>
    </w:p>
    <w:p w14:paraId="57CA594E">
      <w:pPr>
        <w:pStyle w:val="44"/>
        <w:tabs>
          <w:tab w:val="left" w:pos="1440"/>
          <w:tab w:val="center" w:pos="4592"/>
          <w:tab w:val="left" w:pos="6748"/>
        </w:tabs>
        <w:spacing w:line="360" w:lineRule="auto"/>
        <w:jc w:val="center"/>
        <w:rPr>
          <w:rFonts w:ascii="宋体" w:hAnsi="宋体"/>
          <w:color w:val="000000"/>
          <w:sz w:val="68"/>
          <w:highlight w:val="white"/>
        </w:rPr>
      </w:pPr>
    </w:p>
    <w:p w14:paraId="2CE530DE">
      <w:pPr>
        <w:pStyle w:val="44"/>
        <w:tabs>
          <w:tab w:val="left" w:pos="1440"/>
          <w:tab w:val="center" w:pos="4592"/>
          <w:tab w:val="left" w:pos="6748"/>
        </w:tabs>
        <w:spacing w:line="360" w:lineRule="auto"/>
        <w:jc w:val="center"/>
        <w:rPr>
          <w:rFonts w:ascii="宋体" w:hAnsi="宋体"/>
          <w:sz w:val="68"/>
        </w:rPr>
      </w:pPr>
      <w:r>
        <w:rPr>
          <w:rFonts w:hint="eastAsia" w:ascii="宋体" w:hAnsi="宋体"/>
          <w:color w:val="000000"/>
          <w:sz w:val="68"/>
          <w:highlight w:val="white"/>
        </w:rPr>
        <w:t>合 同 书</w:t>
      </w:r>
    </w:p>
    <w:p w14:paraId="3AFB6F40">
      <w:pPr>
        <w:pStyle w:val="44"/>
        <w:spacing w:line="360" w:lineRule="auto"/>
        <w:jc w:val="center"/>
        <w:rPr>
          <w:b/>
          <w:bCs/>
          <w:color w:val="000000"/>
          <w:highlight w:val="white"/>
        </w:rPr>
      </w:pPr>
    </w:p>
    <w:p w14:paraId="75688FBF">
      <w:pPr>
        <w:pStyle w:val="44"/>
        <w:spacing w:line="360" w:lineRule="auto"/>
        <w:jc w:val="center"/>
        <w:rPr>
          <w:b/>
          <w:bCs/>
          <w:color w:val="000000"/>
          <w:highlight w:val="white"/>
        </w:rPr>
      </w:pPr>
    </w:p>
    <w:p w14:paraId="056F1441">
      <w:pPr>
        <w:pStyle w:val="44"/>
        <w:spacing w:line="360" w:lineRule="auto"/>
        <w:jc w:val="center"/>
        <w:rPr>
          <w:b/>
          <w:bCs/>
          <w:color w:val="000000"/>
          <w:highlight w:val="white"/>
        </w:rPr>
      </w:pPr>
    </w:p>
    <w:p w14:paraId="2557D0EF">
      <w:pPr>
        <w:pStyle w:val="44"/>
        <w:spacing w:line="360" w:lineRule="auto"/>
        <w:jc w:val="center"/>
        <w:rPr>
          <w:b/>
          <w:bCs/>
          <w:color w:val="000000"/>
          <w:highlight w:val="white"/>
        </w:rPr>
      </w:pPr>
    </w:p>
    <w:p w14:paraId="1B3BE45C">
      <w:pPr>
        <w:pStyle w:val="44"/>
        <w:spacing w:line="480" w:lineRule="auto"/>
        <w:ind w:firstLine="2409" w:firstLineChars="1000"/>
        <w:rPr>
          <w:rFonts w:hint="eastAsia" w:ascii="宋体" w:hAnsi="宋体" w:eastAsia="宋体" w:cs="宋体"/>
          <w:b/>
          <w:bCs/>
          <w:color w:val="000000"/>
          <w:sz w:val="24"/>
          <w:highlight w:val="white"/>
          <w:lang w:eastAsia="zh-CN"/>
        </w:rPr>
      </w:pPr>
      <w:r>
        <w:rPr>
          <w:rFonts w:hint="eastAsia" w:ascii="宋体" w:hAnsi="宋体" w:eastAsia="宋体" w:cs="宋体"/>
          <w:b/>
          <w:bCs/>
          <w:color w:val="000000"/>
          <w:sz w:val="24"/>
          <w:highlight w:val="white"/>
        </w:rPr>
        <w:t>项目编号：</w:t>
      </w:r>
      <w:r>
        <w:rPr>
          <w:rFonts w:hint="eastAsia" w:ascii="宋体" w:hAnsi="宋体" w:cs="宋体"/>
          <w:b/>
          <w:bCs/>
          <w:color w:val="000000"/>
          <w:sz w:val="24"/>
          <w:highlight w:val="white"/>
          <w:u w:val="single"/>
          <w:lang w:eastAsia="zh-CN"/>
        </w:rPr>
        <w:t xml:space="preserve">JG2025(SS)XZ0008 </w:t>
      </w:r>
    </w:p>
    <w:p w14:paraId="5903B381">
      <w:pPr>
        <w:pStyle w:val="44"/>
        <w:spacing w:line="480" w:lineRule="auto"/>
        <w:ind w:firstLine="2409" w:firstLineChars="1000"/>
        <w:rPr>
          <w:rFonts w:hint="eastAsia" w:ascii="宋体" w:hAnsi="宋体" w:eastAsia="宋体" w:cs="宋体"/>
          <w:sz w:val="24"/>
        </w:rPr>
      </w:pPr>
      <w:r>
        <w:rPr>
          <w:rFonts w:hint="eastAsia" w:ascii="宋体" w:hAnsi="宋体" w:eastAsia="宋体" w:cs="宋体"/>
          <w:b/>
          <w:color w:val="000000"/>
          <w:sz w:val="24"/>
          <w:highlight w:val="white"/>
        </w:rPr>
        <w:t>项目名称：</w:t>
      </w:r>
      <w:r>
        <w:rPr>
          <w:rFonts w:hint="eastAsia" w:ascii="宋体" w:hAnsi="宋体" w:eastAsia="宋体" w:cs="宋体"/>
          <w:b/>
          <w:bCs/>
          <w:color w:val="000000"/>
          <w:sz w:val="24"/>
          <w:highlight w:val="white"/>
          <w:u w:val="single"/>
        </w:rPr>
        <w:t>保安服务采购项目</w:t>
      </w:r>
    </w:p>
    <w:p w14:paraId="7D43962B">
      <w:pPr>
        <w:pStyle w:val="44"/>
        <w:spacing w:line="480" w:lineRule="auto"/>
        <w:jc w:val="center"/>
      </w:pPr>
    </w:p>
    <w:p w14:paraId="096DB248">
      <w:pPr>
        <w:pStyle w:val="44"/>
        <w:spacing w:line="360" w:lineRule="auto"/>
        <w:jc w:val="center"/>
      </w:pPr>
    </w:p>
    <w:p w14:paraId="18E1C136">
      <w:pPr>
        <w:pStyle w:val="44"/>
        <w:spacing w:line="360" w:lineRule="auto"/>
        <w:jc w:val="center"/>
      </w:pPr>
    </w:p>
    <w:tbl>
      <w:tblPr>
        <w:tblStyle w:val="19"/>
        <w:tblW w:w="0" w:type="auto"/>
        <w:jc w:val="center"/>
        <w:tblLayout w:type="fixed"/>
        <w:tblCellMar>
          <w:top w:w="0" w:type="dxa"/>
          <w:left w:w="108" w:type="dxa"/>
          <w:bottom w:w="0" w:type="dxa"/>
          <w:right w:w="108" w:type="dxa"/>
        </w:tblCellMar>
      </w:tblPr>
      <w:tblGrid>
        <w:gridCol w:w="1619"/>
        <w:gridCol w:w="5536"/>
      </w:tblGrid>
      <w:tr w14:paraId="6EF6D935">
        <w:tblPrEx>
          <w:tblCellMar>
            <w:top w:w="0" w:type="dxa"/>
            <w:left w:w="108" w:type="dxa"/>
            <w:bottom w:w="0" w:type="dxa"/>
            <w:right w:w="108" w:type="dxa"/>
          </w:tblCellMar>
        </w:tblPrEx>
        <w:trPr>
          <w:trHeight w:val="593" w:hRule="atLeast"/>
          <w:jc w:val="center"/>
        </w:trPr>
        <w:tc>
          <w:tcPr>
            <w:tcW w:w="1619" w:type="dxa"/>
            <w:noWrap w:val="0"/>
            <w:vAlign w:val="center"/>
          </w:tcPr>
          <w:p w14:paraId="4330DED6">
            <w:pPr>
              <w:pStyle w:val="44"/>
              <w:jc w:val="center"/>
              <w:rPr>
                <w:rFonts w:ascii="黑体" w:eastAsia="黑体"/>
                <w:sz w:val="28"/>
                <w:szCs w:val="28"/>
              </w:rPr>
            </w:pPr>
            <w:r>
              <w:rPr>
                <w:rFonts w:hint="eastAsia" w:ascii="黑体" w:eastAsia="黑体"/>
                <w:color w:val="000000"/>
                <w:sz w:val="28"/>
                <w:szCs w:val="28"/>
                <w:highlight w:val="white"/>
              </w:rPr>
              <w:t>甲    方：</w:t>
            </w:r>
          </w:p>
        </w:tc>
        <w:tc>
          <w:tcPr>
            <w:tcW w:w="5536" w:type="dxa"/>
            <w:noWrap w:val="0"/>
            <w:vAlign w:val="center"/>
          </w:tcPr>
          <w:p w14:paraId="0210E8CF">
            <w:pPr>
              <w:pStyle w:val="44"/>
              <w:jc w:val="left"/>
              <w:rPr>
                <w:rFonts w:ascii="黑体" w:eastAsia="黑体"/>
                <w:sz w:val="28"/>
                <w:szCs w:val="28"/>
                <w:u w:val="single"/>
              </w:rPr>
            </w:pPr>
            <w:r>
              <w:rPr>
                <w:rFonts w:hint="eastAsia" w:ascii="黑体" w:eastAsia="黑体"/>
                <w:color w:val="000000"/>
                <w:sz w:val="28"/>
                <w:szCs w:val="28"/>
                <w:highlight w:val="white"/>
                <w:u w:val="single"/>
              </w:rPr>
              <w:t>佛山市三水云东海创智城产业发展有限公司</w:t>
            </w:r>
          </w:p>
        </w:tc>
      </w:tr>
      <w:tr w14:paraId="0BA1FB63">
        <w:tblPrEx>
          <w:tblCellMar>
            <w:top w:w="0" w:type="dxa"/>
            <w:left w:w="108" w:type="dxa"/>
            <w:bottom w:w="0" w:type="dxa"/>
            <w:right w:w="108" w:type="dxa"/>
          </w:tblCellMar>
        </w:tblPrEx>
        <w:trPr>
          <w:trHeight w:val="593" w:hRule="atLeast"/>
          <w:jc w:val="center"/>
        </w:trPr>
        <w:tc>
          <w:tcPr>
            <w:tcW w:w="1619" w:type="dxa"/>
            <w:noWrap w:val="0"/>
            <w:vAlign w:val="center"/>
          </w:tcPr>
          <w:p w14:paraId="25A2C0F7">
            <w:pPr>
              <w:pStyle w:val="44"/>
              <w:jc w:val="center"/>
              <w:rPr>
                <w:rFonts w:ascii="黑体" w:eastAsia="黑体"/>
                <w:sz w:val="28"/>
                <w:szCs w:val="28"/>
              </w:rPr>
            </w:pPr>
            <w:r>
              <w:rPr>
                <w:rFonts w:hint="eastAsia" w:ascii="黑体" w:hAnsi="宋体" w:eastAsia="黑体"/>
                <w:color w:val="000000"/>
                <w:sz w:val="28"/>
                <w:szCs w:val="28"/>
                <w:highlight w:val="white"/>
              </w:rPr>
              <w:t>乙    方：</w:t>
            </w:r>
          </w:p>
        </w:tc>
        <w:tc>
          <w:tcPr>
            <w:tcW w:w="5536" w:type="dxa"/>
            <w:noWrap w:val="0"/>
            <w:vAlign w:val="center"/>
          </w:tcPr>
          <w:p w14:paraId="01A13774">
            <w:pPr>
              <w:pStyle w:val="44"/>
              <w:jc w:val="left"/>
              <w:rPr>
                <w:rFonts w:ascii="黑体" w:eastAsia="黑体"/>
                <w:sz w:val="28"/>
                <w:szCs w:val="28"/>
                <w:u w:val="single"/>
              </w:rPr>
            </w:pPr>
            <w:r>
              <w:rPr>
                <w:rFonts w:hint="eastAsia" w:ascii="黑体" w:eastAsia="黑体"/>
                <w:color w:val="000000"/>
                <w:sz w:val="28"/>
                <w:szCs w:val="28"/>
                <w:highlight w:val="white"/>
                <w:u w:val="single"/>
              </w:rPr>
              <w:t>成交供应商名称</w:t>
            </w:r>
          </w:p>
        </w:tc>
      </w:tr>
      <w:tr w14:paraId="32F5C910">
        <w:tblPrEx>
          <w:tblCellMar>
            <w:top w:w="0" w:type="dxa"/>
            <w:left w:w="108" w:type="dxa"/>
            <w:bottom w:w="0" w:type="dxa"/>
            <w:right w:w="108" w:type="dxa"/>
          </w:tblCellMar>
        </w:tblPrEx>
        <w:trPr>
          <w:trHeight w:val="593" w:hRule="atLeast"/>
          <w:jc w:val="center"/>
        </w:trPr>
        <w:tc>
          <w:tcPr>
            <w:tcW w:w="1619" w:type="dxa"/>
            <w:noWrap w:val="0"/>
            <w:vAlign w:val="center"/>
          </w:tcPr>
          <w:p w14:paraId="4940F4A5">
            <w:pPr>
              <w:pStyle w:val="44"/>
              <w:jc w:val="center"/>
              <w:rPr>
                <w:rFonts w:ascii="黑体" w:eastAsia="黑体"/>
                <w:sz w:val="28"/>
                <w:szCs w:val="28"/>
              </w:rPr>
            </w:pPr>
            <w:r>
              <w:rPr>
                <w:rFonts w:hint="eastAsia" w:ascii="黑体" w:hAnsi="宋体" w:eastAsia="黑体"/>
                <w:color w:val="000000"/>
                <w:sz w:val="28"/>
                <w:szCs w:val="28"/>
                <w:highlight w:val="white"/>
              </w:rPr>
              <w:t>签订日期：</w:t>
            </w:r>
          </w:p>
        </w:tc>
        <w:tc>
          <w:tcPr>
            <w:tcW w:w="5536" w:type="dxa"/>
            <w:noWrap w:val="0"/>
            <w:vAlign w:val="center"/>
          </w:tcPr>
          <w:p w14:paraId="0E7754B9">
            <w:pPr>
              <w:pStyle w:val="44"/>
              <w:jc w:val="left"/>
              <w:rPr>
                <w:rFonts w:ascii="黑体" w:eastAsia="黑体"/>
                <w:sz w:val="28"/>
                <w:szCs w:val="28"/>
                <w:u w:val="single"/>
              </w:rPr>
            </w:pPr>
            <w:r>
              <w:rPr>
                <w:rFonts w:hint="eastAsia" w:ascii="黑体" w:eastAsia="黑体"/>
                <w:color w:val="000000"/>
                <w:sz w:val="28"/>
                <w:szCs w:val="28"/>
                <w:highlight w:val="white"/>
                <w:u w:val="single"/>
                <w:lang w:val="en-US" w:eastAsia="zh-CN"/>
              </w:rPr>
              <w:t>2025</w:t>
            </w:r>
            <w:r>
              <w:rPr>
                <w:rFonts w:hint="eastAsia" w:ascii="黑体" w:hAnsi="宋体" w:eastAsia="黑体"/>
                <w:color w:val="000000"/>
                <w:sz w:val="28"/>
                <w:szCs w:val="28"/>
                <w:highlight w:val="white"/>
                <w:u w:val="single"/>
              </w:rPr>
              <w:t xml:space="preserve">年 </w:t>
            </w:r>
            <w:r>
              <w:rPr>
                <w:rFonts w:hint="eastAsia" w:ascii="黑体" w:eastAsia="黑体"/>
                <w:color w:val="000000"/>
                <w:sz w:val="28"/>
                <w:szCs w:val="28"/>
                <w:highlight w:val="white"/>
                <w:u w:val="single"/>
              </w:rPr>
              <w:t xml:space="preserve">   </w:t>
            </w:r>
            <w:r>
              <w:rPr>
                <w:rFonts w:hint="eastAsia" w:ascii="黑体" w:hAnsi="宋体" w:eastAsia="黑体"/>
                <w:color w:val="000000"/>
                <w:sz w:val="28"/>
                <w:szCs w:val="28"/>
                <w:highlight w:val="white"/>
                <w:u w:val="single"/>
              </w:rPr>
              <w:t>月</w:t>
            </w:r>
            <w:r>
              <w:rPr>
                <w:rFonts w:hint="eastAsia" w:ascii="黑体" w:eastAsia="黑体"/>
                <w:color w:val="000000"/>
                <w:sz w:val="28"/>
                <w:szCs w:val="28"/>
                <w:highlight w:val="white"/>
                <w:u w:val="single"/>
              </w:rPr>
              <w:t xml:space="preserve">    </w:t>
            </w:r>
            <w:r>
              <w:rPr>
                <w:rFonts w:hint="eastAsia" w:ascii="黑体" w:hAnsi="宋体" w:eastAsia="黑体"/>
                <w:color w:val="000000"/>
                <w:sz w:val="28"/>
                <w:szCs w:val="28"/>
                <w:highlight w:val="white"/>
                <w:u w:val="single"/>
              </w:rPr>
              <w:t>日</w:t>
            </w:r>
          </w:p>
        </w:tc>
      </w:tr>
    </w:tbl>
    <w:p w14:paraId="23F0B049">
      <w:pPr>
        <w:pStyle w:val="44"/>
        <w:spacing w:line="360" w:lineRule="auto"/>
        <w:jc w:val="center"/>
      </w:pPr>
    </w:p>
    <w:p w14:paraId="7B8E389F">
      <w:pPr>
        <w:pStyle w:val="44"/>
        <w:spacing w:line="360" w:lineRule="auto"/>
        <w:jc w:val="center"/>
      </w:pPr>
    </w:p>
    <w:p w14:paraId="603A71CB">
      <w:pPr>
        <w:pStyle w:val="44"/>
        <w:spacing w:line="360" w:lineRule="auto"/>
        <w:jc w:val="center"/>
      </w:pPr>
    </w:p>
    <w:p w14:paraId="1C9E005D">
      <w:pPr>
        <w:pStyle w:val="44"/>
        <w:spacing w:line="360" w:lineRule="auto"/>
        <w:jc w:val="center"/>
      </w:pPr>
    </w:p>
    <w:p w14:paraId="06678C75">
      <w:pPr>
        <w:pStyle w:val="44"/>
        <w:spacing w:line="360" w:lineRule="auto"/>
        <w:jc w:val="left"/>
        <w:rPr>
          <w:i/>
          <w:color w:val="auto"/>
        </w:rPr>
      </w:pPr>
      <w:r>
        <w:rPr>
          <w:rFonts w:hint="eastAsia"/>
          <w:i/>
          <w:color w:val="auto"/>
        </w:rPr>
        <w:t>注：</w:t>
      </w:r>
      <w:r>
        <w:rPr>
          <w:rFonts w:hint="eastAsia"/>
          <w:i/>
          <w:color w:val="auto"/>
          <w:lang w:eastAsia="zh-CN"/>
        </w:rPr>
        <w:t>本项目合同</w:t>
      </w:r>
      <w:r>
        <w:rPr>
          <w:rFonts w:hint="eastAsia"/>
          <w:i/>
          <w:color w:val="auto"/>
        </w:rPr>
        <w:t>仅为合同的参考文本，可根据项目的具体要求进行修订。</w:t>
      </w:r>
    </w:p>
    <w:p w14:paraId="20361FB3">
      <w:pPr>
        <w:pStyle w:val="45"/>
        <w:pageBreakBefore/>
        <w:spacing w:line="360" w:lineRule="auto"/>
        <w:jc w:val="center"/>
        <w:rPr>
          <w:b/>
          <w:color w:val="000000"/>
          <w:kern w:val="0"/>
          <w:sz w:val="40"/>
          <w:szCs w:val="40"/>
        </w:rPr>
      </w:pPr>
      <w:r>
        <w:rPr>
          <w:rFonts w:hint="eastAsia"/>
          <w:b/>
          <w:color w:val="000000"/>
          <w:kern w:val="0"/>
          <w:sz w:val="40"/>
          <w:szCs w:val="40"/>
          <w:highlight w:val="white"/>
        </w:rPr>
        <w:t>采购</w:t>
      </w:r>
      <w:r>
        <w:rPr>
          <w:rFonts w:hint="eastAsia"/>
          <w:b/>
          <w:color w:val="000000"/>
          <w:kern w:val="0"/>
          <w:sz w:val="40"/>
          <w:szCs w:val="40"/>
          <w:highlight w:val="white"/>
          <w:lang w:val="en-US" w:eastAsia="zh-CN"/>
        </w:rPr>
        <w:t>服务</w:t>
      </w:r>
      <w:r>
        <w:rPr>
          <w:rFonts w:hint="eastAsia"/>
          <w:b/>
          <w:color w:val="000000"/>
          <w:kern w:val="0"/>
          <w:sz w:val="40"/>
          <w:szCs w:val="40"/>
          <w:highlight w:val="white"/>
        </w:rPr>
        <w:t>项目合同书</w:t>
      </w:r>
    </w:p>
    <w:tbl>
      <w:tblPr>
        <w:tblStyle w:val="19"/>
        <w:tblW w:w="0" w:type="auto"/>
        <w:jc w:val="center"/>
        <w:tblLayout w:type="fixed"/>
        <w:tblCellMar>
          <w:top w:w="0" w:type="dxa"/>
          <w:left w:w="108" w:type="dxa"/>
          <w:bottom w:w="0" w:type="dxa"/>
          <w:right w:w="108" w:type="dxa"/>
        </w:tblCellMar>
      </w:tblPr>
      <w:tblGrid>
        <w:gridCol w:w="1456"/>
        <w:gridCol w:w="7016"/>
      </w:tblGrid>
      <w:tr w14:paraId="17EBEBA8">
        <w:tblPrEx>
          <w:tblCellMar>
            <w:top w:w="0" w:type="dxa"/>
            <w:left w:w="108" w:type="dxa"/>
            <w:bottom w:w="0" w:type="dxa"/>
            <w:right w:w="108" w:type="dxa"/>
          </w:tblCellMar>
        </w:tblPrEx>
        <w:trPr>
          <w:trHeight w:val="443" w:hRule="atLeast"/>
          <w:jc w:val="center"/>
        </w:trPr>
        <w:tc>
          <w:tcPr>
            <w:tcW w:w="1456" w:type="dxa"/>
            <w:noWrap w:val="0"/>
            <w:vAlign w:val="center"/>
          </w:tcPr>
          <w:p w14:paraId="1C240CA6">
            <w:pPr>
              <w:pStyle w:val="44"/>
              <w:rPr>
                <w:b/>
                <w:sz w:val="21"/>
                <w:szCs w:val="21"/>
              </w:rPr>
            </w:pPr>
            <w:r>
              <w:rPr>
                <w:rFonts w:hint="eastAsia"/>
                <w:b/>
                <w:color w:val="000000"/>
                <w:sz w:val="21"/>
                <w:szCs w:val="21"/>
              </w:rPr>
              <w:t>项目名称：</w:t>
            </w:r>
          </w:p>
        </w:tc>
        <w:tc>
          <w:tcPr>
            <w:tcW w:w="7016" w:type="dxa"/>
            <w:noWrap w:val="0"/>
            <w:vAlign w:val="center"/>
          </w:tcPr>
          <w:p w14:paraId="75C5BBE7">
            <w:pPr>
              <w:pStyle w:val="44"/>
              <w:jc w:val="left"/>
              <w:rPr>
                <w:rFonts w:hint="eastAsia" w:ascii="宋体" w:hAnsi="宋体" w:eastAsia="宋体" w:cs="宋体"/>
                <w:sz w:val="21"/>
                <w:szCs w:val="21"/>
                <w:u w:val="single"/>
              </w:rPr>
            </w:pPr>
            <w:r>
              <w:rPr>
                <w:rFonts w:hint="eastAsia" w:ascii="宋体" w:hAnsi="宋体" w:eastAsia="宋体" w:cs="宋体"/>
                <w:color w:val="000000"/>
                <w:sz w:val="21"/>
                <w:szCs w:val="21"/>
                <w:u w:val="single"/>
              </w:rPr>
              <w:t>保安服务采购项目</w:t>
            </w:r>
          </w:p>
        </w:tc>
      </w:tr>
      <w:tr w14:paraId="0940D4FE">
        <w:tblPrEx>
          <w:tblCellMar>
            <w:top w:w="0" w:type="dxa"/>
            <w:left w:w="108" w:type="dxa"/>
            <w:bottom w:w="0" w:type="dxa"/>
            <w:right w:w="108" w:type="dxa"/>
          </w:tblCellMar>
        </w:tblPrEx>
        <w:trPr>
          <w:trHeight w:val="443" w:hRule="atLeast"/>
          <w:jc w:val="center"/>
        </w:trPr>
        <w:tc>
          <w:tcPr>
            <w:tcW w:w="1456" w:type="dxa"/>
            <w:noWrap w:val="0"/>
            <w:vAlign w:val="center"/>
          </w:tcPr>
          <w:p w14:paraId="7BF60FA1">
            <w:pPr>
              <w:pStyle w:val="44"/>
              <w:rPr>
                <w:b/>
                <w:sz w:val="21"/>
                <w:szCs w:val="21"/>
              </w:rPr>
            </w:pPr>
            <w:r>
              <w:rPr>
                <w:rFonts w:hint="eastAsia"/>
                <w:b/>
                <w:color w:val="000000"/>
                <w:sz w:val="21"/>
                <w:szCs w:val="21"/>
              </w:rPr>
              <w:t>项目编号：</w:t>
            </w:r>
          </w:p>
        </w:tc>
        <w:tc>
          <w:tcPr>
            <w:tcW w:w="7016" w:type="dxa"/>
            <w:noWrap w:val="0"/>
            <w:vAlign w:val="center"/>
          </w:tcPr>
          <w:p w14:paraId="29C4C3FA">
            <w:pPr>
              <w:pStyle w:val="44"/>
              <w:rPr>
                <w:rFonts w:hint="eastAsia" w:ascii="宋体" w:hAnsi="宋体" w:eastAsia="宋体" w:cs="宋体"/>
                <w:sz w:val="21"/>
                <w:szCs w:val="21"/>
                <w:u w:val="single"/>
                <w:lang w:eastAsia="zh-CN"/>
              </w:rPr>
            </w:pPr>
            <w:r>
              <w:rPr>
                <w:rFonts w:hint="eastAsia" w:ascii="宋体" w:hAnsi="宋体" w:cs="宋体"/>
                <w:color w:val="000000"/>
                <w:sz w:val="21"/>
                <w:szCs w:val="21"/>
                <w:u w:val="single"/>
                <w:lang w:eastAsia="zh-CN"/>
              </w:rPr>
              <w:t xml:space="preserve">JG2025(SS)XZ0008 </w:t>
            </w:r>
          </w:p>
        </w:tc>
      </w:tr>
      <w:tr w14:paraId="3C9DF94D">
        <w:tblPrEx>
          <w:tblCellMar>
            <w:top w:w="0" w:type="dxa"/>
            <w:left w:w="108" w:type="dxa"/>
            <w:bottom w:w="0" w:type="dxa"/>
            <w:right w:w="108" w:type="dxa"/>
          </w:tblCellMar>
        </w:tblPrEx>
        <w:trPr>
          <w:trHeight w:val="443" w:hRule="atLeast"/>
          <w:jc w:val="center"/>
        </w:trPr>
        <w:tc>
          <w:tcPr>
            <w:tcW w:w="1456" w:type="dxa"/>
            <w:noWrap w:val="0"/>
            <w:vAlign w:val="center"/>
          </w:tcPr>
          <w:p w14:paraId="6D2A6106">
            <w:pPr>
              <w:pStyle w:val="44"/>
              <w:rPr>
                <w:b/>
                <w:sz w:val="21"/>
                <w:szCs w:val="21"/>
              </w:rPr>
            </w:pPr>
            <w:r>
              <w:rPr>
                <w:rFonts w:hint="eastAsia"/>
                <w:b/>
                <w:color w:val="000000"/>
                <w:sz w:val="21"/>
                <w:szCs w:val="21"/>
              </w:rPr>
              <w:t>甲</w:t>
            </w:r>
            <w:r>
              <w:rPr>
                <w:b/>
                <w:color w:val="000000"/>
                <w:sz w:val="21"/>
                <w:szCs w:val="21"/>
              </w:rPr>
              <w:t xml:space="preserve">    </w:t>
            </w:r>
            <w:r>
              <w:rPr>
                <w:rFonts w:hint="eastAsia"/>
                <w:b/>
                <w:color w:val="000000"/>
                <w:sz w:val="21"/>
                <w:szCs w:val="21"/>
              </w:rPr>
              <w:t>方：</w:t>
            </w:r>
          </w:p>
        </w:tc>
        <w:tc>
          <w:tcPr>
            <w:tcW w:w="7016" w:type="dxa"/>
            <w:noWrap w:val="0"/>
            <w:vAlign w:val="center"/>
          </w:tcPr>
          <w:p w14:paraId="48E44C89">
            <w:pPr>
              <w:pStyle w:val="44"/>
              <w:rPr>
                <w:rFonts w:hint="eastAsia" w:ascii="宋体" w:hAnsi="宋体" w:eastAsia="宋体" w:cs="宋体"/>
                <w:sz w:val="21"/>
                <w:szCs w:val="21"/>
                <w:u w:val="single"/>
              </w:rPr>
            </w:pPr>
            <w:r>
              <w:rPr>
                <w:rFonts w:hint="eastAsia" w:ascii="宋体" w:hAnsi="宋体" w:eastAsia="宋体" w:cs="宋体"/>
                <w:color w:val="000000"/>
                <w:sz w:val="21"/>
                <w:szCs w:val="21"/>
                <w:u w:val="single"/>
              </w:rPr>
              <w:t>佛山市三水云东海创智城产业发展有限公司</w:t>
            </w:r>
          </w:p>
        </w:tc>
      </w:tr>
      <w:tr w14:paraId="0B80D81E">
        <w:tblPrEx>
          <w:tblCellMar>
            <w:top w:w="0" w:type="dxa"/>
            <w:left w:w="108" w:type="dxa"/>
            <w:bottom w:w="0" w:type="dxa"/>
            <w:right w:w="108" w:type="dxa"/>
          </w:tblCellMar>
        </w:tblPrEx>
        <w:trPr>
          <w:trHeight w:val="443" w:hRule="atLeast"/>
          <w:jc w:val="center"/>
        </w:trPr>
        <w:tc>
          <w:tcPr>
            <w:tcW w:w="1456" w:type="dxa"/>
            <w:noWrap w:val="0"/>
            <w:vAlign w:val="center"/>
          </w:tcPr>
          <w:p w14:paraId="7EB017B7">
            <w:pPr>
              <w:pStyle w:val="44"/>
              <w:rPr>
                <w:b/>
                <w:sz w:val="21"/>
                <w:szCs w:val="21"/>
              </w:rPr>
            </w:pPr>
            <w:r>
              <w:rPr>
                <w:rFonts w:hint="eastAsia" w:ascii="宋体" w:hAnsi="宋体"/>
                <w:b/>
                <w:color w:val="000000"/>
                <w:sz w:val="21"/>
                <w:szCs w:val="21"/>
              </w:rPr>
              <w:t>乙    方：</w:t>
            </w:r>
          </w:p>
        </w:tc>
        <w:tc>
          <w:tcPr>
            <w:tcW w:w="7016" w:type="dxa"/>
            <w:noWrap w:val="0"/>
            <w:vAlign w:val="center"/>
          </w:tcPr>
          <w:p w14:paraId="40412469">
            <w:pPr>
              <w:pStyle w:val="44"/>
              <w:rPr>
                <w:rFonts w:hint="eastAsia" w:ascii="宋体" w:hAnsi="宋体" w:eastAsia="宋体" w:cs="宋体"/>
                <w:sz w:val="21"/>
                <w:szCs w:val="21"/>
                <w:u w:val="single"/>
              </w:rPr>
            </w:pPr>
            <w:r>
              <w:rPr>
                <w:rFonts w:hint="eastAsia" w:ascii="宋体" w:hAnsi="宋体" w:eastAsia="宋体" w:cs="宋体"/>
                <w:color w:val="000000"/>
                <w:sz w:val="21"/>
                <w:szCs w:val="21"/>
                <w:u w:val="single"/>
                <w:lang w:eastAsia="zh-CN"/>
              </w:rPr>
              <w:t>（</w:t>
            </w:r>
            <w:r>
              <w:rPr>
                <w:rFonts w:hint="eastAsia" w:ascii="宋体" w:hAnsi="宋体" w:eastAsia="宋体" w:cs="宋体"/>
                <w:color w:val="000000"/>
                <w:sz w:val="21"/>
                <w:szCs w:val="21"/>
                <w:u w:val="single"/>
              </w:rPr>
              <w:t>成交供应商</w:t>
            </w:r>
            <w:r>
              <w:rPr>
                <w:rFonts w:hint="eastAsia" w:ascii="宋体" w:hAnsi="宋体" w:eastAsia="宋体" w:cs="宋体"/>
                <w:color w:val="000000"/>
                <w:sz w:val="21"/>
                <w:szCs w:val="21"/>
                <w:u w:val="single"/>
                <w:lang w:val="en-US" w:eastAsia="zh-CN"/>
              </w:rPr>
              <w:t>名称</w:t>
            </w:r>
            <w:r>
              <w:rPr>
                <w:rFonts w:hint="eastAsia" w:ascii="宋体" w:hAnsi="宋体" w:eastAsia="宋体" w:cs="宋体"/>
                <w:color w:val="000000"/>
                <w:sz w:val="21"/>
                <w:szCs w:val="21"/>
                <w:u w:val="single"/>
              </w:rPr>
              <w:t>）</w:t>
            </w:r>
          </w:p>
        </w:tc>
      </w:tr>
      <w:tr w14:paraId="22FF6EC3">
        <w:tblPrEx>
          <w:tblCellMar>
            <w:top w:w="0" w:type="dxa"/>
            <w:left w:w="108" w:type="dxa"/>
            <w:bottom w:w="0" w:type="dxa"/>
            <w:right w:w="108" w:type="dxa"/>
          </w:tblCellMar>
        </w:tblPrEx>
        <w:trPr>
          <w:trHeight w:val="443" w:hRule="atLeast"/>
          <w:jc w:val="center"/>
        </w:trPr>
        <w:tc>
          <w:tcPr>
            <w:tcW w:w="1456" w:type="dxa"/>
            <w:noWrap w:val="0"/>
            <w:vAlign w:val="center"/>
          </w:tcPr>
          <w:p w14:paraId="16867EB3">
            <w:pPr>
              <w:pStyle w:val="44"/>
              <w:rPr>
                <w:b/>
                <w:sz w:val="21"/>
                <w:szCs w:val="21"/>
              </w:rPr>
            </w:pPr>
            <w:r>
              <w:rPr>
                <w:rFonts w:hint="eastAsia" w:ascii="宋体" w:hAnsi="宋体"/>
                <w:b/>
                <w:color w:val="000000"/>
                <w:sz w:val="21"/>
                <w:szCs w:val="21"/>
              </w:rPr>
              <w:t>合同性质：</w:t>
            </w:r>
          </w:p>
        </w:tc>
        <w:tc>
          <w:tcPr>
            <w:tcW w:w="7016" w:type="dxa"/>
            <w:noWrap w:val="0"/>
            <w:vAlign w:val="center"/>
          </w:tcPr>
          <w:p w14:paraId="26D3BFA3">
            <w:pPr>
              <w:pStyle w:val="44"/>
              <w:rPr>
                <w:rFonts w:hint="eastAsia" w:ascii="宋体" w:hAnsi="宋体" w:eastAsia="宋体" w:cs="宋体"/>
                <w:sz w:val="21"/>
                <w:szCs w:val="21"/>
              </w:rPr>
            </w:pPr>
            <w:r>
              <w:rPr>
                <w:rFonts w:hint="eastAsia" w:ascii="宋体" w:hAnsi="宋体" w:cs="宋体"/>
                <w:color w:val="000000"/>
                <w:sz w:val="21"/>
                <w:szCs w:val="21"/>
                <w:u w:val="single"/>
                <w:lang w:eastAsia="zh-CN"/>
              </w:rPr>
              <w:t>本项目合同</w:t>
            </w:r>
            <w:r>
              <w:rPr>
                <w:rFonts w:hint="eastAsia" w:ascii="宋体" w:hAnsi="宋体" w:eastAsia="宋体" w:cs="宋体"/>
                <w:color w:val="000000"/>
                <w:sz w:val="21"/>
                <w:szCs w:val="21"/>
                <w:u w:val="single"/>
              </w:rPr>
              <w:t>为中小企业预留合同</w:t>
            </w:r>
          </w:p>
        </w:tc>
      </w:tr>
    </w:tbl>
    <w:p w14:paraId="52618CF3">
      <w:pPr>
        <w:pStyle w:val="46"/>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highlight w:val="white"/>
        </w:rPr>
        <w:t>根据</w:t>
      </w:r>
      <w:r>
        <w:rPr>
          <w:rFonts w:hint="eastAsia" w:ascii="宋体" w:hAnsi="宋体" w:cs="宋体"/>
          <w:color w:val="000000"/>
          <w:sz w:val="21"/>
          <w:szCs w:val="21"/>
          <w:highlight w:val="white"/>
          <w:lang w:val="en-US" w:eastAsia="zh-CN"/>
        </w:rPr>
        <w:t>相关规定</w:t>
      </w:r>
      <w:r>
        <w:rPr>
          <w:rFonts w:hint="eastAsia" w:ascii="宋体" w:hAnsi="宋体" w:eastAsia="宋体" w:cs="宋体"/>
          <w:color w:val="000000"/>
          <w:sz w:val="21"/>
          <w:szCs w:val="21"/>
          <w:highlight w:val="white"/>
        </w:rPr>
        <w:t>和本项目采购文件的要求，</w:t>
      </w:r>
      <w:r>
        <w:rPr>
          <w:rFonts w:hint="eastAsia" w:ascii="宋体" w:hAnsi="宋体" w:eastAsia="宋体" w:cs="宋体"/>
          <w:color w:val="000000"/>
          <w:kern w:val="28"/>
          <w:sz w:val="21"/>
          <w:szCs w:val="21"/>
          <w:highlight w:val="white"/>
        </w:rPr>
        <w:t>经双方协商，</w:t>
      </w:r>
      <w:r>
        <w:rPr>
          <w:rFonts w:hint="eastAsia" w:ascii="宋体" w:hAnsi="宋体" w:eastAsia="宋体" w:cs="宋体"/>
          <w:color w:val="000000"/>
          <w:sz w:val="21"/>
          <w:szCs w:val="21"/>
          <w:highlight w:val="white"/>
        </w:rPr>
        <w:t>本着平等互利和诚实信用的原则，</w:t>
      </w:r>
      <w:r>
        <w:rPr>
          <w:rFonts w:hint="eastAsia" w:ascii="宋体" w:hAnsi="宋体" w:eastAsia="宋体" w:cs="宋体"/>
          <w:color w:val="000000"/>
          <w:kern w:val="28"/>
          <w:sz w:val="21"/>
          <w:szCs w:val="21"/>
          <w:highlight w:val="white"/>
        </w:rPr>
        <w:t>一致同意签订</w:t>
      </w:r>
      <w:r>
        <w:rPr>
          <w:rFonts w:hint="eastAsia" w:ascii="宋体" w:hAnsi="宋体" w:cs="宋体"/>
          <w:color w:val="000000"/>
          <w:kern w:val="28"/>
          <w:sz w:val="21"/>
          <w:szCs w:val="21"/>
          <w:highlight w:val="white"/>
          <w:lang w:eastAsia="zh-CN"/>
        </w:rPr>
        <w:t>本项目合同</w:t>
      </w:r>
      <w:r>
        <w:rPr>
          <w:rFonts w:hint="eastAsia" w:ascii="宋体" w:hAnsi="宋体" w:eastAsia="宋体" w:cs="宋体"/>
          <w:color w:val="000000"/>
          <w:kern w:val="28"/>
          <w:sz w:val="21"/>
          <w:szCs w:val="21"/>
          <w:highlight w:val="white"/>
        </w:rPr>
        <w:t>如下。</w:t>
      </w:r>
    </w:p>
    <w:p w14:paraId="41F0AB3D">
      <w:pPr>
        <w:pStyle w:val="47"/>
        <w:numPr>
          <w:ilvl w:val="0"/>
          <w:numId w:val="0"/>
        </w:numPr>
        <w:tabs>
          <w:tab w:val="left" w:pos="0"/>
        </w:tabs>
        <w:spacing w:line="360" w:lineRule="auto"/>
        <w:rPr>
          <w:rFonts w:hint="eastAsia" w:ascii="宋体" w:hAnsi="宋体" w:eastAsia="宋体" w:cs="宋体"/>
          <w:b/>
          <w:bCs/>
          <w:color w:val="000000"/>
          <w:sz w:val="21"/>
          <w:szCs w:val="21"/>
        </w:rPr>
      </w:pP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一</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highlight w:val="white"/>
        </w:rPr>
        <w:t>项目主要内容及实现功能目标：</w:t>
      </w:r>
      <w:r>
        <w:rPr>
          <w:rFonts w:hint="eastAsia" w:ascii="宋体" w:hAnsi="宋体" w:eastAsia="宋体" w:cs="宋体"/>
          <w:color w:val="000000"/>
          <w:sz w:val="21"/>
          <w:szCs w:val="21"/>
        </w:rPr>
        <w:t>按照采购文件和响应文件执行</w:t>
      </w:r>
      <w:r>
        <w:rPr>
          <w:rFonts w:hint="eastAsia" w:ascii="宋体" w:hAnsi="宋体" w:cs="宋体"/>
          <w:color w:val="000000"/>
          <w:sz w:val="21"/>
          <w:szCs w:val="21"/>
          <w:lang w:eastAsia="zh-CN"/>
        </w:rPr>
        <w:t>。本项目主要内容为佛山市三水云东海创智城产业发展有限公司提供安保服务。项目地点为三水文化中心和广东三水云东海国家湿地公园，其中云东海街道荷湖南路1号三水文化中心，总建筑面积约13.6万㎡，分别由图书馆、档案馆、科技馆、文化馆和商业馆五大高标准文化建筑组成、广东三水云东海国家湿地公园，总面积约401.97公顷，环湖绿道13.14公里，设有南门北门两个主要出入口。</w:t>
      </w:r>
    </w:p>
    <w:p w14:paraId="4B11C2BB">
      <w:pPr>
        <w:pStyle w:val="47"/>
        <w:numPr>
          <w:ilvl w:val="0"/>
          <w:numId w:val="0"/>
        </w:numPr>
        <w:spacing w:line="360" w:lineRule="auto"/>
        <w:rPr>
          <w:rFonts w:hint="eastAsia" w:ascii="宋体" w:hAnsi="宋体" w:eastAsia="宋体" w:cs="宋体"/>
          <w:b/>
          <w:bCs/>
          <w:color w:val="000000"/>
          <w:sz w:val="21"/>
          <w:szCs w:val="21"/>
        </w:rPr>
      </w:pP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二</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highlight w:val="white"/>
        </w:rPr>
        <w:t>基</w:t>
      </w:r>
      <w:r>
        <w:rPr>
          <w:rFonts w:hint="eastAsia" w:ascii="宋体" w:hAnsi="宋体" w:cs="宋体"/>
          <w:b/>
          <w:bCs/>
          <w:color w:val="000000"/>
          <w:sz w:val="21"/>
          <w:szCs w:val="21"/>
          <w:highlight w:val="white"/>
          <w:lang w:eastAsia="zh-CN"/>
        </w:rPr>
        <w:t>本项目合同</w:t>
      </w:r>
      <w:r>
        <w:rPr>
          <w:rFonts w:hint="eastAsia" w:ascii="宋体" w:hAnsi="宋体" w:eastAsia="宋体" w:cs="宋体"/>
          <w:b/>
          <w:bCs/>
          <w:color w:val="000000"/>
          <w:sz w:val="21"/>
          <w:szCs w:val="21"/>
          <w:highlight w:val="white"/>
        </w:rPr>
        <w:t>条款一览表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627"/>
        <w:gridCol w:w="7010"/>
      </w:tblGrid>
      <w:tr w14:paraId="15A0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blHeader/>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7B678BBD">
            <w:pPr>
              <w:pStyle w:val="47"/>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highlight w:val="white"/>
              </w:rPr>
              <w:t>序号</w:t>
            </w:r>
          </w:p>
        </w:tc>
        <w:tc>
          <w:tcPr>
            <w:tcW w:w="866" w:type="pct"/>
            <w:tcBorders>
              <w:top w:val="single" w:color="auto" w:sz="4" w:space="0"/>
              <w:left w:val="single" w:color="auto" w:sz="4" w:space="0"/>
              <w:bottom w:val="single" w:color="auto" w:sz="4" w:space="0"/>
              <w:right w:val="single" w:color="auto" w:sz="4" w:space="0"/>
            </w:tcBorders>
            <w:noWrap w:val="0"/>
            <w:vAlign w:val="center"/>
          </w:tcPr>
          <w:p w14:paraId="65D11251">
            <w:pPr>
              <w:pStyle w:val="47"/>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highlight w:val="white"/>
              </w:rPr>
              <w:t>合同条款</w:t>
            </w:r>
          </w:p>
        </w:tc>
        <w:tc>
          <w:tcPr>
            <w:tcW w:w="3730" w:type="pct"/>
            <w:tcBorders>
              <w:top w:val="single" w:color="auto" w:sz="4" w:space="0"/>
              <w:left w:val="single" w:color="auto" w:sz="4" w:space="0"/>
              <w:bottom w:val="single" w:color="auto" w:sz="4" w:space="0"/>
              <w:right w:val="single" w:color="auto" w:sz="4" w:space="0"/>
            </w:tcBorders>
            <w:noWrap w:val="0"/>
            <w:vAlign w:val="center"/>
          </w:tcPr>
          <w:p w14:paraId="5BE98DFA">
            <w:pPr>
              <w:pStyle w:val="47"/>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highlight w:val="white"/>
              </w:rPr>
              <w:t>内  容</w:t>
            </w:r>
          </w:p>
        </w:tc>
      </w:tr>
      <w:tr w14:paraId="216B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53069F7B">
            <w:pPr>
              <w:pStyle w:val="47"/>
              <w:numPr>
                <w:ilvl w:val="0"/>
                <w:numId w:val="33"/>
              </w:numPr>
              <w:tabs>
                <w:tab w:val="left" w:pos="453"/>
              </w:tabs>
              <w:spacing w:line="360" w:lineRule="auto"/>
              <w:jc w:val="center"/>
              <w:rPr>
                <w:rFonts w:hint="eastAsia" w:ascii="宋体" w:hAnsi="宋体" w:eastAsia="宋体" w:cs="宋体"/>
                <w:b/>
                <w:color w:val="000000"/>
                <w:sz w:val="21"/>
                <w:szCs w:val="21"/>
              </w:rPr>
            </w:pPr>
          </w:p>
        </w:tc>
        <w:tc>
          <w:tcPr>
            <w:tcW w:w="866" w:type="pct"/>
            <w:tcBorders>
              <w:top w:val="single" w:color="auto" w:sz="4" w:space="0"/>
              <w:left w:val="single" w:color="auto" w:sz="4" w:space="0"/>
              <w:bottom w:val="single" w:color="auto" w:sz="4" w:space="0"/>
              <w:right w:val="single" w:color="auto" w:sz="4" w:space="0"/>
            </w:tcBorders>
            <w:noWrap w:val="0"/>
            <w:vAlign w:val="center"/>
          </w:tcPr>
          <w:p w14:paraId="36E82C60">
            <w:pPr>
              <w:pStyle w:val="47"/>
              <w:spacing w:line="360" w:lineRule="auto"/>
              <w:jc w:val="center"/>
              <w:rPr>
                <w:rFonts w:hint="eastAsia" w:ascii="宋体" w:hAnsi="宋体" w:eastAsia="宋体" w:cs="宋体"/>
                <w:b/>
                <w:color w:val="auto"/>
                <w:sz w:val="21"/>
                <w:szCs w:val="21"/>
              </w:rPr>
            </w:pPr>
            <w:r>
              <w:rPr>
                <w:rFonts w:hint="eastAsia" w:ascii="宋体" w:hAnsi="宋体" w:eastAsia="宋体" w:cs="宋体"/>
                <w:b/>
                <w:bCs/>
                <w:color w:val="000000"/>
                <w:sz w:val="21"/>
                <w:szCs w:val="21"/>
              </w:rPr>
              <w:t>合同总额</w:t>
            </w:r>
          </w:p>
        </w:tc>
        <w:tc>
          <w:tcPr>
            <w:tcW w:w="7010" w:type="dxa"/>
            <w:tcBorders>
              <w:top w:val="single" w:color="auto" w:sz="4" w:space="0"/>
              <w:left w:val="single" w:color="auto" w:sz="4" w:space="0"/>
              <w:bottom w:val="single" w:color="auto" w:sz="4" w:space="0"/>
              <w:right w:val="single" w:color="auto" w:sz="4" w:space="0"/>
            </w:tcBorders>
            <w:noWrap w:val="0"/>
            <w:vAlign w:val="center"/>
          </w:tcPr>
          <w:p w14:paraId="2930E370">
            <w:pPr>
              <w:pStyle w:val="48"/>
              <w:keepNext w:val="0"/>
              <w:keepLines w:val="0"/>
              <w:pageBreakBefore w:val="0"/>
              <w:widowControl w:val="0"/>
              <w:numPr>
                <w:ilvl w:val="0"/>
                <w:numId w:val="34"/>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000000"/>
                <w:sz w:val="21"/>
                <w:szCs w:val="21"/>
                <w:highlight w:val="white"/>
                <w:lang w:val="en-US" w:eastAsia="zh-CN"/>
              </w:rPr>
            </w:pPr>
            <w:r>
              <w:rPr>
                <w:rFonts w:hint="eastAsia" w:ascii="宋体" w:hAnsi="宋体" w:eastAsia="宋体" w:cs="宋体"/>
                <w:color w:val="000000"/>
                <w:sz w:val="21"/>
                <w:szCs w:val="21"/>
                <w:highlight w:val="white"/>
                <w:lang w:val="en-US" w:eastAsia="zh-CN"/>
              </w:rPr>
              <w:t xml:space="preserve">三水文化中心安保驻点及巡护服务： </w:t>
            </w:r>
            <w:r>
              <w:rPr>
                <w:rFonts w:hint="eastAsia" w:ascii="宋体" w:hAnsi="宋体" w:eastAsia="宋体" w:cs="宋体"/>
                <w:color w:val="000000"/>
                <w:sz w:val="21"/>
                <w:szCs w:val="21"/>
                <w:highlight w:val="white"/>
                <w:u w:val="single"/>
                <w:lang w:val="en-US" w:eastAsia="zh-CN"/>
              </w:rPr>
              <w:t xml:space="preserve">         </w:t>
            </w:r>
            <w:r>
              <w:rPr>
                <w:rFonts w:hint="eastAsia" w:ascii="宋体" w:hAnsi="宋体" w:eastAsia="宋体" w:cs="宋体"/>
                <w:color w:val="000000"/>
                <w:sz w:val="21"/>
                <w:szCs w:val="21"/>
                <w:highlight w:val="white"/>
                <w:lang w:val="en-US" w:eastAsia="zh-CN"/>
              </w:rPr>
              <w:t>元（大写：</w:t>
            </w:r>
            <w:r>
              <w:rPr>
                <w:rFonts w:hint="eastAsia" w:ascii="宋体" w:hAnsi="宋体" w:eastAsia="宋体" w:cs="宋体"/>
                <w:color w:val="000000"/>
                <w:sz w:val="21"/>
                <w:szCs w:val="21"/>
                <w:highlight w:val="white"/>
                <w:u w:val="single"/>
                <w:lang w:val="en-US" w:eastAsia="zh-CN"/>
              </w:rPr>
              <w:t xml:space="preserve">       </w:t>
            </w:r>
            <w:r>
              <w:rPr>
                <w:rFonts w:hint="eastAsia" w:ascii="宋体" w:hAnsi="宋体" w:eastAsia="宋体" w:cs="宋体"/>
                <w:color w:val="000000"/>
                <w:sz w:val="21"/>
                <w:szCs w:val="21"/>
                <w:highlight w:val="white"/>
                <w:lang w:val="en-US" w:eastAsia="zh-CN"/>
              </w:rPr>
              <w:t>）；</w:t>
            </w:r>
          </w:p>
          <w:p w14:paraId="715DFBE8">
            <w:pPr>
              <w:pStyle w:val="48"/>
              <w:keepNext w:val="0"/>
              <w:keepLines w:val="0"/>
              <w:pageBreakBefore w:val="0"/>
              <w:widowControl w:val="0"/>
              <w:numPr>
                <w:ilvl w:val="0"/>
                <w:numId w:val="34"/>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000000"/>
                <w:sz w:val="21"/>
                <w:szCs w:val="21"/>
                <w:highlight w:val="white"/>
                <w:lang w:val="en-US" w:eastAsia="zh-CN"/>
              </w:rPr>
            </w:pPr>
            <w:r>
              <w:rPr>
                <w:rFonts w:hint="eastAsia" w:ascii="宋体" w:hAnsi="宋体" w:eastAsia="宋体" w:cs="宋体"/>
                <w:color w:val="000000"/>
                <w:sz w:val="21"/>
                <w:szCs w:val="21"/>
                <w:highlight w:val="white"/>
                <w:lang w:val="en-US" w:eastAsia="zh-CN"/>
              </w:rPr>
              <w:t>广东三水云东海湿地公园安保驻点及巡护服务：</w:t>
            </w:r>
            <w:r>
              <w:rPr>
                <w:rFonts w:hint="eastAsia" w:ascii="宋体" w:hAnsi="宋体" w:eastAsia="宋体" w:cs="宋体"/>
                <w:color w:val="000000"/>
                <w:sz w:val="21"/>
                <w:szCs w:val="21"/>
                <w:highlight w:val="white"/>
                <w:u w:val="single"/>
                <w:lang w:val="en-US" w:eastAsia="zh-CN"/>
              </w:rPr>
              <w:t xml:space="preserve">          </w:t>
            </w:r>
            <w:r>
              <w:rPr>
                <w:rFonts w:hint="eastAsia" w:ascii="宋体" w:hAnsi="宋体" w:eastAsia="宋体" w:cs="宋体"/>
                <w:color w:val="000000"/>
                <w:sz w:val="21"/>
                <w:szCs w:val="21"/>
                <w:highlight w:val="white"/>
                <w:lang w:val="en-US" w:eastAsia="zh-CN"/>
              </w:rPr>
              <w:t>元（大写：</w:t>
            </w:r>
            <w:r>
              <w:rPr>
                <w:rFonts w:hint="eastAsia" w:ascii="宋体" w:hAnsi="宋体" w:eastAsia="宋体" w:cs="宋体"/>
                <w:color w:val="000000"/>
                <w:sz w:val="21"/>
                <w:szCs w:val="21"/>
                <w:highlight w:val="white"/>
                <w:u w:val="single"/>
                <w:lang w:val="en-US" w:eastAsia="zh-CN"/>
              </w:rPr>
              <w:t xml:space="preserve">       </w:t>
            </w:r>
            <w:r>
              <w:rPr>
                <w:rFonts w:hint="eastAsia" w:ascii="宋体" w:hAnsi="宋体" w:eastAsia="宋体" w:cs="宋体"/>
                <w:color w:val="000000"/>
                <w:sz w:val="21"/>
                <w:szCs w:val="21"/>
                <w:highlight w:val="white"/>
                <w:lang w:val="en-US" w:eastAsia="zh-CN"/>
              </w:rPr>
              <w:t>）；</w:t>
            </w:r>
          </w:p>
          <w:p w14:paraId="5692BC9F">
            <w:pPr>
              <w:pStyle w:val="48"/>
              <w:keepNext w:val="0"/>
              <w:keepLines w:val="0"/>
              <w:pageBreakBefore w:val="0"/>
              <w:widowControl w:val="0"/>
              <w:numPr>
                <w:ilvl w:val="0"/>
                <w:numId w:val="34"/>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000000"/>
                <w:sz w:val="21"/>
                <w:szCs w:val="21"/>
                <w:highlight w:val="white"/>
                <w:lang w:val="en-US" w:eastAsia="zh-CN"/>
              </w:rPr>
            </w:pPr>
            <w:r>
              <w:rPr>
                <w:rFonts w:hint="eastAsia" w:ascii="宋体" w:hAnsi="宋体" w:eastAsia="宋体" w:cs="宋体"/>
                <w:color w:val="000000"/>
                <w:sz w:val="21"/>
                <w:szCs w:val="21"/>
                <w:highlight w:val="white"/>
                <w:lang w:val="en-US" w:eastAsia="zh-CN"/>
              </w:rPr>
              <w:t>临时增员：</w:t>
            </w:r>
            <w:r>
              <w:rPr>
                <w:rFonts w:hint="eastAsia" w:ascii="宋体" w:hAnsi="宋体" w:eastAsia="宋体" w:cs="宋体"/>
                <w:color w:val="000000"/>
                <w:sz w:val="21"/>
                <w:szCs w:val="21"/>
                <w:highlight w:val="white"/>
                <w:u w:val="single"/>
                <w:lang w:val="en-US" w:eastAsia="zh-CN"/>
              </w:rPr>
              <w:t xml:space="preserve">       </w:t>
            </w:r>
            <w:r>
              <w:rPr>
                <w:rFonts w:hint="eastAsia" w:ascii="宋体" w:hAnsi="宋体" w:eastAsia="宋体" w:cs="宋体"/>
                <w:color w:val="000000"/>
                <w:sz w:val="21"/>
                <w:szCs w:val="21"/>
                <w:highlight w:val="white"/>
                <w:lang w:val="en-US" w:eastAsia="zh-CN"/>
              </w:rPr>
              <w:t>元/人/月</w:t>
            </w:r>
            <w:r>
              <w:rPr>
                <w:rFonts w:hint="eastAsia" w:ascii="宋体" w:hAnsi="宋体" w:cs="宋体"/>
                <w:color w:val="000000"/>
                <w:sz w:val="21"/>
                <w:szCs w:val="21"/>
                <w:highlight w:val="white"/>
                <w:lang w:val="en-US" w:eastAsia="zh-CN"/>
              </w:rPr>
              <w:t>，合计</w:t>
            </w:r>
            <w:r>
              <w:rPr>
                <w:rFonts w:hint="eastAsia" w:ascii="宋体" w:hAnsi="宋体" w:eastAsia="宋体" w:cs="宋体"/>
                <w:color w:val="000000"/>
                <w:sz w:val="21"/>
                <w:szCs w:val="21"/>
                <w:highlight w:val="white"/>
                <w:u w:val="single"/>
                <w:lang w:val="en-US" w:eastAsia="zh-CN"/>
              </w:rPr>
              <w:t xml:space="preserve">          </w:t>
            </w:r>
            <w:r>
              <w:rPr>
                <w:rFonts w:hint="eastAsia" w:ascii="宋体" w:hAnsi="宋体" w:eastAsia="宋体" w:cs="宋体"/>
                <w:color w:val="000000"/>
                <w:sz w:val="21"/>
                <w:szCs w:val="21"/>
                <w:highlight w:val="white"/>
                <w:lang w:val="en-US" w:eastAsia="zh-CN"/>
              </w:rPr>
              <w:t>元（大写：</w:t>
            </w:r>
            <w:r>
              <w:rPr>
                <w:rFonts w:hint="eastAsia" w:ascii="宋体" w:hAnsi="宋体" w:eastAsia="宋体" w:cs="宋体"/>
                <w:color w:val="000000"/>
                <w:sz w:val="21"/>
                <w:szCs w:val="21"/>
                <w:highlight w:val="white"/>
                <w:u w:val="single"/>
                <w:lang w:val="en-US" w:eastAsia="zh-CN"/>
              </w:rPr>
              <w:t xml:space="preserve">       </w:t>
            </w:r>
            <w:r>
              <w:rPr>
                <w:rFonts w:hint="eastAsia" w:ascii="宋体" w:hAnsi="宋体" w:eastAsia="宋体" w:cs="宋体"/>
                <w:color w:val="000000"/>
                <w:sz w:val="21"/>
                <w:szCs w:val="21"/>
                <w:highlight w:val="white"/>
                <w:lang w:val="en-US" w:eastAsia="zh-CN"/>
              </w:rPr>
              <w:t>）；</w:t>
            </w:r>
          </w:p>
          <w:p w14:paraId="2999F69A">
            <w:pPr>
              <w:pStyle w:val="48"/>
              <w:keepNext w:val="0"/>
              <w:keepLines w:val="0"/>
              <w:pageBreakBefore w:val="0"/>
              <w:widowControl w:val="0"/>
              <w:numPr>
                <w:ilvl w:val="0"/>
                <w:numId w:val="34"/>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b/>
                <w:color w:val="000000"/>
                <w:sz w:val="21"/>
                <w:szCs w:val="21"/>
                <w:lang w:eastAsia="zh-CN"/>
              </w:rPr>
            </w:pPr>
            <w:r>
              <w:rPr>
                <w:rFonts w:hint="eastAsia" w:ascii="宋体" w:hAnsi="宋体" w:eastAsia="宋体" w:cs="宋体"/>
                <w:color w:val="000000"/>
                <w:sz w:val="21"/>
                <w:szCs w:val="21"/>
                <w:highlight w:val="white"/>
                <w:lang w:val="en-US" w:eastAsia="zh-CN"/>
              </w:rPr>
              <w:t>合计总价：</w:t>
            </w:r>
            <w:r>
              <w:rPr>
                <w:rFonts w:hint="eastAsia" w:ascii="宋体" w:hAnsi="宋体" w:eastAsia="宋体" w:cs="宋体"/>
                <w:color w:val="000000"/>
                <w:sz w:val="21"/>
                <w:szCs w:val="21"/>
                <w:highlight w:val="white"/>
                <w:u w:val="single"/>
                <w:lang w:val="en-US" w:eastAsia="zh-CN"/>
              </w:rPr>
              <w:t xml:space="preserve">          </w:t>
            </w:r>
            <w:r>
              <w:rPr>
                <w:rFonts w:hint="eastAsia" w:ascii="宋体" w:hAnsi="宋体" w:eastAsia="宋体" w:cs="宋体"/>
                <w:color w:val="000000"/>
                <w:sz w:val="21"/>
                <w:szCs w:val="21"/>
                <w:highlight w:val="white"/>
                <w:lang w:val="en-US" w:eastAsia="zh-CN"/>
              </w:rPr>
              <w:t>元（大写：</w:t>
            </w:r>
            <w:r>
              <w:rPr>
                <w:rFonts w:hint="eastAsia" w:ascii="宋体" w:hAnsi="宋体" w:eastAsia="宋体" w:cs="宋体"/>
                <w:color w:val="000000"/>
                <w:sz w:val="21"/>
                <w:szCs w:val="21"/>
                <w:highlight w:val="white"/>
                <w:u w:val="single"/>
                <w:lang w:val="en-US" w:eastAsia="zh-CN"/>
              </w:rPr>
              <w:t xml:space="preserve">           </w:t>
            </w:r>
            <w:r>
              <w:rPr>
                <w:rFonts w:hint="eastAsia" w:ascii="宋体" w:hAnsi="宋体" w:eastAsia="宋体" w:cs="宋体"/>
                <w:color w:val="000000"/>
                <w:sz w:val="21"/>
                <w:szCs w:val="21"/>
                <w:highlight w:val="white"/>
                <w:lang w:val="en-US" w:eastAsia="zh-CN"/>
              </w:rPr>
              <w:t>）。</w:t>
            </w:r>
          </w:p>
        </w:tc>
      </w:tr>
      <w:tr w14:paraId="76CA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47494055">
            <w:pPr>
              <w:pStyle w:val="47"/>
              <w:numPr>
                <w:ilvl w:val="0"/>
                <w:numId w:val="33"/>
              </w:numPr>
              <w:tabs>
                <w:tab w:val="left" w:pos="453"/>
              </w:tabs>
              <w:spacing w:line="360" w:lineRule="auto"/>
              <w:jc w:val="center"/>
              <w:rPr>
                <w:rFonts w:hint="eastAsia" w:ascii="宋体" w:hAnsi="宋体" w:eastAsia="宋体" w:cs="宋体"/>
                <w:b/>
                <w:color w:val="000000"/>
                <w:sz w:val="21"/>
                <w:szCs w:val="21"/>
              </w:rPr>
            </w:pPr>
          </w:p>
        </w:tc>
        <w:tc>
          <w:tcPr>
            <w:tcW w:w="866" w:type="pct"/>
            <w:tcBorders>
              <w:top w:val="single" w:color="auto" w:sz="4" w:space="0"/>
              <w:left w:val="single" w:color="auto" w:sz="4" w:space="0"/>
              <w:bottom w:val="single" w:color="auto" w:sz="4" w:space="0"/>
              <w:right w:val="single" w:color="auto" w:sz="4" w:space="0"/>
            </w:tcBorders>
            <w:noWrap w:val="0"/>
            <w:vAlign w:val="center"/>
          </w:tcPr>
          <w:p w14:paraId="6B72F1C3">
            <w:pPr>
              <w:pStyle w:val="48"/>
              <w:spacing w:line="360" w:lineRule="auto"/>
              <w:jc w:val="center"/>
              <w:rPr>
                <w:rFonts w:hint="eastAsia" w:ascii="宋体" w:hAnsi="宋体" w:eastAsia="宋体" w:cs="宋体"/>
                <w:b/>
                <w:color w:val="000000"/>
                <w:sz w:val="21"/>
                <w:szCs w:val="21"/>
                <w:highlight w:val="white"/>
              </w:rPr>
            </w:pPr>
            <w:r>
              <w:rPr>
                <w:rFonts w:hint="eastAsia" w:ascii="宋体" w:hAnsi="宋体" w:eastAsia="宋体" w:cs="宋体"/>
                <w:b/>
                <w:color w:val="000000"/>
                <w:sz w:val="21"/>
                <w:szCs w:val="21"/>
                <w:highlight w:val="white"/>
              </w:rPr>
              <w:t>合同总额内容</w:t>
            </w:r>
          </w:p>
        </w:tc>
        <w:tc>
          <w:tcPr>
            <w:tcW w:w="3730" w:type="pct"/>
            <w:tcBorders>
              <w:top w:val="single" w:color="auto" w:sz="4" w:space="0"/>
              <w:left w:val="single" w:color="auto" w:sz="4" w:space="0"/>
              <w:bottom w:val="single" w:color="auto" w:sz="4" w:space="0"/>
              <w:right w:val="single" w:color="auto" w:sz="4" w:space="0"/>
            </w:tcBorders>
            <w:noWrap w:val="0"/>
            <w:vAlign w:val="center"/>
          </w:tcPr>
          <w:p w14:paraId="5D7AE33C">
            <w:pPr>
              <w:pStyle w:val="48"/>
              <w:keepNext w:val="0"/>
              <w:keepLines w:val="0"/>
              <w:pageBreakBefore w:val="0"/>
              <w:widowControl w:val="0"/>
              <w:numPr>
                <w:ilvl w:val="0"/>
                <w:numId w:val="35"/>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000000"/>
                <w:sz w:val="21"/>
                <w:szCs w:val="21"/>
                <w:highlight w:val="white"/>
              </w:rPr>
            </w:pPr>
            <w:r>
              <w:rPr>
                <w:rFonts w:hint="eastAsia" w:ascii="宋体" w:hAnsi="宋体" w:eastAsia="宋体" w:cs="宋体"/>
                <w:color w:val="000000"/>
                <w:sz w:val="21"/>
                <w:szCs w:val="21"/>
                <w:highlight w:val="white"/>
              </w:rPr>
              <w:t>合同总额为佛山市三水云东海创智城产业发展有限公司安保服务的总价包干价（含税）。合同总额指乙方为完成本项目所收取的全部费用，包含但不限于以下费用：安保服务费、服装费、安保器材费、人员工资及五险一金、绩效工资（含加班费，夜班费）、福利待遇含高温补贴、节日慰问费、年终奖、住宿餐费补贴等各类补贴）、商业意外险、各项税费、安保专用工具设备及完成本项目其他可预见和不可预见的所有费用等。乙方必须自行考虑本项目在实施期间的一切可能产生的费用。在合同执行过程中，甲方将不再另行支付与本项目相关的任何费用。</w:t>
            </w:r>
          </w:p>
          <w:p w14:paraId="3F2FB9EF">
            <w:pPr>
              <w:pStyle w:val="48"/>
              <w:keepNext w:val="0"/>
              <w:keepLines w:val="0"/>
              <w:pageBreakBefore w:val="0"/>
              <w:widowControl w:val="0"/>
              <w:numPr>
                <w:ilvl w:val="0"/>
                <w:numId w:val="35"/>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000000"/>
                <w:sz w:val="21"/>
                <w:szCs w:val="21"/>
                <w:highlight w:val="white"/>
              </w:rPr>
            </w:pPr>
            <w:r>
              <w:rPr>
                <w:rFonts w:hint="eastAsia" w:ascii="宋体" w:hAnsi="宋体" w:eastAsia="宋体" w:cs="宋体"/>
                <w:color w:val="000000"/>
                <w:sz w:val="21"/>
                <w:szCs w:val="21"/>
                <w:highlight w:val="white"/>
              </w:rPr>
              <w:t>合同总额已包含五险一金费用，乙方提供的服务人员如存在工伤、产假等情况的，乙方需补充对应的服务人员，相关的费用已包含在合同总额中，甲方不额外支付其他费用。</w:t>
            </w:r>
          </w:p>
          <w:p w14:paraId="02071909">
            <w:pPr>
              <w:pStyle w:val="48"/>
              <w:keepNext w:val="0"/>
              <w:keepLines w:val="0"/>
              <w:pageBreakBefore w:val="0"/>
              <w:widowControl w:val="0"/>
              <w:numPr>
                <w:ilvl w:val="0"/>
                <w:numId w:val="35"/>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000000"/>
                <w:sz w:val="21"/>
                <w:szCs w:val="21"/>
                <w:highlight w:val="white"/>
              </w:rPr>
            </w:pPr>
            <w:r>
              <w:rPr>
                <w:rFonts w:hint="eastAsia" w:ascii="宋体" w:hAnsi="宋体" w:eastAsia="宋体" w:cs="宋体"/>
                <w:color w:val="000000"/>
                <w:sz w:val="21"/>
                <w:szCs w:val="21"/>
                <w:highlight w:val="white"/>
              </w:rPr>
              <w:t>服务期间，如有涉及户外作业的，乙方根据工作情况为服务人员购买人身意外等保险，费用由乙方负责。</w:t>
            </w:r>
          </w:p>
          <w:p w14:paraId="23F8F95A">
            <w:pPr>
              <w:pStyle w:val="48"/>
              <w:keepNext w:val="0"/>
              <w:keepLines w:val="0"/>
              <w:pageBreakBefore w:val="0"/>
              <w:widowControl w:val="0"/>
              <w:numPr>
                <w:ilvl w:val="0"/>
                <w:numId w:val="35"/>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000000"/>
                <w:sz w:val="21"/>
                <w:szCs w:val="21"/>
                <w:highlight w:val="white"/>
              </w:rPr>
            </w:pPr>
            <w:r>
              <w:rPr>
                <w:rFonts w:hint="eastAsia" w:ascii="宋体" w:hAnsi="宋体" w:eastAsia="宋体" w:cs="宋体"/>
                <w:color w:val="000000"/>
                <w:sz w:val="21"/>
                <w:szCs w:val="21"/>
                <w:highlight w:val="white"/>
              </w:rPr>
              <w:t>价格为固定不变价，天数为公历日。</w:t>
            </w:r>
          </w:p>
        </w:tc>
      </w:tr>
      <w:tr w14:paraId="3606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5FBCAF9F">
            <w:pPr>
              <w:pStyle w:val="47"/>
              <w:numPr>
                <w:ilvl w:val="0"/>
                <w:numId w:val="33"/>
              </w:numPr>
              <w:tabs>
                <w:tab w:val="left" w:pos="453"/>
              </w:tabs>
              <w:spacing w:line="360" w:lineRule="auto"/>
              <w:jc w:val="center"/>
              <w:rPr>
                <w:rFonts w:hint="eastAsia" w:ascii="宋体" w:hAnsi="宋体" w:eastAsia="宋体" w:cs="宋体"/>
                <w:b/>
                <w:color w:val="000000"/>
                <w:sz w:val="21"/>
                <w:szCs w:val="21"/>
              </w:rPr>
            </w:pPr>
          </w:p>
        </w:tc>
        <w:tc>
          <w:tcPr>
            <w:tcW w:w="866" w:type="pct"/>
            <w:tcBorders>
              <w:top w:val="single" w:color="auto" w:sz="4" w:space="0"/>
              <w:left w:val="single" w:color="auto" w:sz="4" w:space="0"/>
              <w:bottom w:val="single" w:color="auto" w:sz="4" w:space="0"/>
              <w:right w:val="single" w:color="auto" w:sz="4" w:space="0"/>
            </w:tcBorders>
            <w:noWrap w:val="0"/>
            <w:vAlign w:val="center"/>
          </w:tcPr>
          <w:p w14:paraId="22094C15">
            <w:pPr>
              <w:pStyle w:val="48"/>
              <w:spacing w:line="360" w:lineRule="auto"/>
              <w:jc w:val="center"/>
              <w:rPr>
                <w:rFonts w:hint="eastAsia" w:ascii="宋体" w:hAnsi="宋体" w:eastAsia="宋体" w:cs="宋体"/>
                <w:b/>
                <w:sz w:val="21"/>
                <w:szCs w:val="21"/>
              </w:rPr>
            </w:pPr>
            <w:r>
              <w:rPr>
                <w:rFonts w:hint="eastAsia" w:ascii="宋体" w:hAnsi="宋体" w:eastAsia="宋体" w:cs="宋体"/>
                <w:b/>
                <w:color w:val="000000"/>
                <w:sz w:val="21"/>
                <w:szCs w:val="21"/>
                <w:highlight w:val="white"/>
              </w:rPr>
              <w:t>项目服务地点</w:t>
            </w:r>
          </w:p>
        </w:tc>
        <w:tc>
          <w:tcPr>
            <w:tcW w:w="3730" w:type="pct"/>
            <w:tcBorders>
              <w:top w:val="single" w:color="auto" w:sz="4" w:space="0"/>
              <w:left w:val="single" w:color="auto" w:sz="4" w:space="0"/>
              <w:bottom w:val="single" w:color="auto" w:sz="4" w:space="0"/>
              <w:right w:val="single" w:color="auto" w:sz="4" w:space="0"/>
            </w:tcBorders>
            <w:noWrap w:val="0"/>
            <w:vAlign w:val="center"/>
          </w:tcPr>
          <w:p w14:paraId="58755984">
            <w:pPr>
              <w:pStyle w:val="48"/>
              <w:keepNext w:val="0"/>
              <w:keepLines w:val="0"/>
              <w:pageBreakBefore w:val="0"/>
              <w:widowControl w:val="0"/>
              <w:kinsoku/>
              <w:wordWrap/>
              <w:overflowPunct/>
              <w:topLinePunct w:val="0"/>
              <w:autoSpaceDE/>
              <w:autoSpaceDN/>
              <w:bidi w:val="0"/>
              <w:snapToGrid/>
              <w:spacing w:line="288"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甲方指定地点（佛山市内）。详细地址为：</w:t>
            </w:r>
          </w:p>
        </w:tc>
      </w:tr>
      <w:tr w14:paraId="4AD1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48C777D4">
            <w:pPr>
              <w:pStyle w:val="47"/>
              <w:numPr>
                <w:ilvl w:val="0"/>
                <w:numId w:val="33"/>
              </w:numPr>
              <w:tabs>
                <w:tab w:val="left" w:pos="453"/>
              </w:tabs>
              <w:spacing w:line="360" w:lineRule="auto"/>
              <w:jc w:val="center"/>
              <w:rPr>
                <w:rFonts w:hint="eastAsia" w:ascii="宋体" w:hAnsi="宋体" w:eastAsia="宋体" w:cs="宋体"/>
                <w:b/>
                <w:color w:val="000000"/>
                <w:sz w:val="21"/>
                <w:szCs w:val="21"/>
              </w:rPr>
            </w:pPr>
          </w:p>
        </w:tc>
        <w:tc>
          <w:tcPr>
            <w:tcW w:w="866" w:type="pct"/>
            <w:tcBorders>
              <w:top w:val="single" w:color="auto" w:sz="4" w:space="0"/>
              <w:left w:val="single" w:color="auto" w:sz="4" w:space="0"/>
              <w:bottom w:val="single" w:color="auto" w:sz="4" w:space="0"/>
              <w:right w:val="single" w:color="auto" w:sz="4" w:space="0"/>
            </w:tcBorders>
            <w:noWrap w:val="0"/>
            <w:vAlign w:val="center"/>
          </w:tcPr>
          <w:p w14:paraId="1088F54B">
            <w:pPr>
              <w:pStyle w:val="48"/>
              <w:spacing w:line="360" w:lineRule="auto"/>
              <w:jc w:val="center"/>
              <w:rPr>
                <w:rFonts w:hint="eastAsia" w:ascii="宋体" w:hAnsi="宋体" w:eastAsia="宋体" w:cs="宋体"/>
                <w:b/>
                <w:sz w:val="21"/>
                <w:szCs w:val="21"/>
              </w:rPr>
            </w:pPr>
            <w:r>
              <w:rPr>
                <w:rFonts w:hint="eastAsia" w:ascii="宋体" w:hAnsi="宋体" w:eastAsia="宋体" w:cs="宋体"/>
                <w:b/>
                <w:color w:val="000000"/>
                <w:sz w:val="21"/>
                <w:szCs w:val="21"/>
                <w:highlight w:val="white"/>
              </w:rPr>
              <w:t>服务期</w:t>
            </w:r>
          </w:p>
        </w:tc>
        <w:tc>
          <w:tcPr>
            <w:tcW w:w="3730" w:type="pct"/>
            <w:tcBorders>
              <w:top w:val="single" w:color="auto" w:sz="4" w:space="0"/>
              <w:left w:val="single" w:color="auto" w:sz="4" w:space="0"/>
              <w:bottom w:val="single" w:color="auto" w:sz="4" w:space="0"/>
              <w:right w:val="single" w:color="auto" w:sz="4" w:space="0"/>
            </w:tcBorders>
            <w:noWrap w:val="0"/>
            <w:vAlign w:val="center"/>
          </w:tcPr>
          <w:p w14:paraId="32128857">
            <w:pPr>
              <w:pStyle w:val="48"/>
              <w:keepNext w:val="0"/>
              <w:keepLines w:val="0"/>
              <w:pageBreakBefore w:val="0"/>
              <w:widowControl w:val="0"/>
              <w:kinsoku/>
              <w:wordWrap/>
              <w:overflowPunct/>
              <w:topLinePunct w:val="0"/>
              <w:autoSpaceDE/>
              <w:autoSpaceDN/>
              <w:bidi w:val="0"/>
              <w:snapToGrid/>
              <w:spacing w:line="288"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highlight w:val="white"/>
                <w:lang w:eastAsia="zh-CN"/>
              </w:rPr>
              <w:t>自合同签订之日起1年，即从2025年10月1日至2026年9月30日</w:t>
            </w:r>
            <w:r>
              <w:rPr>
                <w:rFonts w:hint="eastAsia" w:ascii="宋体" w:hAnsi="宋体" w:eastAsia="宋体" w:cs="宋体"/>
                <w:color w:val="000000"/>
                <w:sz w:val="21"/>
                <w:szCs w:val="21"/>
                <w:highlight w:val="white"/>
              </w:rPr>
              <w:t>。</w:t>
            </w:r>
          </w:p>
        </w:tc>
      </w:tr>
      <w:tr w14:paraId="4469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3417D86C">
            <w:pPr>
              <w:pStyle w:val="47"/>
              <w:numPr>
                <w:ilvl w:val="0"/>
                <w:numId w:val="33"/>
              </w:numPr>
              <w:tabs>
                <w:tab w:val="left" w:pos="453"/>
              </w:tabs>
              <w:spacing w:line="360" w:lineRule="auto"/>
              <w:jc w:val="center"/>
              <w:rPr>
                <w:rFonts w:hint="eastAsia" w:ascii="宋体" w:hAnsi="宋体" w:eastAsia="宋体" w:cs="宋体"/>
                <w:b/>
                <w:color w:val="000000"/>
                <w:sz w:val="21"/>
                <w:szCs w:val="21"/>
              </w:rPr>
            </w:pPr>
          </w:p>
        </w:tc>
        <w:tc>
          <w:tcPr>
            <w:tcW w:w="866" w:type="pct"/>
            <w:tcBorders>
              <w:top w:val="single" w:color="auto" w:sz="4" w:space="0"/>
              <w:left w:val="single" w:color="auto" w:sz="4" w:space="0"/>
              <w:bottom w:val="single" w:color="auto" w:sz="4" w:space="0"/>
              <w:right w:val="single" w:color="auto" w:sz="4" w:space="0"/>
            </w:tcBorders>
            <w:noWrap w:val="0"/>
            <w:vAlign w:val="center"/>
          </w:tcPr>
          <w:p w14:paraId="4520ADDF">
            <w:pPr>
              <w:pStyle w:val="47"/>
              <w:jc w:val="center"/>
              <w:rPr>
                <w:rFonts w:hint="eastAsia" w:ascii="宋体" w:hAnsi="宋体" w:eastAsia="宋体" w:cs="宋体"/>
                <w:b/>
                <w:sz w:val="21"/>
                <w:szCs w:val="21"/>
              </w:rPr>
            </w:pPr>
            <w:r>
              <w:rPr>
                <w:rFonts w:hint="eastAsia" w:ascii="宋体" w:hAnsi="宋体" w:eastAsia="宋体" w:cs="宋体"/>
                <w:b/>
                <w:color w:val="000000"/>
                <w:sz w:val="21"/>
                <w:szCs w:val="21"/>
                <w:highlight w:val="white"/>
              </w:rPr>
              <w:t>合同签订</w:t>
            </w:r>
            <w:r>
              <w:rPr>
                <w:rFonts w:hint="eastAsia" w:ascii="宋体" w:hAnsi="宋体" w:eastAsia="宋体" w:cs="宋体"/>
                <w:b/>
                <w:color w:val="000000"/>
                <w:sz w:val="21"/>
                <w:szCs w:val="21"/>
              </w:rPr>
              <w:t>方式及情况</w:t>
            </w:r>
          </w:p>
        </w:tc>
        <w:tc>
          <w:tcPr>
            <w:tcW w:w="3730" w:type="pct"/>
            <w:tcBorders>
              <w:top w:val="single" w:color="auto" w:sz="4" w:space="0"/>
              <w:left w:val="single" w:color="auto" w:sz="4" w:space="0"/>
              <w:bottom w:val="single" w:color="auto" w:sz="4" w:space="0"/>
              <w:right w:val="single" w:color="auto" w:sz="4" w:space="0"/>
            </w:tcBorders>
            <w:noWrap w:val="0"/>
            <w:vAlign w:val="center"/>
          </w:tcPr>
          <w:p w14:paraId="2EA55473">
            <w:pPr>
              <w:pStyle w:val="47"/>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sz w:val="21"/>
                <w:szCs w:val="21"/>
              </w:rPr>
            </w:pPr>
            <w:r>
              <w:rPr>
                <w:rFonts w:hint="eastAsia" w:ascii="宋体" w:hAnsi="宋体" w:eastAsia="宋体" w:cs="宋体"/>
                <w:color w:val="000000"/>
                <w:sz w:val="21"/>
                <w:szCs w:val="21"/>
                <w:highlight w:val="white"/>
              </w:rPr>
              <w:t>一次性签订本项目采购合同。</w:t>
            </w:r>
          </w:p>
        </w:tc>
      </w:tr>
      <w:tr w14:paraId="38CC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02" w:type="pct"/>
            <w:tcBorders>
              <w:top w:val="single" w:color="auto" w:sz="4" w:space="0"/>
              <w:left w:val="single" w:color="auto" w:sz="4" w:space="0"/>
              <w:right w:val="single" w:color="auto" w:sz="4" w:space="0"/>
            </w:tcBorders>
            <w:noWrap w:val="0"/>
            <w:vAlign w:val="center"/>
          </w:tcPr>
          <w:p w14:paraId="3F79EBD8">
            <w:pPr>
              <w:pStyle w:val="47"/>
              <w:numPr>
                <w:ilvl w:val="0"/>
                <w:numId w:val="33"/>
              </w:numPr>
              <w:tabs>
                <w:tab w:val="left" w:pos="453"/>
              </w:tabs>
              <w:spacing w:line="360" w:lineRule="auto"/>
              <w:jc w:val="center"/>
              <w:rPr>
                <w:rFonts w:hint="eastAsia" w:ascii="宋体" w:hAnsi="宋体" w:eastAsia="宋体" w:cs="宋体"/>
                <w:b/>
                <w:color w:val="000000"/>
                <w:sz w:val="21"/>
                <w:szCs w:val="21"/>
              </w:rPr>
            </w:pPr>
          </w:p>
        </w:tc>
        <w:tc>
          <w:tcPr>
            <w:tcW w:w="866" w:type="pct"/>
            <w:tcBorders>
              <w:top w:val="single" w:color="auto" w:sz="4" w:space="0"/>
              <w:left w:val="single" w:color="auto" w:sz="4" w:space="0"/>
              <w:right w:val="single" w:color="auto" w:sz="4" w:space="0"/>
            </w:tcBorders>
            <w:noWrap w:val="0"/>
            <w:vAlign w:val="center"/>
          </w:tcPr>
          <w:p w14:paraId="439FCBEC">
            <w:pPr>
              <w:pStyle w:val="48"/>
              <w:spacing w:line="360" w:lineRule="auto"/>
              <w:jc w:val="center"/>
              <w:rPr>
                <w:rFonts w:hint="eastAsia" w:ascii="宋体" w:hAnsi="宋体" w:eastAsia="宋体" w:cs="宋体"/>
                <w:b/>
                <w:color w:val="000000"/>
                <w:sz w:val="21"/>
                <w:szCs w:val="21"/>
                <w:highlight w:val="white"/>
                <w:lang w:val="en-US" w:eastAsia="zh-CN"/>
              </w:rPr>
            </w:pPr>
            <w:r>
              <w:rPr>
                <w:rFonts w:hint="eastAsia" w:ascii="宋体" w:hAnsi="宋体" w:cs="宋体"/>
                <w:b/>
                <w:color w:val="000000"/>
                <w:sz w:val="21"/>
                <w:szCs w:val="21"/>
                <w:highlight w:val="white"/>
                <w:lang w:val="en-US" w:eastAsia="zh-CN"/>
              </w:rPr>
              <w:t>履约保证金</w:t>
            </w:r>
          </w:p>
        </w:tc>
        <w:tc>
          <w:tcPr>
            <w:tcW w:w="3730" w:type="pct"/>
            <w:tcBorders>
              <w:top w:val="single" w:color="auto" w:sz="4" w:space="0"/>
              <w:left w:val="single" w:color="auto" w:sz="4" w:space="0"/>
              <w:right w:val="single" w:color="auto" w:sz="4" w:space="0"/>
            </w:tcBorders>
            <w:noWrap w:val="0"/>
            <w:vAlign w:val="center"/>
          </w:tcPr>
          <w:p w14:paraId="0CB3B11E">
            <w:pPr>
              <w:keepNext w:val="0"/>
              <w:keepLines w:val="0"/>
              <w:pageBreakBefore w:val="0"/>
              <w:widowControl w:val="0"/>
              <w:numPr>
                <w:ilvl w:val="0"/>
                <w:numId w:val="36"/>
              </w:numPr>
              <w:tabs>
                <w:tab w:val="left" w:pos="425"/>
              </w:tabs>
              <w:kinsoku/>
              <w:wordWrap/>
              <w:overflowPunct/>
              <w:topLinePunct w:val="0"/>
              <w:autoSpaceDE/>
              <w:autoSpaceDN/>
              <w:bidi w:val="0"/>
              <w:adjustRightInd w:val="0"/>
              <w:snapToGrid/>
              <w:spacing w:line="288" w:lineRule="auto"/>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履约保证金的金额为</w:t>
            </w:r>
            <w:r>
              <w:rPr>
                <w:rFonts w:hint="eastAsia" w:ascii="宋体" w:hAnsi="宋体" w:eastAsia="宋体" w:cs="宋体"/>
                <w:color w:val="auto"/>
                <w:szCs w:val="21"/>
                <w:highlight w:val="none"/>
                <w:lang w:val="en-US" w:eastAsia="zh-CN"/>
              </w:rPr>
              <w:t>人民币壹拾万元整（RMB100,000.00）</w:t>
            </w:r>
            <w:r>
              <w:rPr>
                <w:rFonts w:hint="eastAsia" w:ascii="宋体" w:hAnsi="宋体" w:eastAsia="宋体" w:cs="宋体"/>
                <w:color w:val="auto"/>
                <w:szCs w:val="21"/>
                <w:highlight w:val="none"/>
              </w:rPr>
              <w:t>。履约保证金用于补偿</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因</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不能完全履行其合同义务而蒙受的损失或</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违反合同而作出的处罚。</w:t>
            </w:r>
          </w:p>
          <w:p w14:paraId="59DB3868">
            <w:pPr>
              <w:keepNext w:val="0"/>
              <w:keepLines w:val="0"/>
              <w:pageBreakBefore w:val="0"/>
              <w:widowControl w:val="0"/>
              <w:numPr>
                <w:ilvl w:val="0"/>
                <w:numId w:val="36"/>
              </w:numPr>
              <w:tabs>
                <w:tab w:val="left" w:pos="425"/>
              </w:tabs>
              <w:kinsoku/>
              <w:wordWrap/>
              <w:overflowPunct/>
              <w:topLinePunct w:val="0"/>
              <w:autoSpaceDE/>
              <w:autoSpaceDN/>
              <w:bidi w:val="0"/>
              <w:adjustRightInd w:val="0"/>
              <w:snapToGrid/>
              <w:spacing w:line="288" w:lineRule="auto"/>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缴纳履约保证金的时间：合同签订后10个工作日内，</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必须递交履约保证金，否则</w:t>
            </w:r>
            <w:r>
              <w:rPr>
                <w:rFonts w:hint="eastAsia" w:ascii="宋体" w:hAnsi="宋体" w:eastAsia="宋体" w:cs="宋体"/>
                <w:color w:val="auto"/>
                <w:szCs w:val="21"/>
                <w:highlight w:val="none"/>
                <w:lang w:val="en-US" w:eastAsia="zh-CN"/>
              </w:rPr>
              <w:t>视为违约，</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有权单方面解除合同，由此造成的一切经济损失由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w:t>
            </w:r>
          </w:p>
          <w:p w14:paraId="5D81616C">
            <w:pPr>
              <w:keepNext w:val="0"/>
              <w:keepLines w:val="0"/>
              <w:pageBreakBefore w:val="0"/>
              <w:widowControl w:val="0"/>
              <w:numPr>
                <w:ilvl w:val="0"/>
                <w:numId w:val="36"/>
              </w:numPr>
              <w:tabs>
                <w:tab w:val="left" w:pos="425"/>
              </w:tabs>
              <w:kinsoku/>
              <w:wordWrap/>
              <w:overflowPunct/>
              <w:topLinePunct w:val="0"/>
              <w:autoSpaceDE/>
              <w:autoSpaceDN/>
              <w:bidi w:val="0"/>
              <w:adjustRightInd w:val="0"/>
              <w:snapToGrid/>
              <w:spacing w:line="288" w:lineRule="auto"/>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履约保证金的形式：</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应当以转账、支票、汇票、本票或者金融机构、担保机构出具的保函等非现金形式提交</w:t>
            </w:r>
            <w:r>
              <w:rPr>
                <w:rFonts w:hint="eastAsia" w:ascii="宋体" w:hAnsi="宋体" w:eastAsia="宋体" w:cs="宋体"/>
                <w:color w:val="auto"/>
                <w:szCs w:val="21"/>
                <w:highlight w:val="none"/>
                <w:lang w:eastAsia="zh-CN"/>
              </w:rPr>
              <w:t>：</w:t>
            </w:r>
          </w:p>
          <w:p w14:paraId="37CE6BA1">
            <w:pPr>
              <w:keepNext w:val="0"/>
              <w:keepLines w:val="0"/>
              <w:pageBreakBefore w:val="0"/>
              <w:widowControl w:val="0"/>
              <w:numPr>
                <w:ilvl w:val="0"/>
                <w:numId w:val="37"/>
              </w:numPr>
              <w:tabs>
                <w:tab w:val="left" w:pos="0"/>
              </w:tabs>
              <w:kinsoku/>
              <w:wordWrap/>
              <w:overflowPunct/>
              <w:topLinePunct w:val="0"/>
              <w:autoSpaceDE/>
              <w:autoSpaceDN/>
              <w:bidi w:val="0"/>
              <w:adjustRightInd w:val="0"/>
              <w:snapToGrid/>
              <w:spacing w:line="288" w:lineRule="auto"/>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若采用银行转账方式的，</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将履约保证金转至</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指定账户。</w:t>
            </w:r>
          </w:p>
          <w:p w14:paraId="3C9A14E5">
            <w:pPr>
              <w:keepNext w:val="0"/>
              <w:keepLines w:val="0"/>
              <w:pageBreakBefore w:val="0"/>
              <w:widowControl w:val="0"/>
              <w:numPr>
                <w:ilvl w:val="0"/>
                <w:numId w:val="37"/>
              </w:numPr>
              <w:tabs>
                <w:tab w:val="left" w:pos="0"/>
              </w:tabs>
              <w:kinsoku/>
              <w:wordWrap/>
              <w:overflowPunct/>
              <w:topLinePunct w:val="0"/>
              <w:autoSpaceDE/>
              <w:autoSpaceDN/>
              <w:bidi w:val="0"/>
              <w:adjustRightInd w:val="0"/>
              <w:snapToGrid/>
              <w:spacing w:line="288" w:lineRule="auto"/>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若采用保函形式的，则保函有效期为：保函生效之日起至服务期满后60日止，</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出具的保函应包括但不限于以下内容：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名称、项目名称、</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名称、担保金额、担保期限，保证方式为连带责任保证。</w:t>
            </w:r>
          </w:p>
          <w:p w14:paraId="2DD7E091">
            <w:pPr>
              <w:keepNext w:val="0"/>
              <w:keepLines w:val="0"/>
              <w:pageBreakBefore w:val="0"/>
              <w:widowControl w:val="0"/>
              <w:numPr>
                <w:ilvl w:val="0"/>
                <w:numId w:val="36"/>
              </w:numPr>
              <w:tabs>
                <w:tab w:val="left" w:pos="425"/>
              </w:tabs>
              <w:kinsoku/>
              <w:wordWrap/>
              <w:overflowPunct/>
              <w:topLinePunct w:val="0"/>
              <w:autoSpaceDE/>
              <w:autoSpaceDN/>
              <w:bidi w:val="0"/>
              <w:adjustRightInd w:val="0"/>
              <w:snapToGrid/>
              <w:spacing w:line="288" w:lineRule="auto"/>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履约保证金的退回：</w:t>
            </w:r>
            <w:r>
              <w:rPr>
                <w:rFonts w:hint="eastAsia" w:ascii="宋体" w:hAnsi="宋体" w:eastAsia="宋体" w:cs="宋体"/>
                <w:color w:val="auto"/>
                <w:szCs w:val="21"/>
                <w:highlight w:val="none"/>
                <w:lang w:eastAsia="zh-CN"/>
              </w:rPr>
              <w:t>服务期</w:t>
            </w:r>
            <w:r>
              <w:rPr>
                <w:rFonts w:hint="eastAsia" w:ascii="宋体" w:hAnsi="宋体" w:eastAsia="宋体" w:cs="宋体"/>
                <w:color w:val="auto"/>
                <w:szCs w:val="21"/>
                <w:highlight w:val="none"/>
                <w:lang w:val="en-US" w:eastAsia="zh-CN"/>
              </w:rPr>
              <w:t>满后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全面履行合同条款无任何违规违约行为，经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验收合格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方可凭相关证明材料（如项目验收证明文件）到</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处办理退保手续，</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在收到相关材料后15个工作日内</w:t>
            </w:r>
            <w:r>
              <w:rPr>
                <w:rFonts w:hint="eastAsia" w:ascii="宋体" w:hAnsi="宋体" w:eastAsia="宋体" w:cs="宋体"/>
                <w:color w:val="auto"/>
                <w:szCs w:val="21"/>
                <w:highlight w:val="none"/>
                <w:lang w:val="en-US" w:eastAsia="zh-CN"/>
              </w:rPr>
              <w:t>完成</w:t>
            </w:r>
            <w:r>
              <w:rPr>
                <w:rFonts w:hint="eastAsia" w:ascii="宋体" w:hAnsi="宋体" w:eastAsia="宋体" w:cs="宋体"/>
                <w:color w:val="auto"/>
                <w:szCs w:val="21"/>
                <w:highlight w:val="none"/>
              </w:rPr>
              <w:t>无息退还手续（</w:t>
            </w:r>
            <w:r>
              <w:rPr>
                <w:rFonts w:hint="eastAsia" w:ascii="宋体" w:hAnsi="宋体" w:eastAsia="宋体" w:cs="宋体"/>
                <w:color w:val="auto"/>
              </w:rPr>
              <w:t>以保函形式递交的，过期自动失效</w:t>
            </w:r>
            <w:r>
              <w:rPr>
                <w:rFonts w:hint="eastAsia" w:ascii="宋体" w:hAnsi="宋体" w:eastAsia="宋体" w:cs="宋体"/>
                <w:color w:val="auto"/>
                <w:szCs w:val="21"/>
                <w:highlight w:val="none"/>
              </w:rPr>
              <w:t>）。</w:t>
            </w:r>
          </w:p>
          <w:p w14:paraId="02DBAFAE">
            <w:pPr>
              <w:keepNext w:val="0"/>
              <w:keepLines w:val="0"/>
              <w:pageBreakBefore w:val="0"/>
              <w:widowControl w:val="0"/>
              <w:numPr>
                <w:ilvl w:val="0"/>
                <w:numId w:val="36"/>
              </w:numPr>
              <w:tabs>
                <w:tab w:val="left" w:pos="425"/>
              </w:tabs>
              <w:kinsoku/>
              <w:wordWrap/>
              <w:overflowPunct/>
              <w:topLinePunct w:val="0"/>
              <w:autoSpaceDE/>
              <w:autoSpaceDN/>
              <w:bidi w:val="0"/>
              <w:adjustRightInd w:val="0"/>
              <w:snapToGrid/>
              <w:spacing w:line="288" w:lineRule="auto"/>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履约保证金扣除情形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如有违规违约行为或其他导致</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经济损失的行为，履约保证金将以扣除</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经济损失后的剩余金额无息退回；履约保证金不足以弥补损失的，</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须补足损失金额。</w:t>
            </w:r>
          </w:p>
          <w:p w14:paraId="5F54FCAC">
            <w:pPr>
              <w:keepNext w:val="0"/>
              <w:keepLines w:val="0"/>
              <w:pageBreakBefore w:val="0"/>
              <w:widowControl w:val="0"/>
              <w:numPr>
                <w:ilvl w:val="0"/>
                <w:numId w:val="36"/>
              </w:numPr>
              <w:tabs>
                <w:tab w:val="left" w:pos="425"/>
              </w:tabs>
              <w:kinsoku/>
              <w:wordWrap/>
              <w:overflowPunct/>
              <w:topLinePunct w:val="0"/>
              <w:autoSpaceDE/>
              <w:autoSpaceDN/>
              <w:bidi w:val="0"/>
              <w:adjustRightInd w:val="0"/>
              <w:snapToGrid/>
              <w:spacing w:line="288" w:lineRule="auto"/>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履约保证金不予退还情形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服务过程中造成重大安全事故或未履行投标承诺或</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自行终止合同或违反合同规定等情况，</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有权单方面解除合同并不予退还履约保证金。</w:t>
            </w:r>
          </w:p>
          <w:p w14:paraId="20127AC3">
            <w:pPr>
              <w:keepNext w:val="0"/>
              <w:keepLines w:val="0"/>
              <w:pageBreakBefore w:val="0"/>
              <w:widowControl w:val="0"/>
              <w:numPr>
                <w:ilvl w:val="0"/>
                <w:numId w:val="36"/>
              </w:numPr>
              <w:tabs>
                <w:tab w:val="left" w:pos="425"/>
              </w:tabs>
              <w:kinsoku/>
              <w:wordWrap/>
              <w:overflowPunct/>
              <w:topLinePunct w:val="0"/>
              <w:autoSpaceDE/>
              <w:autoSpaceDN/>
              <w:bidi w:val="0"/>
              <w:adjustRightInd w:val="0"/>
              <w:snapToGrid/>
              <w:spacing w:line="288" w:lineRule="auto"/>
              <w:ind w:left="0" w:leftChars="0" w:firstLine="0" w:firstLineChars="0"/>
              <w:textAlignment w:val="auto"/>
              <w:rPr>
                <w:rFonts w:hint="eastAsia" w:ascii="宋体" w:hAnsi="宋体" w:eastAsia="宋体" w:cs="宋体"/>
                <w:bCs/>
                <w:color w:val="auto"/>
                <w:highlight w:val="none"/>
                <w:lang w:eastAsia="zh-CN"/>
              </w:rPr>
            </w:pPr>
            <w:r>
              <w:rPr>
                <w:rFonts w:hint="eastAsia" w:ascii="宋体" w:hAnsi="宋体" w:eastAsia="宋体" w:cs="宋体"/>
                <w:color w:val="auto"/>
                <w:szCs w:val="21"/>
                <w:highlight w:val="none"/>
              </w:rPr>
              <w:t>逾期退还履约保证金的违约责任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每逾期一天</w:t>
            </w:r>
            <w:r>
              <w:rPr>
                <w:rFonts w:hint="eastAsia" w:ascii="宋体" w:hAnsi="宋体" w:eastAsia="宋体" w:cs="宋体"/>
                <w:color w:val="auto"/>
                <w:szCs w:val="21"/>
                <w:highlight w:val="none"/>
                <w:lang w:val="en-US" w:eastAsia="zh-CN"/>
              </w:rPr>
              <w:t>退还</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甲方支付履约保证金的万分之五作违约金</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违约金累计最多不超过履约保证金金额的百分之五</w:t>
            </w:r>
            <w:r>
              <w:rPr>
                <w:rFonts w:hint="eastAsia" w:ascii="宋体" w:hAnsi="宋体" w:eastAsia="宋体" w:cs="宋体"/>
                <w:color w:val="auto"/>
                <w:szCs w:val="21"/>
                <w:highlight w:val="none"/>
              </w:rPr>
              <w:t>。</w:t>
            </w:r>
          </w:p>
        </w:tc>
      </w:tr>
      <w:tr w14:paraId="20D4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02" w:type="pct"/>
            <w:tcBorders>
              <w:top w:val="single" w:color="auto" w:sz="4" w:space="0"/>
              <w:left w:val="single" w:color="auto" w:sz="4" w:space="0"/>
              <w:right w:val="single" w:color="auto" w:sz="4" w:space="0"/>
            </w:tcBorders>
            <w:noWrap w:val="0"/>
            <w:vAlign w:val="center"/>
          </w:tcPr>
          <w:p w14:paraId="6DDA54C3">
            <w:pPr>
              <w:pStyle w:val="47"/>
              <w:numPr>
                <w:ilvl w:val="0"/>
                <w:numId w:val="33"/>
              </w:numPr>
              <w:tabs>
                <w:tab w:val="left" w:pos="453"/>
              </w:tabs>
              <w:spacing w:line="360" w:lineRule="auto"/>
              <w:jc w:val="center"/>
              <w:rPr>
                <w:rFonts w:hint="eastAsia" w:ascii="宋体" w:hAnsi="宋体" w:eastAsia="宋体" w:cs="宋体"/>
                <w:b/>
                <w:color w:val="000000"/>
                <w:sz w:val="21"/>
                <w:szCs w:val="21"/>
              </w:rPr>
            </w:pPr>
          </w:p>
        </w:tc>
        <w:tc>
          <w:tcPr>
            <w:tcW w:w="866" w:type="pct"/>
            <w:tcBorders>
              <w:top w:val="single" w:color="auto" w:sz="4" w:space="0"/>
              <w:left w:val="single" w:color="auto" w:sz="4" w:space="0"/>
              <w:right w:val="single" w:color="auto" w:sz="4" w:space="0"/>
            </w:tcBorders>
            <w:noWrap w:val="0"/>
            <w:vAlign w:val="center"/>
          </w:tcPr>
          <w:p w14:paraId="4FAF1D7B">
            <w:pPr>
              <w:pStyle w:val="48"/>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highlight w:val="white"/>
              </w:rPr>
              <w:t>付款方式</w:t>
            </w:r>
          </w:p>
        </w:tc>
        <w:tc>
          <w:tcPr>
            <w:tcW w:w="3730" w:type="pct"/>
            <w:tcBorders>
              <w:top w:val="single" w:color="auto" w:sz="4" w:space="0"/>
              <w:left w:val="single" w:color="auto" w:sz="4" w:space="0"/>
              <w:right w:val="single" w:color="auto" w:sz="4" w:space="0"/>
            </w:tcBorders>
            <w:noWrap w:val="0"/>
            <w:vAlign w:val="center"/>
          </w:tcPr>
          <w:p w14:paraId="3AF7675B">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spacing w:line="288"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w:t>
            </w:r>
            <w:r>
              <w:rPr>
                <w:rFonts w:hint="eastAsia" w:ascii="宋体" w:hAnsi="宋体" w:cs="宋体"/>
                <w:bCs/>
                <w:color w:val="auto"/>
                <w:sz w:val="21"/>
                <w:szCs w:val="21"/>
                <w:highlight w:val="none"/>
                <w:lang w:eastAsia="zh-CN"/>
              </w:rPr>
              <w:t>招标人</w:t>
            </w:r>
            <w:r>
              <w:rPr>
                <w:rFonts w:hint="eastAsia" w:ascii="宋体" w:hAnsi="宋体" w:eastAsia="宋体" w:cs="宋体"/>
                <w:bCs/>
                <w:color w:val="auto"/>
                <w:sz w:val="21"/>
                <w:szCs w:val="21"/>
                <w:highlight w:val="none"/>
              </w:rPr>
              <w:t>按下列程序付款：</w:t>
            </w:r>
          </w:p>
          <w:p w14:paraId="5BEB9665">
            <w:pPr>
              <w:keepNext w:val="0"/>
              <w:keepLines w:val="0"/>
              <w:pageBreakBefore w:val="0"/>
              <w:widowControl w:val="0"/>
              <w:numPr>
                <w:ilvl w:val="0"/>
                <w:numId w:val="38"/>
              </w:numPr>
              <w:tabs>
                <w:tab w:val="left" w:pos="0"/>
                <w:tab w:val="clear" w:pos="425"/>
              </w:tabs>
              <w:kinsoku/>
              <w:wordWrap/>
              <w:overflowPunct/>
              <w:topLinePunct w:val="0"/>
              <w:autoSpaceDE/>
              <w:autoSpaceDN/>
              <w:bidi w:val="0"/>
              <w:adjustRightInd w:val="0"/>
              <w:snapToGrid/>
              <w:spacing w:line="288" w:lineRule="auto"/>
              <w:ind w:left="5" w:leftChars="0" w:hanging="5"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本项目安保服务费用按</w:t>
            </w:r>
            <w:r>
              <w:rPr>
                <w:rFonts w:hint="eastAsia" w:ascii="宋体" w:hAnsi="宋体" w:eastAsia="宋体" w:cs="宋体"/>
                <w:bCs/>
                <w:color w:val="auto"/>
                <w:sz w:val="21"/>
                <w:szCs w:val="21"/>
                <w:highlight w:val="none"/>
                <w:lang w:val="en-US" w:eastAsia="zh-CN"/>
              </w:rPr>
              <w:t>月度</w:t>
            </w:r>
            <w:r>
              <w:rPr>
                <w:rFonts w:hint="eastAsia" w:ascii="宋体" w:hAnsi="宋体" w:eastAsia="宋体" w:cs="宋体"/>
                <w:bCs/>
                <w:color w:val="auto"/>
                <w:sz w:val="21"/>
                <w:szCs w:val="21"/>
                <w:highlight w:val="none"/>
                <w:lang w:eastAsia="zh-CN"/>
              </w:rPr>
              <w:t>支付。</w:t>
            </w:r>
            <w:r>
              <w:rPr>
                <w:rFonts w:hint="eastAsia" w:ascii="宋体"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val="en-US" w:eastAsia="zh-CN"/>
              </w:rPr>
              <w:t>提供安保服务的当月费用，</w:t>
            </w:r>
            <w:r>
              <w:rPr>
                <w:rFonts w:hint="eastAsia" w:ascii="宋体"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于次月以银行转账方式支付</w:t>
            </w:r>
            <w:r>
              <w:rPr>
                <w:rFonts w:hint="eastAsia" w:ascii="宋体" w:hAnsi="宋体" w:eastAsia="宋体" w:cs="宋体"/>
                <w:bCs/>
                <w:color w:val="auto"/>
                <w:sz w:val="21"/>
                <w:szCs w:val="21"/>
                <w:highlight w:val="none"/>
                <w:lang w:eastAsia="zh-CN"/>
              </w:rPr>
              <w:t>。</w:t>
            </w:r>
          </w:p>
          <w:p w14:paraId="60E687D0">
            <w:pPr>
              <w:keepNext w:val="0"/>
              <w:keepLines w:val="0"/>
              <w:pageBreakBefore w:val="0"/>
              <w:widowControl w:val="0"/>
              <w:numPr>
                <w:ilvl w:val="0"/>
                <w:numId w:val="38"/>
              </w:numPr>
              <w:tabs>
                <w:tab w:val="left" w:pos="0"/>
                <w:tab w:val="clear" w:pos="425"/>
              </w:tabs>
              <w:kinsoku/>
              <w:wordWrap/>
              <w:overflowPunct/>
              <w:topLinePunct w:val="0"/>
              <w:autoSpaceDE/>
              <w:autoSpaceDN/>
              <w:bidi w:val="0"/>
              <w:adjustRightInd w:val="0"/>
              <w:snapToGrid/>
              <w:spacing w:line="288" w:lineRule="auto"/>
              <w:ind w:left="5" w:leftChars="0" w:hanging="5" w:firstLineChars="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eastAsia="zh-CN"/>
              </w:rPr>
              <w:t>于次月5个自然日内提供合法有效的增值税专用发票（税率6%）给</w:t>
            </w:r>
            <w:r>
              <w:rPr>
                <w:rFonts w:hint="eastAsia" w:ascii="宋体"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eastAsia="zh-CN"/>
              </w:rPr>
              <w:t>应于收到</w:t>
            </w:r>
            <w:r>
              <w:rPr>
                <w:rFonts w:hint="eastAsia" w:ascii="宋体"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lang w:eastAsia="zh-CN"/>
              </w:rPr>
              <w:t>提供的发票后20个自然日内支付相应金额的服务费给中标人。</w:t>
            </w:r>
          </w:p>
          <w:p w14:paraId="38DEC01A">
            <w:pPr>
              <w:keepNext w:val="0"/>
              <w:keepLines w:val="0"/>
              <w:pageBreakBefore w:val="0"/>
              <w:widowControl w:val="0"/>
              <w:numPr>
                <w:ilvl w:val="0"/>
                <w:numId w:val="38"/>
              </w:numPr>
              <w:tabs>
                <w:tab w:val="left" w:pos="0"/>
                <w:tab w:val="clear" w:pos="425"/>
              </w:tabs>
              <w:kinsoku/>
              <w:wordWrap/>
              <w:overflowPunct/>
              <w:topLinePunct w:val="0"/>
              <w:autoSpaceDE/>
              <w:autoSpaceDN/>
              <w:bidi w:val="0"/>
              <w:adjustRightInd w:val="0"/>
              <w:snapToGrid/>
              <w:spacing w:line="288" w:lineRule="auto"/>
              <w:ind w:left="5" w:leftChars="0" w:hanging="5" w:firstLineChars="0"/>
              <w:textAlignment w:val="auto"/>
              <w:rPr>
                <w:rFonts w:hint="eastAsia" w:ascii="宋体" w:hAnsi="宋体" w:eastAsia="宋体" w:cs="宋体"/>
                <w:color w:val="FF0000"/>
                <w:sz w:val="21"/>
                <w:szCs w:val="21"/>
                <w:highlight w:val="white"/>
              </w:rPr>
            </w:pPr>
            <w:r>
              <w:rPr>
                <w:rFonts w:hint="eastAsia" w:ascii="宋体" w:hAnsi="宋体" w:eastAsia="宋体" w:cs="宋体"/>
                <w:bCs/>
                <w:color w:val="auto"/>
                <w:sz w:val="21"/>
                <w:szCs w:val="21"/>
                <w:highlight w:val="none"/>
              </w:rPr>
              <w:t>应付月度服务费用=结合每月的《保安服务质量考核标准》（如有扣罚对应扣除费用再进行支付）。</w:t>
            </w:r>
          </w:p>
        </w:tc>
      </w:tr>
      <w:tr w14:paraId="4063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481CEDF5">
            <w:pPr>
              <w:pStyle w:val="47"/>
              <w:numPr>
                <w:ilvl w:val="0"/>
                <w:numId w:val="33"/>
              </w:numPr>
              <w:tabs>
                <w:tab w:val="left" w:pos="453"/>
              </w:tabs>
              <w:spacing w:line="360" w:lineRule="auto"/>
              <w:jc w:val="center"/>
              <w:rPr>
                <w:rFonts w:hint="eastAsia" w:ascii="宋体" w:hAnsi="宋体" w:eastAsia="宋体" w:cs="宋体"/>
                <w:b/>
                <w:color w:val="000000"/>
                <w:sz w:val="21"/>
                <w:szCs w:val="21"/>
              </w:rPr>
            </w:pPr>
          </w:p>
        </w:tc>
        <w:tc>
          <w:tcPr>
            <w:tcW w:w="866" w:type="pct"/>
            <w:tcBorders>
              <w:top w:val="single" w:color="auto" w:sz="4" w:space="0"/>
              <w:left w:val="single" w:color="auto" w:sz="4" w:space="0"/>
              <w:bottom w:val="single" w:color="auto" w:sz="4" w:space="0"/>
              <w:right w:val="single" w:color="auto" w:sz="4" w:space="0"/>
            </w:tcBorders>
            <w:noWrap w:val="0"/>
            <w:vAlign w:val="center"/>
          </w:tcPr>
          <w:p w14:paraId="1FEE9443">
            <w:pPr>
              <w:pStyle w:val="48"/>
              <w:spacing w:line="360" w:lineRule="auto"/>
              <w:jc w:val="center"/>
              <w:rPr>
                <w:rFonts w:hint="eastAsia" w:ascii="宋体" w:hAnsi="宋体" w:eastAsia="宋体" w:cs="宋体"/>
                <w:b/>
                <w:sz w:val="21"/>
                <w:szCs w:val="21"/>
              </w:rPr>
            </w:pPr>
            <w:r>
              <w:rPr>
                <w:rFonts w:hint="eastAsia" w:ascii="宋体" w:hAnsi="宋体" w:eastAsia="宋体" w:cs="宋体"/>
                <w:b/>
                <w:color w:val="000000"/>
                <w:sz w:val="21"/>
                <w:szCs w:val="21"/>
                <w:highlight w:val="white"/>
              </w:rPr>
              <w:t>付款要求</w:t>
            </w:r>
          </w:p>
        </w:tc>
        <w:tc>
          <w:tcPr>
            <w:tcW w:w="3730" w:type="pct"/>
            <w:tcBorders>
              <w:top w:val="single" w:color="auto" w:sz="4" w:space="0"/>
              <w:left w:val="single" w:color="auto" w:sz="4" w:space="0"/>
              <w:bottom w:val="single" w:color="auto" w:sz="4" w:space="0"/>
              <w:right w:val="single" w:color="auto" w:sz="4" w:space="0"/>
            </w:tcBorders>
            <w:noWrap w:val="0"/>
            <w:vAlign w:val="center"/>
          </w:tcPr>
          <w:p w14:paraId="0F4023BD">
            <w:pPr>
              <w:pStyle w:val="48"/>
              <w:keepNext w:val="0"/>
              <w:keepLines w:val="0"/>
              <w:pageBreakBefore w:val="0"/>
              <w:widowControl w:val="0"/>
              <w:numPr>
                <w:ilvl w:val="0"/>
                <w:numId w:val="39"/>
              </w:numPr>
              <w:kinsoku/>
              <w:wordWrap/>
              <w:overflowPunct/>
              <w:topLinePunct w:val="0"/>
              <w:autoSpaceDE/>
              <w:autoSpaceDN/>
              <w:bidi w:val="0"/>
              <w:snapToGrid/>
              <w:spacing w:line="288" w:lineRule="auto"/>
              <w:ind w:left="0" w:leftChars="0" w:firstLine="0" w:firstLineChars="0"/>
              <w:jc w:val="left"/>
              <w:textAlignment w:val="auto"/>
              <w:rPr>
                <w:rFonts w:hint="eastAsia" w:ascii="宋体" w:hAnsi="宋体" w:eastAsia="宋体" w:cs="宋体"/>
                <w:color w:val="000000"/>
                <w:sz w:val="21"/>
                <w:szCs w:val="21"/>
                <w:highlight w:val="white"/>
              </w:rPr>
            </w:pPr>
            <w:r>
              <w:rPr>
                <w:rFonts w:hint="eastAsia" w:ascii="宋体" w:hAnsi="宋体" w:eastAsia="宋体" w:cs="宋体"/>
                <w:color w:val="000000"/>
                <w:sz w:val="21"/>
                <w:szCs w:val="21"/>
                <w:highlight w:val="white"/>
              </w:rPr>
              <w:t>乙方凭以下有效文件与甲方结算</w:t>
            </w:r>
            <w:r>
              <w:rPr>
                <w:rFonts w:hint="eastAsia" w:ascii="宋体" w:hAnsi="宋体" w:eastAsia="宋体" w:cs="宋体"/>
                <w:color w:val="000000"/>
                <w:sz w:val="21"/>
                <w:szCs w:val="21"/>
                <w:highlight w:val="white"/>
                <w:lang w:eastAsia="zh-CN"/>
              </w:rPr>
              <w:t>：</w:t>
            </w:r>
          </w:p>
          <w:p w14:paraId="28086A7B">
            <w:pPr>
              <w:pStyle w:val="48"/>
              <w:keepNext w:val="0"/>
              <w:keepLines w:val="0"/>
              <w:pageBreakBefore w:val="0"/>
              <w:widowControl w:val="0"/>
              <w:numPr>
                <w:ilvl w:val="0"/>
                <w:numId w:val="40"/>
              </w:numPr>
              <w:kinsoku/>
              <w:wordWrap/>
              <w:overflowPunct/>
              <w:topLinePunct w:val="0"/>
              <w:autoSpaceDE/>
              <w:autoSpaceDN/>
              <w:bidi w:val="0"/>
              <w:snapToGrid/>
              <w:spacing w:line="288" w:lineRule="auto"/>
              <w:ind w:left="5" w:leftChars="0" w:hanging="5" w:firstLineChars="0"/>
              <w:jc w:val="left"/>
              <w:textAlignment w:val="auto"/>
              <w:rPr>
                <w:rFonts w:hint="eastAsia" w:ascii="宋体" w:hAnsi="宋体" w:eastAsia="宋体" w:cs="宋体"/>
                <w:color w:val="000000"/>
                <w:sz w:val="21"/>
                <w:szCs w:val="21"/>
                <w:highlight w:val="white"/>
              </w:rPr>
            </w:pPr>
            <w:r>
              <w:rPr>
                <w:rFonts w:hint="eastAsia" w:ascii="宋体" w:hAnsi="宋体" w:eastAsia="宋体" w:cs="宋体"/>
                <w:color w:val="000000"/>
                <w:sz w:val="21"/>
                <w:szCs w:val="21"/>
                <w:highlight w:val="white"/>
              </w:rPr>
              <w:t>合同；</w:t>
            </w:r>
          </w:p>
          <w:p w14:paraId="2A280455">
            <w:pPr>
              <w:pStyle w:val="48"/>
              <w:keepNext w:val="0"/>
              <w:keepLines w:val="0"/>
              <w:pageBreakBefore w:val="0"/>
              <w:widowControl w:val="0"/>
              <w:numPr>
                <w:ilvl w:val="0"/>
                <w:numId w:val="40"/>
              </w:numPr>
              <w:kinsoku/>
              <w:wordWrap/>
              <w:overflowPunct/>
              <w:topLinePunct w:val="0"/>
              <w:autoSpaceDE/>
              <w:autoSpaceDN/>
              <w:bidi w:val="0"/>
              <w:snapToGrid/>
              <w:spacing w:line="288" w:lineRule="auto"/>
              <w:ind w:left="5" w:leftChars="0" w:hanging="5" w:firstLineChars="0"/>
              <w:jc w:val="left"/>
              <w:textAlignment w:val="auto"/>
              <w:rPr>
                <w:rFonts w:hint="eastAsia" w:ascii="宋体" w:hAnsi="宋体" w:eastAsia="宋体" w:cs="宋体"/>
                <w:color w:val="000000"/>
                <w:sz w:val="21"/>
                <w:szCs w:val="21"/>
                <w:highlight w:val="white"/>
              </w:rPr>
            </w:pPr>
            <w:r>
              <w:rPr>
                <w:rFonts w:hint="eastAsia" w:ascii="宋体" w:hAnsi="宋体" w:eastAsia="宋体" w:cs="宋体"/>
                <w:color w:val="000000"/>
                <w:sz w:val="21"/>
                <w:szCs w:val="21"/>
                <w:highlight w:val="white"/>
              </w:rPr>
              <w:t>乙方开具的正式发票；</w:t>
            </w:r>
          </w:p>
          <w:p w14:paraId="0A070E1B">
            <w:pPr>
              <w:pStyle w:val="48"/>
              <w:keepNext w:val="0"/>
              <w:keepLines w:val="0"/>
              <w:pageBreakBefore w:val="0"/>
              <w:widowControl w:val="0"/>
              <w:numPr>
                <w:ilvl w:val="0"/>
                <w:numId w:val="40"/>
              </w:numPr>
              <w:kinsoku/>
              <w:wordWrap/>
              <w:overflowPunct/>
              <w:topLinePunct w:val="0"/>
              <w:autoSpaceDE/>
              <w:autoSpaceDN/>
              <w:bidi w:val="0"/>
              <w:snapToGrid/>
              <w:spacing w:line="288" w:lineRule="auto"/>
              <w:ind w:left="5" w:leftChars="0" w:hanging="5" w:firstLineChars="0"/>
              <w:jc w:val="left"/>
              <w:textAlignment w:val="auto"/>
              <w:rPr>
                <w:rFonts w:hint="eastAsia" w:ascii="宋体" w:hAnsi="宋体" w:eastAsia="宋体" w:cs="宋体"/>
                <w:color w:val="000000"/>
                <w:sz w:val="21"/>
                <w:szCs w:val="21"/>
                <w:highlight w:val="white"/>
              </w:rPr>
            </w:pPr>
            <w:r>
              <w:rPr>
                <w:rFonts w:hint="eastAsia" w:ascii="宋体" w:hAnsi="宋体" w:eastAsia="宋体" w:cs="宋体"/>
                <w:color w:val="000000"/>
                <w:sz w:val="21"/>
                <w:szCs w:val="21"/>
                <w:highlight w:val="white"/>
              </w:rPr>
              <w:t>付款申请书（加盖乙方公章）；</w:t>
            </w:r>
          </w:p>
          <w:p w14:paraId="0DF4B5A8">
            <w:pPr>
              <w:pStyle w:val="48"/>
              <w:keepNext w:val="0"/>
              <w:keepLines w:val="0"/>
              <w:pageBreakBefore w:val="0"/>
              <w:widowControl w:val="0"/>
              <w:numPr>
                <w:ilvl w:val="0"/>
                <w:numId w:val="40"/>
              </w:numPr>
              <w:kinsoku/>
              <w:wordWrap/>
              <w:overflowPunct/>
              <w:topLinePunct w:val="0"/>
              <w:autoSpaceDE/>
              <w:autoSpaceDN/>
              <w:bidi w:val="0"/>
              <w:snapToGrid/>
              <w:spacing w:line="288" w:lineRule="auto"/>
              <w:ind w:left="5" w:leftChars="0" w:hanging="5" w:firstLineChars="0"/>
              <w:jc w:val="left"/>
              <w:textAlignment w:val="auto"/>
              <w:rPr>
                <w:rFonts w:hint="eastAsia" w:ascii="宋体" w:hAnsi="宋体" w:eastAsia="宋体" w:cs="宋体"/>
                <w:color w:val="000000"/>
                <w:sz w:val="21"/>
                <w:szCs w:val="21"/>
                <w:highlight w:val="white"/>
              </w:rPr>
            </w:pPr>
            <w:r>
              <w:rPr>
                <w:rFonts w:hint="eastAsia" w:ascii="宋体" w:hAnsi="宋体" w:eastAsia="宋体" w:cs="宋体"/>
                <w:color w:val="000000"/>
                <w:sz w:val="21"/>
                <w:szCs w:val="21"/>
                <w:highlight w:val="white"/>
                <w:lang w:eastAsia="zh-CN"/>
              </w:rPr>
              <w:t>中标通知书</w:t>
            </w:r>
            <w:r>
              <w:rPr>
                <w:rFonts w:hint="eastAsia" w:ascii="宋体" w:hAnsi="宋体" w:eastAsia="宋体" w:cs="宋体"/>
                <w:color w:val="000000"/>
                <w:sz w:val="21"/>
                <w:szCs w:val="21"/>
                <w:highlight w:val="white"/>
              </w:rPr>
              <w:t>；</w:t>
            </w:r>
          </w:p>
          <w:p w14:paraId="0BB5793F">
            <w:pPr>
              <w:pStyle w:val="48"/>
              <w:keepNext w:val="0"/>
              <w:keepLines w:val="0"/>
              <w:pageBreakBefore w:val="0"/>
              <w:widowControl w:val="0"/>
              <w:numPr>
                <w:ilvl w:val="0"/>
                <w:numId w:val="40"/>
              </w:numPr>
              <w:kinsoku/>
              <w:wordWrap/>
              <w:overflowPunct/>
              <w:topLinePunct w:val="0"/>
              <w:autoSpaceDE/>
              <w:autoSpaceDN/>
              <w:bidi w:val="0"/>
              <w:snapToGrid/>
              <w:spacing w:line="288" w:lineRule="auto"/>
              <w:ind w:left="5" w:leftChars="0" w:hanging="5" w:firstLineChars="0"/>
              <w:jc w:val="left"/>
              <w:textAlignment w:val="auto"/>
              <w:rPr>
                <w:rFonts w:hint="eastAsia" w:ascii="宋体" w:hAnsi="宋体" w:eastAsia="宋体" w:cs="宋体"/>
                <w:sz w:val="21"/>
                <w:szCs w:val="21"/>
              </w:rPr>
            </w:pPr>
            <w:r>
              <w:rPr>
                <w:rFonts w:hint="eastAsia" w:ascii="宋体" w:hAnsi="宋体" w:eastAsia="宋体" w:cs="宋体"/>
                <w:color w:val="000000"/>
                <w:sz w:val="21"/>
                <w:szCs w:val="21"/>
                <w:highlight w:val="white"/>
              </w:rPr>
              <w:t>保安服务质量考核表。</w:t>
            </w:r>
          </w:p>
          <w:p w14:paraId="1D169F51">
            <w:pPr>
              <w:pStyle w:val="48"/>
              <w:keepNext w:val="0"/>
              <w:keepLines w:val="0"/>
              <w:pageBreakBefore w:val="0"/>
              <w:widowControl w:val="0"/>
              <w:numPr>
                <w:ilvl w:val="0"/>
                <w:numId w:val="39"/>
              </w:numPr>
              <w:kinsoku/>
              <w:wordWrap/>
              <w:overflowPunct/>
              <w:topLinePunct w:val="0"/>
              <w:autoSpaceDE/>
              <w:autoSpaceDN/>
              <w:bidi w:val="0"/>
              <w:snapToGrid/>
              <w:spacing w:line="288"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highlight w:val="none"/>
                <w:lang w:val="zh-CN"/>
              </w:rPr>
              <w:t>收款方、出具发票方、合同乙方均必须与</w:t>
            </w:r>
            <w:r>
              <w:rPr>
                <w:rFonts w:hint="eastAsia" w:ascii="宋体" w:hAnsi="宋体" w:eastAsia="宋体" w:cs="宋体"/>
                <w:bCs/>
                <w:color w:val="auto"/>
                <w:highlight w:val="none"/>
                <w:lang w:val="en-US" w:eastAsia="zh-CN"/>
              </w:rPr>
              <w:t>中标人</w:t>
            </w:r>
            <w:r>
              <w:rPr>
                <w:rFonts w:hint="eastAsia" w:ascii="宋体" w:hAnsi="宋体" w:eastAsia="宋体" w:cs="宋体"/>
                <w:bCs/>
                <w:color w:val="auto"/>
                <w:highlight w:val="none"/>
                <w:lang w:val="zh-CN"/>
              </w:rPr>
              <w:t>名称一致。</w:t>
            </w:r>
          </w:p>
        </w:tc>
      </w:tr>
    </w:tbl>
    <w:p w14:paraId="22035CEA">
      <w:pPr>
        <w:pStyle w:val="47"/>
        <w:numPr>
          <w:ilvl w:val="0"/>
          <w:numId w:val="0"/>
        </w:numPr>
        <w:spacing w:line="360" w:lineRule="auto"/>
        <w:rPr>
          <w:rFonts w:hint="eastAsia" w:ascii="宋体" w:hAnsi="宋体" w:eastAsia="宋体" w:cs="宋体"/>
          <w:b/>
          <w:bCs/>
          <w:color w:val="000000"/>
          <w:sz w:val="21"/>
          <w:szCs w:val="21"/>
          <w:highlight w:val="white"/>
        </w:rPr>
      </w:pP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三</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highlight w:val="white"/>
        </w:rPr>
        <w:t>安保服务要求</w:t>
      </w:r>
    </w:p>
    <w:p w14:paraId="078CC49D">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rPr>
        <w:t>负责服务项目范围内的入口驻点管理、馆内驻点管理、治安巡护、巡逻、 防火、防爆、治安事故等安全防范工作，24小时值岗，在指定位置、指定地段站岗和巡逻，发生突发异常事件，应积极配合做好应急措施并妥善处理，为安全防范提供咨询服务，积极协助当地公安机关开展相关工作，并做好值班管理和日常台账记录整理等。做好值班管理和日常台账记录整理等。</w:t>
      </w:r>
    </w:p>
    <w:p w14:paraId="00DEE189">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负责协调安保、停车场全面管理工作。</w:t>
      </w:r>
    </w:p>
    <w:p w14:paraId="5271E975">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安排保安人员日常工作与管理，协助甲方统筹处理日常安全事务，解决突发事件处置等工作。</w:t>
      </w:r>
    </w:p>
    <w:p w14:paraId="22675ED1">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负责协助消防管理和防火巡查工作。</w:t>
      </w:r>
    </w:p>
    <w:p w14:paraId="41464EED">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处理日常消防问题和隐患。</w:t>
      </w:r>
    </w:p>
    <w:p w14:paraId="2C66749A">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负责班组的考勤与培训以及日常管理工作。</w:t>
      </w:r>
    </w:p>
    <w:p w14:paraId="6D3EB0FA">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处理当班发生各类事件。</w:t>
      </w:r>
    </w:p>
    <w:p w14:paraId="4211E90B">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对盗窃等违法行为进行制止并协助公安机关抓获嫌疑人；对乱发广告人员、推销人员等闲杂人员进行管理。</w:t>
      </w:r>
    </w:p>
    <w:p w14:paraId="75DCE3B0">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保障秩序，发现不安全因素，及时有效地处理。人多拥挤时及时尽提醒义务。</w:t>
      </w:r>
    </w:p>
    <w:p w14:paraId="54E26D8E">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及时开关公共区域的灯光、空调等。</w:t>
      </w:r>
    </w:p>
    <w:p w14:paraId="19E06395">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发现公共设施损坏及时向甲方相关部门报修。</w:t>
      </w:r>
    </w:p>
    <w:p w14:paraId="60DF2A98">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做好公共区域管理，发现不文明行为应及时制止。</w:t>
      </w:r>
    </w:p>
    <w:p w14:paraId="4F546ABE">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协助甲方处理应急、突发事件；24小时全天候随叫随到。</w:t>
      </w:r>
    </w:p>
    <w:p w14:paraId="2B381019">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负责交通疏导。</w:t>
      </w:r>
    </w:p>
    <w:p w14:paraId="64BBB2E5">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完成其他后勤服务有关的突击性工作。</w:t>
      </w:r>
    </w:p>
    <w:p w14:paraId="4BBB2241">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负责</w:t>
      </w:r>
      <w:r>
        <w:rPr>
          <w:rFonts w:hint="eastAsia" w:ascii="宋体" w:hAnsi="宋体" w:cs="宋体"/>
          <w:color w:val="auto"/>
          <w:lang w:val="en-US" w:eastAsia="zh-CN"/>
        </w:rPr>
        <w:t>门岗</w:t>
      </w:r>
      <w:r>
        <w:rPr>
          <w:rFonts w:hint="eastAsia" w:ascii="宋体" w:hAnsi="宋体" w:eastAsia="宋体" w:cs="宋体"/>
          <w:color w:val="auto"/>
          <w:lang w:val="en-US" w:eastAsia="zh-CN"/>
        </w:rPr>
        <w:t>及电梯秩序的管理和应急处突，监督出入</w:t>
      </w:r>
      <w:r>
        <w:rPr>
          <w:rFonts w:hint="eastAsia" w:ascii="宋体" w:hAnsi="宋体" w:cs="宋体"/>
          <w:color w:val="auto"/>
          <w:lang w:val="en-US" w:eastAsia="zh-CN"/>
        </w:rPr>
        <w:t>门岗</w:t>
      </w:r>
      <w:r>
        <w:rPr>
          <w:rFonts w:hint="eastAsia" w:ascii="宋体" w:hAnsi="宋体" w:eastAsia="宋体" w:cs="宋体"/>
          <w:color w:val="auto"/>
          <w:lang w:val="en-US" w:eastAsia="zh-CN"/>
        </w:rPr>
        <w:t>的人员及物品，中班、晚班人员协助巡视外围情况。</w:t>
      </w:r>
    </w:p>
    <w:p w14:paraId="3EDA1DB8">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对出入人员进行严格的登记手续，做好物品（尤其是大件物品）的检查放行工作。</w:t>
      </w:r>
    </w:p>
    <w:p w14:paraId="1D3E623A">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sz w:val="21"/>
        </w:rPr>
        <w:t>视频监控室实行24小时值班，</w:t>
      </w:r>
      <w:r>
        <w:rPr>
          <w:rFonts w:hint="eastAsia" w:ascii="宋体" w:hAnsi="宋体" w:eastAsia="宋体" w:cs="宋体"/>
          <w:color w:val="auto"/>
          <w:sz w:val="21"/>
          <w:lang w:val="en-US" w:eastAsia="zh-CN"/>
        </w:rPr>
        <w:t>应</w:t>
      </w:r>
      <w:r>
        <w:rPr>
          <w:rFonts w:hint="eastAsia" w:ascii="宋体" w:hAnsi="宋体" w:eastAsia="宋体" w:cs="宋体"/>
          <w:color w:val="auto"/>
          <w:lang w:val="en-US" w:eastAsia="zh-CN"/>
        </w:rPr>
        <w:t>有详细的值班记录，并</w:t>
      </w:r>
      <w:r>
        <w:rPr>
          <w:rFonts w:hint="eastAsia" w:ascii="宋体" w:hAnsi="宋体" w:eastAsia="宋体" w:cs="宋体"/>
          <w:color w:val="auto"/>
          <w:sz w:val="21"/>
        </w:rPr>
        <w:t>与公安部门联动，服从当地公安部门有关规定与要求。</w:t>
      </w:r>
    </w:p>
    <w:p w14:paraId="52EF8C78">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认真监控安防摄像系统及消防设备，发现盗窃、治安及消防迹象，指挥巡逻保安员及时到达现场处理事件。</w:t>
      </w:r>
    </w:p>
    <w:p w14:paraId="6A87C2D3">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协助甲方监督消防维保单位的工作，确保消防设施、设备的正常运作。</w:t>
      </w:r>
    </w:p>
    <w:p w14:paraId="0C770695">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按甲方要求，做好消防每日巡查、月度检查、季度考核及节假日消防安全检查工作以及相关表格记录。发现问题及时发出隐患整改通知并报告甲方管理部门。</w:t>
      </w:r>
    </w:p>
    <w:p w14:paraId="3CC807E2">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制订可行的消防安全应急处理预案，并组织消防灭火演练。接到消防中心报警，保安员应在3分钟内到达烟感警报警点核实情况，如属火警迅速组织扑救和疏散。</w:t>
      </w:r>
    </w:p>
    <w:p w14:paraId="740B017B">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每季度对甲方各部门人员进行消防知识培训。</w:t>
      </w:r>
    </w:p>
    <w:p w14:paraId="0C42119F">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负责日常及特殊情况的秩序维护。</w:t>
      </w:r>
    </w:p>
    <w:p w14:paraId="6A1B3A3A">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完成甲方突发、维稳等特殊任务。</w:t>
      </w:r>
    </w:p>
    <w:p w14:paraId="6C77E6E3">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24小时安全巡逻、夜间消防巡查。</w:t>
      </w:r>
    </w:p>
    <w:p w14:paraId="4E757CCD">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室内岗位临时顶换岗、就餐顶换岗、替休顶换岗。</w:t>
      </w:r>
    </w:p>
    <w:p w14:paraId="7ED44433">
      <w:pPr>
        <w:keepNext w:val="0"/>
        <w:keepLines w:val="0"/>
        <w:pageBreakBefore w:val="0"/>
        <w:widowControl w:val="0"/>
        <w:numPr>
          <w:ilvl w:val="0"/>
          <w:numId w:val="41"/>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协助甲方临时性物品搬运工作。</w:t>
      </w:r>
    </w:p>
    <w:p w14:paraId="515C92A3">
      <w:pPr>
        <w:numPr>
          <w:ilvl w:val="0"/>
          <w:numId w:val="41"/>
        </w:numPr>
        <w:tabs>
          <w:tab w:val="left" w:pos="540"/>
        </w:tabs>
        <w:adjustRightInd w:val="0"/>
        <w:spacing w:line="324" w:lineRule="auto"/>
        <w:ind w:left="0" w:firstLine="420"/>
        <w:rPr>
          <w:rFonts w:hint="eastAsia" w:ascii="宋体" w:hAnsi="宋体" w:eastAsia="宋体" w:cs="宋体"/>
          <w:b/>
          <w:bCs/>
          <w:color w:val="000000"/>
          <w:sz w:val="21"/>
          <w:szCs w:val="21"/>
          <w:highlight w:val="white"/>
        </w:rPr>
      </w:pPr>
      <w:r>
        <w:rPr>
          <w:rFonts w:hint="eastAsia" w:ascii="宋体" w:hAnsi="宋体" w:eastAsia="宋体" w:cs="宋体"/>
          <w:color w:val="auto"/>
          <w:lang w:val="en-US" w:eastAsia="zh-CN"/>
        </w:rPr>
        <w:t>应具备与本项目相关的信息化管理系统。</w:t>
      </w:r>
    </w:p>
    <w:p w14:paraId="237C90DF">
      <w:pPr>
        <w:pStyle w:val="47"/>
        <w:numPr>
          <w:ilvl w:val="0"/>
          <w:numId w:val="0"/>
        </w:numPr>
        <w:spacing w:line="360" w:lineRule="auto"/>
        <w:rPr>
          <w:rFonts w:hint="eastAsia" w:ascii="宋体" w:hAnsi="宋体" w:eastAsia="宋体" w:cs="宋体"/>
          <w:b/>
          <w:bCs/>
          <w:color w:val="000000"/>
          <w:sz w:val="21"/>
          <w:szCs w:val="21"/>
          <w:highlight w:val="white"/>
        </w:rPr>
      </w:pP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四</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highlight w:val="white"/>
        </w:rPr>
        <w:t>服务要求</w:t>
      </w:r>
    </w:p>
    <w:p w14:paraId="6EDF85B5">
      <w:pPr>
        <w:keepNext w:val="0"/>
        <w:keepLines w:val="0"/>
        <w:pageBreakBefore w:val="0"/>
        <w:widowControl w:val="0"/>
        <w:numPr>
          <w:ilvl w:val="0"/>
          <w:numId w:val="42"/>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服务项目需求</w:t>
      </w:r>
      <w:r>
        <w:rPr>
          <w:rFonts w:hint="eastAsia" w:ascii="宋体" w:hAnsi="宋体" w:eastAsia="宋体" w:cs="宋体"/>
          <w:color w:val="auto"/>
          <w:sz w:val="21"/>
          <w:szCs w:val="21"/>
          <w:highlight w:val="none"/>
          <w:lang w:eastAsia="zh-CN"/>
        </w:rPr>
        <w:t>：</w:t>
      </w:r>
    </w:p>
    <w:p w14:paraId="28FED930">
      <w:pPr>
        <w:pStyle w:val="38"/>
        <w:keepNext w:val="0"/>
        <w:keepLines w:val="0"/>
        <w:pageBreakBefore w:val="0"/>
        <w:numPr>
          <w:ilvl w:val="0"/>
          <w:numId w:val="43"/>
        </w:numPr>
        <w:kinsoku/>
        <w:wordWrap/>
        <w:overflowPunct/>
        <w:topLinePunct w:val="0"/>
        <w:autoSpaceDE/>
        <w:autoSpaceDN/>
        <w:bidi w:val="0"/>
        <w:snapToGrid/>
        <w:spacing w:line="324"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三水文化中心安保巡护服务：设固定岗位8个，</w:t>
      </w:r>
      <w:r>
        <w:rPr>
          <w:rFonts w:hint="eastAsia" w:ascii="宋体" w:hAnsi="宋体" w:cs="宋体"/>
          <w:color w:val="auto"/>
          <w:sz w:val="21"/>
          <w:szCs w:val="21"/>
          <w:highlight w:val="none"/>
          <w:lang w:val="en-US" w:eastAsia="zh-CN"/>
        </w:rPr>
        <w:t>每个固定岗位</w:t>
      </w:r>
      <w:r>
        <w:rPr>
          <w:rFonts w:hint="eastAsia" w:ascii="宋体" w:hAnsi="宋体" w:eastAsia="宋体" w:cs="宋体"/>
          <w:color w:val="auto"/>
          <w:sz w:val="21"/>
          <w:szCs w:val="21"/>
          <w:highlight w:val="none"/>
          <w:lang w:val="en-US" w:eastAsia="zh-CN"/>
        </w:rPr>
        <w:t>须24小时连续值守。服务范围包括入口驻点、场馆内驻点、全区域治安巡护、车场巡逻、值班管理，以及来访车辆与人员台账的建立、更新与整理。</w:t>
      </w:r>
    </w:p>
    <w:p w14:paraId="4B6F7E8F">
      <w:pPr>
        <w:pStyle w:val="38"/>
        <w:keepNext w:val="0"/>
        <w:keepLines w:val="0"/>
        <w:pageBreakBefore w:val="0"/>
        <w:numPr>
          <w:ilvl w:val="0"/>
          <w:numId w:val="43"/>
        </w:numPr>
        <w:kinsoku/>
        <w:wordWrap/>
        <w:overflowPunct/>
        <w:topLinePunct w:val="0"/>
        <w:autoSpaceDE/>
        <w:autoSpaceDN/>
        <w:bidi w:val="0"/>
        <w:snapToGrid/>
        <w:spacing w:line="324"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广东云东海湿地公园安保巡护服务：设固定岗位4个，</w:t>
      </w:r>
      <w:r>
        <w:rPr>
          <w:rFonts w:hint="eastAsia" w:ascii="宋体" w:hAnsi="宋体" w:cs="宋体"/>
          <w:color w:val="auto"/>
          <w:sz w:val="21"/>
          <w:szCs w:val="21"/>
          <w:highlight w:val="none"/>
          <w:lang w:val="en-US" w:eastAsia="zh-CN"/>
        </w:rPr>
        <w:t>每个固定岗位</w:t>
      </w:r>
      <w:r>
        <w:rPr>
          <w:rFonts w:hint="eastAsia" w:ascii="宋体" w:hAnsi="宋体" w:eastAsia="宋体" w:cs="宋体"/>
          <w:color w:val="auto"/>
          <w:sz w:val="21"/>
          <w:szCs w:val="21"/>
          <w:highlight w:val="none"/>
          <w:lang w:val="en-US" w:eastAsia="zh-CN"/>
        </w:rPr>
        <w:t>须24小时连续值守。服务范围包括全区域治安巡护、值班管理、车场巡护管理及来访车辆与人员台账的建立、更新与整理。</w:t>
      </w:r>
    </w:p>
    <w:p w14:paraId="7C91BF7C">
      <w:pPr>
        <w:pStyle w:val="38"/>
        <w:keepNext w:val="0"/>
        <w:keepLines w:val="0"/>
        <w:pageBreakBefore w:val="0"/>
        <w:numPr>
          <w:ilvl w:val="0"/>
          <w:numId w:val="43"/>
        </w:numPr>
        <w:kinsoku/>
        <w:wordWrap/>
        <w:overflowPunct/>
        <w:topLinePunct w:val="0"/>
        <w:autoSpaceDE/>
        <w:autoSpaceDN/>
        <w:bidi w:val="0"/>
        <w:snapToGrid/>
        <w:spacing w:line="324" w:lineRule="auto"/>
        <w:ind w:left="0" w:leftChars="0" w:firstLine="42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临时增员因甲方临时保障或专项任务需要，可在上述基础上追加人员，追加上限8人，工时8小时/班，月休4天。</w:t>
      </w:r>
    </w:p>
    <w:p w14:paraId="578B9CB1">
      <w:pPr>
        <w:keepNext w:val="0"/>
        <w:keepLines w:val="0"/>
        <w:pageBreakBefore w:val="0"/>
        <w:widowControl w:val="0"/>
        <w:numPr>
          <w:ilvl w:val="0"/>
          <w:numId w:val="42"/>
        </w:numPr>
        <w:tabs>
          <w:tab w:val="left" w:pos="540"/>
        </w:tabs>
        <w:kinsoku/>
        <w:wordWrap/>
        <w:overflowPunct/>
        <w:topLinePunct w:val="0"/>
        <w:autoSpaceDE/>
        <w:autoSpaceDN/>
        <w:bidi w:val="0"/>
        <w:adjustRightInd w:val="0"/>
        <w:snapToGrid/>
        <w:spacing w:line="324" w:lineRule="auto"/>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人员要求</w:t>
      </w:r>
    </w:p>
    <w:p w14:paraId="348F2C32">
      <w:pPr>
        <w:keepNext w:val="0"/>
        <w:keepLines w:val="0"/>
        <w:pageBreakBefore w:val="0"/>
        <w:widowControl w:val="0"/>
        <w:numPr>
          <w:ilvl w:val="0"/>
          <w:numId w:val="44"/>
        </w:numPr>
        <w:tabs>
          <w:tab w:val="left" w:pos="0"/>
        </w:tabs>
        <w:kinsoku/>
        <w:wordWrap/>
        <w:overflowPunct/>
        <w:topLinePunct w:val="0"/>
        <w:autoSpaceDE/>
        <w:autoSpaceDN/>
        <w:bidi w:val="0"/>
        <w:adjustRightInd w:val="0"/>
        <w:snapToGrid/>
        <w:spacing w:line="324" w:lineRule="auto"/>
        <w:ind w:left="5" w:leftChars="0" w:firstLine="415"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拟派专项服务队伍人员均须具有由公安机关颁发的保安员证。</w:t>
      </w:r>
    </w:p>
    <w:p w14:paraId="1843AC30">
      <w:pPr>
        <w:keepNext w:val="0"/>
        <w:keepLines w:val="0"/>
        <w:pageBreakBefore w:val="0"/>
        <w:widowControl w:val="0"/>
        <w:numPr>
          <w:ilvl w:val="0"/>
          <w:numId w:val="44"/>
        </w:numPr>
        <w:tabs>
          <w:tab w:val="left" w:pos="0"/>
        </w:tabs>
        <w:kinsoku/>
        <w:wordWrap/>
        <w:overflowPunct/>
        <w:topLinePunct w:val="0"/>
        <w:autoSpaceDE/>
        <w:autoSpaceDN/>
        <w:bidi w:val="0"/>
        <w:adjustRightInd w:val="0"/>
        <w:snapToGrid/>
        <w:spacing w:line="324" w:lineRule="auto"/>
        <w:ind w:left="5" w:leftChars="0" w:firstLine="415"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拟派专项服务队伍须具有高级保安管理师(国家资格)、高级安全技术管理师、高级建(构)筑物消防员证书的人员为本项目提供管理服务，并提供相应的现场服务。</w:t>
      </w:r>
    </w:p>
    <w:p w14:paraId="1BFB04FF">
      <w:pPr>
        <w:keepNext w:val="0"/>
        <w:keepLines w:val="0"/>
        <w:pageBreakBefore w:val="0"/>
        <w:widowControl w:val="0"/>
        <w:numPr>
          <w:ilvl w:val="0"/>
          <w:numId w:val="44"/>
        </w:numPr>
        <w:tabs>
          <w:tab w:val="left" w:pos="0"/>
        </w:tabs>
        <w:kinsoku/>
        <w:wordWrap/>
        <w:overflowPunct/>
        <w:topLinePunct w:val="0"/>
        <w:autoSpaceDE/>
        <w:autoSpaceDN/>
        <w:bidi w:val="0"/>
        <w:adjustRightInd w:val="0"/>
        <w:snapToGrid/>
        <w:spacing w:line="324" w:lineRule="auto"/>
        <w:ind w:left="5" w:leftChars="0" w:firstLine="415" w:firstLineChars="0"/>
        <w:textAlignment w:val="auto"/>
        <w:rPr>
          <w:rFonts w:hint="eastAsia" w:ascii="宋体" w:hAnsi="宋体" w:eastAsia="宋体" w:cs="宋体"/>
          <w:color w:val="auto"/>
          <w:lang w:val="en-US" w:eastAsia="zh-CN"/>
        </w:rPr>
      </w:pPr>
      <w:r>
        <w:rPr>
          <w:rFonts w:hint="eastAsia" w:hAnsi="宋体" w:cs="宋体"/>
          <w:color w:val="auto"/>
        </w:rPr>
        <w:t>乙方应向甲方提供</w:t>
      </w:r>
      <w:r>
        <w:rPr>
          <w:rFonts w:hint="eastAsia" w:hAnsi="宋体" w:cs="宋体"/>
          <w:color w:val="auto"/>
          <w:lang w:eastAsia="zh-CN"/>
        </w:rPr>
        <w:t>服务人员</w:t>
      </w:r>
      <w:r>
        <w:rPr>
          <w:rFonts w:hint="eastAsia" w:hAnsi="宋体" w:cs="宋体"/>
          <w:color w:val="auto"/>
        </w:rPr>
        <w:t>的身份证件、</w:t>
      </w:r>
      <w:r>
        <w:rPr>
          <w:rFonts w:hint="eastAsia" w:ascii="宋体" w:hAnsi="宋体" w:eastAsia="宋体" w:cs="宋体"/>
          <w:color w:val="auto"/>
          <w:highlight w:val="none"/>
          <w:lang w:val="en-US" w:eastAsia="zh-CN"/>
        </w:rPr>
        <w:t>保安员证</w:t>
      </w:r>
      <w:r>
        <w:rPr>
          <w:rFonts w:hint="eastAsia" w:ascii="宋体" w:hAnsi="宋体" w:cs="宋体"/>
          <w:color w:val="auto"/>
          <w:highlight w:val="none"/>
          <w:lang w:val="en-US" w:eastAsia="zh-CN"/>
        </w:rPr>
        <w:t>、</w:t>
      </w:r>
      <w:r>
        <w:rPr>
          <w:rFonts w:hint="eastAsia" w:hAnsi="宋体" w:cs="宋体"/>
          <w:color w:val="auto"/>
        </w:rPr>
        <w:t>健康证明材料</w:t>
      </w:r>
      <w:r>
        <w:rPr>
          <w:rFonts w:hint="eastAsia" w:hAnsi="宋体" w:cs="宋体"/>
          <w:color w:val="auto"/>
          <w:lang w:eastAsia="zh-CN"/>
        </w:rPr>
        <w:t>等相关资料供甲方备案（该备案仅为程序性备案，不减免乙方对人员的管理责任、不减免乙方对人员信息真实性的核查责任）；</w:t>
      </w:r>
      <w:r>
        <w:rPr>
          <w:rFonts w:hint="eastAsia" w:hAnsi="宋体" w:cs="宋体"/>
          <w:color w:val="auto"/>
          <w:lang w:val="en-US" w:eastAsia="zh-CN"/>
        </w:rPr>
        <w:t>甲方</w:t>
      </w:r>
      <w:r>
        <w:rPr>
          <w:rFonts w:hint="eastAsia" w:ascii="宋体" w:hAnsi="宋体" w:eastAsia="宋体" w:cs="宋体"/>
          <w:color w:val="auto"/>
          <w:lang w:val="en-US" w:eastAsia="zh-CN"/>
        </w:rPr>
        <w:t>有权对拟派的保安员进行岗前培训，对不符合要求的人员，</w:t>
      </w:r>
      <w:r>
        <w:rPr>
          <w:rFonts w:hint="eastAsia" w:hAnsi="宋体" w:cs="宋体"/>
          <w:color w:val="auto"/>
          <w:lang w:val="en-US" w:eastAsia="zh-CN"/>
        </w:rPr>
        <w:t>甲方</w:t>
      </w:r>
      <w:r>
        <w:rPr>
          <w:rFonts w:hint="eastAsia" w:ascii="宋体" w:hAnsi="宋体" w:eastAsia="宋体" w:cs="宋体"/>
          <w:color w:val="auto"/>
          <w:lang w:val="en-US" w:eastAsia="zh-CN"/>
        </w:rPr>
        <w:t>有权提出撤换。</w:t>
      </w:r>
      <w:r>
        <w:rPr>
          <w:color w:val="auto"/>
          <w:sz w:val="21"/>
        </w:rPr>
        <w:t>在</w:t>
      </w:r>
      <w:r>
        <w:rPr>
          <w:rFonts w:hint="eastAsia"/>
          <w:color w:val="auto"/>
          <w:sz w:val="21"/>
          <w:lang w:val="en-US" w:eastAsia="zh-CN"/>
        </w:rPr>
        <w:t>服务</w:t>
      </w:r>
      <w:r>
        <w:rPr>
          <w:color w:val="auto"/>
          <w:sz w:val="21"/>
        </w:rPr>
        <w:t>期间，</w:t>
      </w:r>
      <w:r>
        <w:rPr>
          <w:rFonts w:hint="eastAsia"/>
          <w:color w:val="auto"/>
          <w:sz w:val="21"/>
          <w:lang w:eastAsia="zh-CN"/>
        </w:rPr>
        <w:t>乙方</w:t>
      </w:r>
      <w:r>
        <w:rPr>
          <w:color w:val="auto"/>
          <w:sz w:val="21"/>
        </w:rPr>
        <w:t>不得随意调换</w:t>
      </w:r>
      <w:r>
        <w:rPr>
          <w:rFonts w:hint="eastAsia"/>
          <w:color w:val="auto"/>
          <w:sz w:val="21"/>
          <w:lang w:val="en-US" w:eastAsia="zh-CN"/>
        </w:rPr>
        <w:t>在岗服务人员</w:t>
      </w:r>
      <w:r>
        <w:rPr>
          <w:color w:val="auto"/>
          <w:sz w:val="21"/>
        </w:rPr>
        <w:t>，如</w:t>
      </w:r>
      <w:r>
        <w:rPr>
          <w:rFonts w:hint="eastAsia"/>
          <w:color w:val="auto"/>
          <w:sz w:val="21"/>
          <w:lang w:val="en-US" w:eastAsia="zh-CN"/>
        </w:rPr>
        <w:t>需进行</w:t>
      </w:r>
      <w:r>
        <w:rPr>
          <w:color w:val="auto"/>
          <w:sz w:val="21"/>
        </w:rPr>
        <w:t>调换时，</w:t>
      </w:r>
      <w:r>
        <w:rPr>
          <w:rFonts w:hint="eastAsia"/>
          <w:color w:val="auto"/>
          <w:sz w:val="21"/>
          <w:lang w:val="en-US" w:eastAsia="zh-CN"/>
        </w:rPr>
        <w:t>应</w:t>
      </w:r>
      <w:r>
        <w:rPr>
          <w:color w:val="auto"/>
          <w:sz w:val="21"/>
        </w:rPr>
        <w:t>事先与</w:t>
      </w:r>
      <w:r>
        <w:rPr>
          <w:rFonts w:hint="eastAsia"/>
          <w:color w:val="auto"/>
          <w:sz w:val="21"/>
          <w:lang w:eastAsia="zh-CN"/>
        </w:rPr>
        <w:t>甲方</w:t>
      </w:r>
      <w:r>
        <w:rPr>
          <w:color w:val="auto"/>
          <w:sz w:val="21"/>
        </w:rPr>
        <w:t>沟通，经</w:t>
      </w:r>
      <w:r>
        <w:rPr>
          <w:rFonts w:hint="eastAsia"/>
          <w:color w:val="auto"/>
          <w:sz w:val="21"/>
          <w:lang w:eastAsia="zh-CN"/>
        </w:rPr>
        <w:t>甲方</w:t>
      </w:r>
      <w:r>
        <w:rPr>
          <w:color w:val="auto"/>
          <w:sz w:val="21"/>
        </w:rPr>
        <w:t>同意后方可更换。如</w:t>
      </w:r>
      <w:r>
        <w:rPr>
          <w:rFonts w:hint="eastAsia"/>
          <w:color w:val="auto"/>
          <w:sz w:val="21"/>
          <w:lang w:eastAsia="zh-CN"/>
        </w:rPr>
        <w:t>乙方</w:t>
      </w:r>
      <w:r>
        <w:rPr>
          <w:rFonts w:hint="eastAsia"/>
          <w:color w:val="auto"/>
          <w:sz w:val="21"/>
          <w:lang w:val="en-US" w:eastAsia="zh-CN"/>
        </w:rPr>
        <w:t>在岗服务</w:t>
      </w:r>
      <w:r>
        <w:rPr>
          <w:color w:val="auto"/>
          <w:sz w:val="21"/>
        </w:rPr>
        <w:t>人员因病或因事请假的，</w:t>
      </w:r>
      <w:r>
        <w:rPr>
          <w:rFonts w:hint="eastAsia"/>
          <w:color w:val="auto"/>
          <w:sz w:val="21"/>
          <w:lang w:eastAsia="zh-CN"/>
        </w:rPr>
        <w:t>乙方</w:t>
      </w:r>
      <w:r>
        <w:rPr>
          <w:color w:val="auto"/>
          <w:sz w:val="21"/>
        </w:rPr>
        <w:t>应安排替补</w:t>
      </w:r>
      <w:r>
        <w:rPr>
          <w:rFonts w:hint="eastAsia"/>
          <w:color w:val="auto"/>
          <w:sz w:val="21"/>
          <w:lang w:eastAsia="zh-CN"/>
        </w:rPr>
        <w:t>符合资质要求的</w:t>
      </w:r>
      <w:r>
        <w:rPr>
          <w:color w:val="auto"/>
          <w:sz w:val="21"/>
        </w:rPr>
        <w:t>人员到岗，</w:t>
      </w:r>
      <w:r>
        <w:rPr>
          <w:rFonts w:hint="eastAsia"/>
          <w:color w:val="auto"/>
          <w:sz w:val="21"/>
          <w:lang w:eastAsia="zh-CN"/>
        </w:rPr>
        <w:t>保证本合同约定的固定岗位数量，</w:t>
      </w:r>
      <w:r>
        <w:rPr>
          <w:color w:val="auto"/>
          <w:sz w:val="21"/>
        </w:rPr>
        <w:t>不得影响</w:t>
      </w:r>
      <w:r>
        <w:rPr>
          <w:rFonts w:hint="eastAsia"/>
          <w:color w:val="auto"/>
          <w:sz w:val="21"/>
          <w:lang w:eastAsia="zh-CN"/>
        </w:rPr>
        <w:t>甲方</w:t>
      </w:r>
      <w:r>
        <w:rPr>
          <w:color w:val="auto"/>
          <w:sz w:val="21"/>
        </w:rPr>
        <w:t>的工作</w:t>
      </w:r>
      <w:r>
        <w:rPr>
          <w:rFonts w:hint="eastAsia"/>
          <w:color w:val="auto"/>
          <w:sz w:val="21"/>
          <w:lang w:eastAsia="zh-CN"/>
        </w:rPr>
        <w:t>。</w:t>
      </w:r>
    </w:p>
    <w:p w14:paraId="5C25BDC5">
      <w:pPr>
        <w:keepNext w:val="0"/>
        <w:keepLines w:val="0"/>
        <w:pageBreakBefore w:val="0"/>
        <w:widowControl w:val="0"/>
        <w:numPr>
          <w:ilvl w:val="0"/>
          <w:numId w:val="44"/>
        </w:numPr>
        <w:tabs>
          <w:tab w:val="left" w:pos="0"/>
        </w:tabs>
        <w:kinsoku/>
        <w:wordWrap/>
        <w:overflowPunct/>
        <w:topLinePunct w:val="0"/>
        <w:autoSpaceDE/>
        <w:autoSpaceDN/>
        <w:bidi w:val="0"/>
        <w:adjustRightInd w:val="0"/>
        <w:snapToGrid/>
        <w:spacing w:line="324" w:lineRule="auto"/>
        <w:ind w:left="5" w:leftChars="0" w:firstLine="415"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男女不限（女性年龄18-50岁，男性年龄为18-55岁），初中及以上文化水平。</w:t>
      </w:r>
    </w:p>
    <w:p w14:paraId="23BEAB2E">
      <w:pPr>
        <w:keepNext w:val="0"/>
        <w:keepLines w:val="0"/>
        <w:pageBreakBefore w:val="0"/>
        <w:widowControl w:val="0"/>
        <w:numPr>
          <w:ilvl w:val="0"/>
          <w:numId w:val="44"/>
        </w:numPr>
        <w:tabs>
          <w:tab w:val="left" w:pos="0"/>
        </w:tabs>
        <w:kinsoku/>
        <w:wordWrap/>
        <w:overflowPunct/>
        <w:topLinePunct w:val="0"/>
        <w:autoSpaceDE/>
        <w:autoSpaceDN/>
        <w:bidi w:val="0"/>
        <w:adjustRightInd w:val="0"/>
        <w:snapToGrid/>
        <w:spacing w:line="324" w:lineRule="auto"/>
        <w:ind w:left="5" w:leftChars="0" w:firstLine="415"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身体健康，无传染病及精神病史。</w:t>
      </w:r>
    </w:p>
    <w:p w14:paraId="5BC59AAA">
      <w:pPr>
        <w:keepNext w:val="0"/>
        <w:keepLines w:val="0"/>
        <w:pageBreakBefore w:val="0"/>
        <w:widowControl w:val="0"/>
        <w:numPr>
          <w:ilvl w:val="0"/>
          <w:numId w:val="44"/>
        </w:numPr>
        <w:tabs>
          <w:tab w:val="left" w:pos="0"/>
        </w:tabs>
        <w:kinsoku/>
        <w:wordWrap/>
        <w:overflowPunct/>
        <w:topLinePunct w:val="0"/>
        <w:autoSpaceDE/>
        <w:autoSpaceDN/>
        <w:bidi w:val="0"/>
        <w:adjustRightInd w:val="0"/>
        <w:snapToGrid/>
        <w:spacing w:line="324" w:lineRule="auto"/>
        <w:ind w:left="5" w:leftChars="0" w:firstLine="415"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遵纪守法，品行良好，人格健全，保证派造人员无违法犯罪记录。</w:t>
      </w:r>
    </w:p>
    <w:p w14:paraId="07C12C9E">
      <w:pPr>
        <w:keepNext w:val="0"/>
        <w:keepLines w:val="0"/>
        <w:pageBreakBefore w:val="0"/>
        <w:widowControl w:val="0"/>
        <w:numPr>
          <w:ilvl w:val="0"/>
          <w:numId w:val="44"/>
        </w:numPr>
        <w:tabs>
          <w:tab w:val="left" w:pos="0"/>
        </w:tabs>
        <w:kinsoku/>
        <w:wordWrap/>
        <w:overflowPunct/>
        <w:topLinePunct w:val="0"/>
        <w:autoSpaceDE/>
        <w:autoSpaceDN/>
        <w:bidi w:val="0"/>
        <w:adjustRightInd w:val="0"/>
        <w:snapToGrid/>
        <w:spacing w:line="324" w:lineRule="auto"/>
        <w:ind w:left="5" w:leftChars="0" w:firstLine="415" w:firstLineChars="0"/>
        <w:textAlignment w:val="auto"/>
        <w:rPr>
          <w:rFonts w:hint="eastAsia" w:ascii="宋体" w:hAnsi="宋体" w:eastAsia="宋体" w:cs="宋体"/>
          <w:color w:val="auto"/>
          <w:lang w:val="en-US" w:eastAsia="zh-CN"/>
        </w:rPr>
      </w:pPr>
      <w:r>
        <w:rPr>
          <w:color w:val="auto"/>
          <w:spacing w:val="-1"/>
        </w:rPr>
        <w:t>衣貌整洁，服装统一，服从管理，佩戴统一工作牌</w:t>
      </w:r>
      <w:r>
        <w:rPr>
          <w:rFonts w:hint="eastAsia"/>
          <w:color w:val="auto"/>
          <w:spacing w:val="-2"/>
          <w:lang w:eastAsia="zh-CN"/>
        </w:rPr>
        <w:t>（</w:t>
      </w:r>
      <w:r>
        <w:rPr>
          <w:rFonts w:hint="eastAsia"/>
          <w:color w:val="auto"/>
          <w:spacing w:val="-2"/>
          <w:lang w:val="en-US" w:eastAsia="zh-CN"/>
        </w:rPr>
        <w:t>卡</w:t>
      </w:r>
      <w:r>
        <w:rPr>
          <w:rFonts w:hint="eastAsia"/>
          <w:color w:val="auto"/>
          <w:spacing w:val="-2"/>
          <w:lang w:eastAsia="zh-CN"/>
        </w:rPr>
        <w:t>）；</w:t>
      </w:r>
      <w:r>
        <w:rPr>
          <w:rFonts w:hint="eastAsia" w:ascii="宋体" w:hAnsi="宋体" w:eastAsia="宋体" w:cs="宋体"/>
          <w:color w:val="auto"/>
          <w:lang w:val="en-US" w:eastAsia="zh-CN"/>
        </w:rPr>
        <w:t>敬业爱岗，工作认真，责任心强；会讲普通话，以礼待人。</w:t>
      </w:r>
    </w:p>
    <w:p w14:paraId="2BD0C0A1">
      <w:pPr>
        <w:keepNext w:val="0"/>
        <w:keepLines w:val="0"/>
        <w:pageBreakBefore w:val="0"/>
        <w:widowControl w:val="0"/>
        <w:numPr>
          <w:ilvl w:val="0"/>
          <w:numId w:val="44"/>
        </w:numPr>
        <w:tabs>
          <w:tab w:val="left" w:pos="0"/>
        </w:tabs>
        <w:kinsoku/>
        <w:wordWrap/>
        <w:overflowPunct/>
        <w:topLinePunct w:val="0"/>
        <w:autoSpaceDE/>
        <w:autoSpaceDN/>
        <w:bidi w:val="0"/>
        <w:adjustRightInd w:val="0"/>
        <w:snapToGrid/>
        <w:spacing w:line="324" w:lineRule="auto"/>
        <w:ind w:left="5" w:leftChars="0" w:firstLine="415"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掌握安全保卫基本技能，能正确使用多类消防、物防、技防器械和设备。</w:t>
      </w:r>
    </w:p>
    <w:p w14:paraId="5C89E57D">
      <w:pPr>
        <w:keepNext w:val="0"/>
        <w:keepLines w:val="0"/>
        <w:pageBreakBefore w:val="0"/>
        <w:widowControl w:val="0"/>
        <w:numPr>
          <w:ilvl w:val="0"/>
          <w:numId w:val="44"/>
        </w:numPr>
        <w:tabs>
          <w:tab w:val="left" w:pos="0"/>
        </w:tabs>
        <w:kinsoku/>
        <w:wordWrap/>
        <w:overflowPunct/>
        <w:topLinePunct w:val="0"/>
        <w:autoSpaceDE/>
        <w:autoSpaceDN/>
        <w:bidi w:val="0"/>
        <w:adjustRightInd w:val="0"/>
        <w:snapToGrid/>
        <w:spacing w:line="324" w:lineRule="auto"/>
        <w:ind w:left="5" w:leftChars="0" w:firstLine="415"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熟悉安保警械的使用，具有一定的搏击能力。</w:t>
      </w:r>
    </w:p>
    <w:p w14:paraId="3FF277AB">
      <w:pPr>
        <w:keepNext w:val="0"/>
        <w:keepLines w:val="0"/>
        <w:pageBreakBefore w:val="0"/>
        <w:widowControl w:val="0"/>
        <w:numPr>
          <w:ilvl w:val="0"/>
          <w:numId w:val="44"/>
        </w:numPr>
        <w:tabs>
          <w:tab w:val="left" w:pos="0"/>
        </w:tabs>
        <w:kinsoku/>
        <w:wordWrap/>
        <w:overflowPunct/>
        <w:topLinePunct w:val="0"/>
        <w:autoSpaceDE/>
        <w:autoSpaceDN/>
        <w:bidi w:val="0"/>
        <w:adjustRightInd w:val="0"/>
        <w:snapToGrid/>
        <w:spacing w:line="324" w:lineRule="auto"/>
        <w:ind w:left="5" w:leftChars="0" w:firstLine="415"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根据工作需要，要求保安员站形象岗（男性保安员身高不低于1.68米，女性保安身高不低于1.6米）</w:t>
      </w:r>
      <w:r>
        <w:rPr>
          <w:rFonts w:hint="eastAsia" w:hAnsi="宋体" w:cs="宋体"/>
          <w:color w:val="auto"/>
          <w:lang w:val="en-US" w:eastAsia="zh-CN"/>
        </w:rPr>
        <w:t>；夜间作业或天气阴暗时应穿反光衣。</w:t>
      </w:r>
    </w:p>
    <w:p w14:paraId="1C7E874F">
      <w:pPr>
        <w:keepNext w:val="0"/>
        <w:keepLines w:val="0"/>
        <w:pageBreakBefore w:val="0"/>
        <w:widowControl w:val="0"/>
        <w:numPr>
          <w:ilvl w:val="0"/>
          <w:numId w:val="44"/>
        </w:numPr>
        <w:tabs>
          <w:tab w:val="left" w:pos="0"/>
        </w:tabs>
        <w:kinsoku/>
        <w:wordWrap/>
        <w:overflowPunct/>
        <w:topLinePunct w:val="0"/>
        <w:autoSpaceDE/>
        <w:autoSpaceDN/>
        <w:bidi w:val="0"/>
        <w:adjustRightInd w:val="0"/>
        <w:snapToGrid/>
        <w:spacing w:line="324" w:lineRule="auto"/>
        <w:ind w:left="5" w:leftChars="0" w:firstLine="415" w:firstLineChars="0"/>
        <w:textAlignment w:val="auto"/>
        <w:rPr>
          <w:rFonts w:hint="eastAsia" w:ascii="宋体" w:hAnsi="宋体" w:eastAsia="宋体" w:cs="宋体"/>
          <w:color w:val="auto"/>
          <w:lang w:val="en-US" w:eastAsia="zh-CN"/>
        </w:rPr>
      </w:pPr>
      <w:r>
        <w:rPr>
          <w:rFonts w:hint="eastAsia" w:hAnsi="宋体" w:cs="宋体"/>
          <w:color w:val="auto"/>
          <w:lang w:val="en-US" w:eastAsia="zh-CN"/>
        </w:rPr>
        <w:t>乙方自主安排人员轮值，但必须保证每个固定岗</w:t>
      </w:r>
      <w:r>
        <w:rPr>
          <w:rFonts w:hint="eastAsia" w:hAnsi="宋体" w:cs="宋体"/>
          <w:color w:val="auto"/>
          <w:highlight w:val="none"/>
          <w:lang w:val="en-US" w:eastAsia="zh-CN"/>
        </w:rPr>
        <w:t>位</w:t>
      </w:r>
      <w:r>
        <w:rPr>
          <w:rFonts w:hint="eastAsia" w:ascii="宋体" w:hAnsi="宋体" w:eastAsia="宋体" w:cs="宋体"/>
          <w:color w:val="auto"/>
          <w:sz w:val="21"/>
          <w:szCs w:val="21"/>
          <w:highlight w:val="none"/>
          <w:lang w:val="en-US" w:eastAsia="zh-CN"/>
        </w:rPr>
        <w:t>24小时</w:t>
      </w:r>
      <w:r>
        <w:rPr>
          <w:rFonts w:hint="eastAsia" w:ascii="宋体" w:hAnsi="宋体" w:cs="宋体"/>
          <w:color w:val="auto"/>
          <w:sz w:val="21"/>
          <w:szCs w:val="21"/>
          <w:highlight w:val="none"/>
          <w:lang w:val="en-US" w:eastAsia="zh-CN"/>
        </w:rPr>
        <w:t>有人值守。</w:t>
      </w:r>
    </w:p>
    <w:p w14:paraId="31BFA15D">
      <w:pPr>
        <w:pStyle w:val="47"/>
        <w:numPr>
          <w:ilvl w:val="0"/>
          <w:numId w:val="0"/>
        </w:numPr>
        <w:spacing w:line="360" w:lineRule="auto"/>
        <w:rPr>
          <w:rFonts w:hint="eastAsia" w:ascii="宋体" w:hAnsi="宋体" w:eastAsia="宋体" w:cs="宋体"/>
          <w:b/>
          <w:bCs/>
          <w:color w:val="000000"/>
          <w:sz w:val="21"/>
          <w:szCs w:val="21"/>
          <w:highlight w:val="white"/>
        </w:rPr>
      </w:pP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五</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cs="宋体"/>
          <w:b/>
          <w:bCs/>
          <w:color w:val="000000"/>
          <w:sz w:val="21"/>
          <w:szCs w:val="21"/>
          <w:highlight w:val="white"/>
          <w:lang w:val="en-US" w:eastAsia="zh-CN"/>
        </w:rPr>
        <w:t>人员配备要求</w:t>
      </w:r>
    </w:p>
    <w:p w14:paraId="6A4B9D83">
      <w:pPr>
        <w:keepNext w:val="0"/>
        <w:keepLines w:val="0"/>
        <w:pageBreakBefore w:val="0"/>
        <w:widowControl w:val="0"/>
        <w:numPr>
          <w:ilvl w:val="0"/>
          <w:numId w:val="45"/>
        </w:numPr>
        <w:kinsoku/>
        <w:wordWrap/>
        <w:overflowPunct/>
        <w:topLinePunct w:val="0"/>
        <w:autoSpaceDE/>
        <w:autoSpaceDN/>
        <w:bidi w:val="0"/>
        <w:adjustRightInd/>
        <w:snapToGrid/>
        <w:spacing w:line="324"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按照</w:t>
      </w:r>
      <w:r>
        <w:rPr>
          <w:rFonts w:hint="eastAsia" w:ascii="宋体" w:hAnsi="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实际要求配备</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rPr>
        <w:t>服务人员不得随意更换；如需更换的，则必须征得</w:t>
      </w:r>
      <w:r>
        <w:rPr>
          <w:rFonts w:hint="eastAsia" w:ascii="宋体" w:hAnsi="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的同意，经试用符合要求方可更换，且在更换前应保证不少于</w:t>
      </w:r>
      <w:r>
        <w:rPr>
          <w:rFonts w:hint="eastAsia" w:ascii="宋体" w:hAnsi="宋体" w:eastAsia="宋体" w:cs="宋体"/>
          <w:b w:val="0"/>
          <w:bCs/>
          <w:color w:val="auto"/>
          <w:sz w:val="21"/>
          <w:szCs w:val="21"/>
          <w:highlight w:val="none"/>
          <w:lang w:val="en-US" w:eastAsia="zh-CN"/>
        </w:rPr>
        <w:t>原有数量的</w:t>
      </w:r>
      <w:r>
        <w:rPr>
          <w:rFonts w:hint="eastAsia" w:ascii="宋体" w:hAnsi="宋体" w:eastAsia="宋体" w:cs="宋体"/>
          <w:b w:val="0"/>
          <w:bCs/>
          <w:color w:val="auto"/>
          <w:sz w:val="21"/>
          <w:szCs w:val="21"/>
          <w:highlight w:val="none"/>
        </w:rPr>
        <w:t>服务人员在岗。</w:t>
      </w:r>
    </w:p>
    <w:p w14:paraId="51E5D73A">
      <w:pPr>
        <w:keepNext w:val="0"/>
        <w:keepLines w:val="0"/>
        <w:pageBreakBefore w:val="0"/>
        <w:widowControl w:val="0"/>
        <w:numPr>
          <w:ilvl w:val="0"/>
          <w:numId w:val="45"/>
        </w:numPr>
        <w:kinsoku/>
        <w:wordWrap/>
        <w:overflowPunct/>
        <w:topLinePunct w:val="0"/>
        <w:autoSpaceDE/>
        <w:autoSpaceDN/>
        <w:bidi w:val="0"/>
        <w:adjustRightInd/>
        <w:snapToGrid/>
        <w:spacing w:line="324"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有义务做好服务人员的岗前培训工作</w:t>
      </w: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须遵守与本项目相关的法律法规，对违反相关法律要求的，</w:t>
      </w:r>
      <w:r>
        <w:rPr>
          <w:rFonts w:hint="eastAsia" w:ascii="宋体" w:hAnsi="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有权追究其法律责任。</w:t>
      </w:r>
    </w:p>
    <w:p w14:paraId="1A37B2C4">
      <w:pPr>
        <w:keepNext w:val="0"/>
        <w:keepLines w:val="0"/>
        <w:pageBreakBefore w:val="0"/>
        <w:widowControl w:val="0"/>
        <w:numPr>
          <w:ilvl w:val="0"/>
          <w:numId w:val="45"/>
        </w:numPr>
        <w:kinsoku/>
        <w:wordWrap/>
        <w:overflowPunct/>
        <w:topLinePunct w:val="0"/>
        <w:autoSpaceDE/>
        <w:autoSpaceDN/>
        <w:bidi w:val="0"/>
        <w:adjustRightInd/>
        <w:snapToGrid/>
        <w:spacing w:line="324"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在</w:t>
      </w:r>
      <w:r>
        <w:rPr>
          <w:rFonts w:hint="eastAsia" w:ascii="宋体" w:hAnsi="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服务过程中，</w:t>
      </w:r>
      <w:r>
        <w:rPr>
          <w:rFonts w:hint="eastAsia" w:ascii="宋体" w:hAnsi="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有权要求</w:t>
      </w:r>
      <w:r>
        <w:rPr>
          <w:rFonts w:hint="eastAsia" w:ascii="宋体" w:hAnsi="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对服务人员进行岗位调配，对不能胜任或不符合业务要求的服务人员进行更换。因服务人员个人出现违反工作纪律问题及业务过失，</w:t>
      </w:r>
      <w:r>
        <w:rPr>
          <w:rFonts w:hint="eastAsia" w:ascii="宋体" w:hAnsi="宋体" w:eastAsia="宋体" w:cs="宋体"/>
          <w:b w:val="0"/>
          <w:bCs/>
          <w:color w:val="auto"/>
          <w:sz w:val="21"/>
          <w:szCs w:val="21"/>
          <w:highlight w:val="none"/>
          <w:lang w:eastAsia="zh-CN"/>
        </w:rPr>
        <w:t>遭受</w:t>
      </w:r>
      <w:r>
        <w:rPr>
          <w:rFonts w:hint="eastAsia" w:ascii="宋体" w:hAnsi="宋体" w:eastAsia="宋体" w:cs="宋体"/>
          <w:b w:val="0"/>
          <w:bCs/>
          <w:color w:val="auto"/>
          <w:sz w:val="21"/>
          <w:szCs w:val="21"/>
          <w:highlight w:val="none"/>
        </w:rPr>
        <w:t>投诉</w:t>
      </w:r>
      <w:r>
        <w:rPr>
          <w:rFonts w:hint="eastAsia" w:ascii="宋体" w:hAnsi="宋体" w:eastAsia="宋体" w:cs="宋体"/>
          <w:b w:val="0"/>
          <w:bCs/>
          <w:color w:val="auto"/>
          <w:sz w:val="21"/>
          <w:szCs w:val="21"/>
          <w:highlight w:val="none"/>
          <w:lang w:eastAsia="zh-CN"/>
        </w:rPr>
        <w:t>且</w:t>
      </w:r>
      <w:r>
        <w:rPr>
          <w:rFonts w:hint="eastAsia" w:ascii="宋体" w:hAnsi="宋体" w:eastAsia="宋体" w:cs="宋体"/>
          <w:b w:val="0"/>
          <w:bCs/>
          <w:color w:val="auto"/>
          <w:sz w:val="21"/>
          <w:szCs w:val="21"/>
          <w:highlight w:val="none"/>
        </w:rPr>
        <w:t>造成不良影响等行为的，</w:t>
      </w:r>
      <w:r>
        <w:rPr>
          <w:rFonts w:hint="eastAsia" w:ascii="宋体" w:hAnsi="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有权利要求</w:t>
      </w:r>
      <w:r>
        <w:rPr>
          <w:rFonts w:hint="eastAsia" w:ascii="宋体" w:hAnsi="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lang w:eastAsia="zh-CN"/>
        </w:rPr>
        <w:t>及时更换</w:t>
      </w:r>
      <w:r>
        <w:rPr>
          <w:rFonts w:hint="eastAsia" w:ascii="宋体" w:hAnsi="宋体" w:eastAsia="宋体" w:cs="宋体"/>
          <w:b w:val="0"/>
          <w:bCs/>
          <w:color w:val="auto"/>
          <w:sz w:val="21"/>
          <w:szCs w:val="21"/>
          <w:highlight w:val="none"/>
        </w:rPr>
        <w:t>服务人员。</w:t>
      </w:r>
    </w:p>
    <w:p w14:paraId="64A28788">
      <w:pPr>
        <w:keepNext w:val="0"/>
        <w:keepLines w:val="0"/>
        <w:pageBreakBefore w:val="0"/>
        <w:widowControl w:val="0"/>
        <w:numPr>
          <w:ilvl w:val="0"/>
          <w:numId w:val="45"/>
        </w:numPr>
        <w:kinsoku/>
        <w:wordWrap/>
        <w:overflowPunct/>
        <w:topLinePunct w:val="0"/>
        <w:autoSpaceDE/>
        <w:autoSpaceDN/>
        <w:bidi w:val="0"/>
        <w:adjustRightInd/>
        <w:snapToGrid/>
        <w:spacing w:line="324"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服务人员须经</w:t>
      </w:r>
      <w:r>
        <w:rPr>
          <w:rFonts w:hint="eastAsia" w:ascii="宋体" w:hAnsi="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审核确认后方能上岗。未经</w:t>
      </w:r>
      <w:r>
        <w:rPr>
          <w:rFonts w:hint="eastAsia" w:ascii="宋体" w:hAnsi="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审核确认的人员，</w:t>
      </w:r>
      <w:r>
        <w:rPr>
          <w:rFonts w:hint="eastAsia" w:ascii="宋体" w:hAnsi="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可以不予接纳，</w:t>
      </w:r>
      <w:r>
        <w:rPr>
          <w:rFonts w:hint="eastAsia" w:ascii="宋体" w:hAnsi="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与</w:t>
      </w:r>
      <w:r>
        <w:rPr>
          <w:rFonts w:hint="eastAsia" w:ascii="宋体" w:hAnsi="宋体" w:eastAsia="宋体" w:cs="宋体"/>
          <w:b w:val="0"/>
          <w:bCs/>
          <w:color w:val="auto"/>
          <w:sz w:val="21"/>
          <w:szCs w:val="21"/>
          <w:highlight w:val="none"/>
          <w:lang w:eastAsia="zh-CN"/>
        </w:rPr>
        <w:t>服务人员成立劳动合同关系</w:t>
      </w:r>
      <w:r>
        <w:rPr>
          <w:rFonts w:hint="eastAsia" w:ascii="宋体" w:hAnsi="宋体" w:eastAsia="宋体" w:cs="宋体"/>
          <w:b w:val="0"/>
          <w:bCs/>
          <w:color w:val="auto"/>
          <w:sz w:val="21"/>
          <w:szCs w:val="21"/>
          <w:highlight w:val="none"/>
        </w:rPr>
        <w:t>而承担的法律责任与</w:t>
      </w:r>
      <w:r>
        <w:rPr>
          <w:rFonts w:hint="eastAsia" w:ascii="宋体" w:hAnsi="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无关。</w:t>
      </w:r>
    </w:p>
    <w:p w14:paraId="667228EF">
      <w:pPr>
        <w:keepNext w:val="0"/>
        <w:keepLines w:val="0"/>
        <w:pageBreakBefore w:val="0"/>
        <w:widowControl w:val="0"/>
        <w:numPr>
          <w:ilvl w:val="0"/>
          <w:numId w:val="45"/>
        </w:numPr>
        <w:kinsoku/>
        <w:wordWrap/>
        <w:overflowPunct/>
        <w:topLinePunct w:val="0"/>
        <w:autoSpaceDE/>
        <w:autoSpaceDN/>
        <w:bidi w:val="0"/>
        <w:adjustRightInd/>
        <w:snapToGrid/>
        <w:spacing w:line="324" w:lineRule="auto"/>
        <w:ind w:left="0" w:leftChars="0" w:firstLine="420" w:firstLineChars="200"/>
        <w:textAlignment w:val="auto"/>
        <w:rPr>
          <w:rFonts w:hint="eastAsia" w:ascii="宋体" w:hAnsi="宋体" w:eastAsia="宋体" w:cs="宋体"/>
          <w:b w:val="0"/>
          <w:bCs/>
          <w:color w:val="auto"/>
          <w:highlight w:val="none"/>
        </w:rPr>
      </w:pPr>
      <w:r>
        <w:rPr>
          <w:rFonts w:hint="eastAsia" w:ascii="宋体" w:hAnsi="宋体" w:cs="宋体"/>
          <w:b w:val="0"/>
          <w:bCs/>
          <w:color w:val="auto"/>
          <w:sz w:val="21"/>
          <w:szCs w:val="21"/>
          <w:highlight w:val="none"/>
          <w:lang w:eastAsia="zh-CN"/>
        </w:rPr>
        <w:t>乙方须</w:t>
      </w:r>
      <w:r>
        <w:rPr>
          <w:rFonts w:hint="eastAsia" w:ascii="宋体" w:hAnsi="宋体" w:eastAsia="宋体" w:cs="宋体"/>
          <w:b w:val="0"/>
          <w:bCs/>
          <w:color w:val="auto"/>
          <w:sz w:val="21"/>
          <w:szCs w:val="21"/>
          <w:highlight w:val="none"/>
        </w:rPr>
        <w:t>按有关劳动法规为本项目服务人员</w:t>
      </w:r>
      <w:r>
        <w:rPr>
          <w:rFonts w:hint="eastAsia" w:ascii="宋体" w:hAnsi="宋体" w:eastAsia="宋体" w:cs="宋体"/>
          <w:b w:val="0"/>
          <w:bCs/>
          <w:color w:val="auto"/>
          <w:sz w:val="21"/>
          <w:szCs w:val="21"/>
          <w:highlight w:val="none"/>
          <w:lang w:val="en-US" w:eastAsia="zh-CN"/>
        </w:rPr>
        <w:t>签订</w:t>
      </w:r>
      <w:r>
        <w:rPr>
          <w:rFonts w:hint="eastAsia" w:ascii="宋体" w:hAnsi="宋体" w:eastAsia="宋体" w:cs="宋体"/>
          <w:b w:val="0"/>
          <w:bCs/>
          <w:color w:val="auto"/>
          <w:sz w:val="21"/>
          <w:szCs w:val="21"/>
          <w:highlight w:val="none"/>
        </w:rPr>
        <w:t>劳动合同</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为其办理</w:t>
      </w:r>
      <w:r>
        <w:rPr>
          <w:rFonts w:hint="eastAsia" w:ascii="宋体" w:hAnsi="宋体" w:eastAsia="宋体" w:cs="宋体"/>
          <w:b w:val="0"/>
          <w:bCs/>
          <w:color w:val="auto"/>
          <w:sz w:val="21"/>
          <w:szCs w:val="21"/>
          <w:highlight w:val="none"/>
        </w:rPr>
        <w:t>社会保险</w:t>
      </w:r>
      <w:r>
        <w:rPr>
          <w:rFonts w:hint="eastAsia" w:ascii="宋体" w:hAnsi="宋体" w:eastAsia="宋体" w:cs="宋体"/>
          <w:b w:val="0"/>
          <w:bCs/>
          <w:color w:val="auto"/>
          <w:sz w:val="21"/>
          <w:szCs w:val="21"/>
          <w:highlight w:val="none"/>
          <w:lang w:eastAsia="zh-CN"/>
        </w:rPr>
        <w:t>、公积金；</w:t>
      </w:r>
      <w:r>
        <w:rPr>
          <w:rFonts w:hint="eastAsia" w:ascii="宋体" w:hAnsi="宋体" w:eastAsia="宋体" w:cs="宋体"/>
          <w:b w:val="0"/>
          <w:bCs/>
          <w:color w:val="auto"/>
          <w:sz w:val="21"/>
          <w:szCs w:val="21"/>
          <w:highlight w:val="none"/>
          <w:lang w:val="en-US" w:eastAsia="zh-CN"/>
        </w:rPr>
        <w:t>按时发放</w:t>
      </w:r>
      <w:r>
        <w:rPr>
          <w:rFonts w:hint="eastAsia" w:ascii="宋体" w:hAnsi="宋体" w:eastAsia="宋体" w:cs="宋体"/>
          <w:b w:val="0"/>
          <w:bCs/>
          <w:color w:val="auto"/>
          <w:sz w:val="21"/>
          <w:szCs w:val="21"/>
          <w:highlight w:val="none"/>
        </w:rPr>
        <w:t>薪酬</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缴纳</w:t>
      </w:r>
      <w:r>
        <w:rPr>
          <w:rFonts w:hint="eastAsia" w:ascii="宋体" w:hAnsi="宋体" w:eastAsia="宋体" w:cs="宋体"/>
          <w:b w:val="0"/>
          <w:bCs/>
          <w:color w:val="auto"/>
          <w:sz w:val="21"/>
          <w:szCs w:val="21"/>
          <w:highlight w:val="none"/>
        </w:rPr>
        <w:t>个人所得税等</w:t>
      </w:r>
      <w:r>
        <w:rPr>
          <w:rFonts w:hint="eastAsia" w:ascii="宋体" w:hAnsi="宋体" w:cs="宋体"/>
          <w:b w:val="0"/>
          <w:bCs/>
          <w:color w:val="auto"/>
          <w:sz w:val="21"/>
          <w:szCs w:val="21"/>
          <w:highlight w:val="none"/>
          <w:lang w:eastAsia="zh-CN"/>
        </w:rPr>
        <w:t>；乙方应</w:t>
      </w:r>
      <w:r>
        <w:rPr>
          <w:rFonts w:hint="eastAsia" w:ascii="宋体" w:hAnsi="宋体" w:eastAsia="宋体" w:cs="宋体"/>
          <w:b w:val="0"/>
          <w:bCs/>
          <w:color w:val="auto"/>
          <w:sz w:val="21"/>
          <w:szCs w:val="21"/>
          <w:highlight w:val="none"/>
        </w:rPr>
        <w:t>根据当地有关社保规定征缴服务人员的社会保险等</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若国家、省、市政府在征缴期间有新的政策规定，</w:t>
      </w:r>
      <w:r>
        <w:rPr>
          <w:rFonts w:hint="eastAsia" w:ascii="宋体" w:hAnsi="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必须及时按新规定进行调整。</w:t>
      </w:r>
      <w:r>
        <w:rPr>
          <w:rFonts w:hint="eastAsia" w:ascii="宋体" w:hAnsi="宋体" w:cs="宋体"/>
          <w:b w:val="0"/>
          <w:bCs/>
          <w:color w:val="auto"/>
          <w:sz w:val="21"/>
          <w:szCs w:val="21"/>
          <w:highlight w:val="none"/>
          <w:lang w:eastAsia="zh-CN"/>
        </w:rPr>
        <w:t>因乙方违法用工导致影响本合同履行的，甲方有权单方解除本合同并没收乙方履约保证金；因乙方违法用工导致甲方产生损失的，乙方须赔偿甲方损失</w:t>
      </w:r>
      <w:r>
        <w:rPr>
          <w:rFonts w:hint="eastAsia" w:ascii="宋体" w:hAnsi="宋体" w:cs="宋体"/>
          <w:bCs/>
          <w:color w:val="auto"/>
          <w:szCs w:val="21"/>
          <w:highlight w:val="none"/>
        </w:rPr>
        <w:t>，甲方有权将本项目项下的服务费用、履约保证金优先用于抵扣损失</w:t>
      </w:r>
      <w:r>
        <w:rPr>
          <w:rFonts w:hint="eastAsia" w:ascii="宋体" w:hAnsi="宋体" w:eastAsia="宋体" w:cs="宋体"/>
          <w:b w:val="0"/>
          <w:bCs/>
          <w:color w:val="auto"/>
          <w:lang w:eastAsia="zh-CN"/>
        </w:rPr>
        <w:t>。</w:t>
      </w:r>
    </w:p>
    <w:p w14:paraId="3E86D39A">
      <w:pPr>
        <w:keepNext w:val="0"/>
        <w:keepLines w:val="0"/>
        <w:pageBreakBefore w:val="0"/>
        <w:widowControl w:val="0"/>
        <w:numPr>
          <w:ilvl w:val="0"/>
          <w:numId w:val="45"/>
        </w:numPr>
        <w:kinsoku/>
        <w:wordWrap/>
        <w:overflowPunct/>
        <w:topLinePunct w:val="0"/>
        <w:autoSpaceDE/>
        <w:autoSpaceDN/>
        <w:bidi w:val="0"/>
        <w:adjustRightInd/>
        <w:snapToGrid/>
        <w:spacing w:line="324"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服务期间，服务人员发生各种事故，包括治安、安全、交通和违反计划生育、劳资纠纷</w:t>
      </w:r>
      <w:r>
        <w:rPr>
          <w:rFonts w:hint="eastAsia" w:ascii="宋体" w:hAnsi="宋体" w:cs="宋体"/>
          <w:b w:val="0"/>
          <w:bCs/>
          <w:color w:val="auto"/>
          <w:sz w:val="21"/>
          <w:szCs w:val="21"/>
          <w:highlight w:val="none"/>
          <w:lang w:eastAsia="zh-CN"/>
        </w:rPr>
        <w:t>、工伤</w:t>
      </w:r>
      <w:r>
        <w:rPr>
          <w:rFonts w:hint="eastAsia" w:ascii="宋体" w:hAnsi="宋体" w:eastAsia="宋体" w:cs="宋体"/>
          <w:b w:val="0"/>
          <w:bCs/>
          <w:color w:val="auto"/>
          <w:sz w:val="21"/>
          <w:szCs w:val="21"/>
          <w:highlight w:val="none"/>
        </w:rPr>
        <w:t>等事件及其他各种损失，由</w:t>
      </w:r>
      <w:r>
        <w:rPr>
          <w:rFonts w:hint="eastAsia" w:ascii="宋体" w:hAnsi="宋体" w:cs="宋体"/>
          <w:b w:val="0"/>
          <w:bCs/>
          <w:color w:val="auto"/>
          <w:sz w:val="21"/>
          <w:szCs w:val="21"/>
          <w:highlight w:val="none"/>
          <w:lang w:eastAsia="zh-CN"/>
        </w:rPr>
        <w:t>乙方自行</w:t>
      </w:r>
      <w:r>
        <w:rPr>
          <w:rFonts w:hint="eastAsia" w:ascii="宋体" w:hAnsi="宋体" w:eastAsia="宋体" w:cs="宋体"/>
          <w:b w:val="0"/>
          <w:bCs/>
          <w:color w:val="auto"/>
          <w:sz w:val="21"/>
          <w:szCs w:val="21"/>
          <w:highlight w:val="none"/>
        </w:rPr>
        <w:t>承担和负责赔偿</w:t>
      </w:r>
      <w:r>
        <w:rPr>
          <w:rFonts w:hint="eastAsia" w:ascii="宋体" w:hAnsi="宋体" w:cs="宋体"/>
          <w:b w:val="0"/>
          <w:bCs/>
          <w:color w:val="auto"/>
          <w:sz w:val="21"/>
          <w:szCs w:val="21"/>
          <w:highlight w:val="none"/>
          <w:lang w:eastAsia="zh-CN"/>
        </w:rPr>
        <w:t>，与甲方无关；</w:t>
      </w:r>
      <w:r>
        <w:rPr>
          <w:rFonts w:hint="eastAsia" w:ascii="宋体" w:hAnsi="宋体" w:cs="宋体"/>
          <w:bCs/>
          <w:color w:val="auto"/>
          <w:szCs w:val="21"/>
          <w:highlight w:val="none"/>
        </w:rPr>
        <w:t>如由此造成甲方承担损失的，甲方保留向乙方追索的权利，甲方有权将本项目项下的服务费用、履约保证金优先用于抵扣损失</w:t>
      </w:r>
      <w:r>
        <w:rPr>
          <w:rFonts w:hint="eastAsia" w:ascii="宋体" w:hAnsi="宋体" w:eastAsia="宋体" w:cs="宋体"/>
          <w:b w:val="0"/>
          <w:bCs/>
          <w:color w:val="auto"/>
          <w:sz w:val="21"/>
          <w:szCs w:val="21"/>
          <w:highlight w:val="none"/>
        </w:rPr>
        <w:t>。</w:t>
      </w:r>
    </w:p>
    <w:p w14:paraId="77788BDB">
      <w:pPr>
        <w:pStyle w:val="47"/>
        <w:numPr>
          <w:ilvl w:val="0"/>
          <w:numId w:val="0"/>
        </w:numPr>
        <w:spacing w:line="360" w:lineRule="auto"/>
        <w:rPr>
          <w:rFonts w:hint="eastAsia" w:ascii="宋体" w:hAnsi="宋体" w:eastAsia="宋体" w:cs="宋体"/>
          <w:b/>
          <w:bCs/>
          <w:color w:val="000000"/>
          <w:sz w:val="21"/>
          <w:szCs w:val="21"/>
          <w:highlight w:val="white"/>
        </w:rPr>
      </w:pP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六</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highlight w:val="white"/>
        </w:rPr>
        <w:t>服务对照执行标准</w:t>
      </w:r>
    </w:p>
    <w:p w14:paraId="244B2CB3">
      <w:pPr>
        <w:pStyle w:val="47"/>
        <w:numPr>
          <w:ilvl w:val="0"/>
          <w:numId w:val="46"/>
        </w:numPr>
        <w:spacing w:line="360" w:lineRule="auto"/>
        <w:ind w:left="0" w:leftChars="0" w:firstLine="420" w:firstLineChars="200"/>
        <w:rPr>
          <w:rFonts w:hint="eastAsia" w:ascii="宋体" w:hAnsi="宋体" w:eastAsia="宋体" w:cs="宋体"/>
          <w:bCs/>
          <w:color w:val="000000"/>
          <w:sz w:val="21"/>
          <w:szCs w:val="21"/>
          <w:highlight w:val="white"/>
        </w:rPr>
      </w:pPr>
      <w:r>
        <w:rPr>
          <w:rFonts w:hint="eastAsia" w:ascii="宋体" w:hAnsi="宋体" w:eastAsia="宋体" w:cs="宋体"/>
          <w:bCs/>
          <w:color w:val="000000"/>
          <w:sz w:val="21"/>
          <w:szCs w:val="21"/>
          <w:highlight w:val="white"/>
        </w:rPr>
        <w:t>符合中华人民共和国国家和履约地相关安全质量标准、行业技术规范标准；</w:t>
      </w:r>
    </w:p>
    <w:p w14:paraId="7AE62B97">
      <w:pPr>
        <w:pStyle w:val="47"/>
        <w:numPr>
          <w:ilvl w:val="0"/>
          <w:numId w:val="46"/>
        </w:numPr>
        <w:spacing w:line="360" w:lineRule="auto"/>
        <w:ind w:left="0" w:leftChars="0" w:firstLine="420" w:firstLineChars="200"/>
        <w:rPr>
          <w:rFonts w:hint="eastAsia" w:ascii="宋体" w:hAnsi="宋体" w:eastAsia="宋体" w:cs="宋体"/>
          <w:bCs/>
          <w:color w:val="000000"/>
          <w:sz w:val="21"/>
          <w:szCs w:val="21"/>
          <w:highlight w:val="white"/>
        </w:rPr>
      </w:pPr>
      <w:r>
        <w:rPr>
          <w:rFonts w:hint="eastAsia" w:ascii="宋体" w:hAnsi="宋体" w:eastAsia="宋体" w:cs="宋体"/>
          <w:bCs/>
          <w:color w:val="000000"/>
          <w:sz w:val="21"/>
          <w:szCs w:val="21"/>
          <w:highlight w:val="white"/>
        </w:rPr>
        <w:t>符合采购文件和响应承诺中各方共同认可的合理要求；</w:t>
      </w:r>
    </w:p>
    <w:p w14:paraId="30FF5162">
      <w:pPr>
        <w:pStyle w:val="47"/>
        <w:numPr>
          <w:ilvl w:val="0"/>
          <w:numId w:val="46"/>
        </w:numPr>
        <w:spacing w:line="360" w:lineRule="auto"/>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000000"/>
          <w:sz w:val="21"/>
          <w:szCs w:val="21"/>
          <w:highlight w:val="white"/>
        </w:rPr>
        <w:t>上述各类标准与法规必须是有关官方机构最新发布的现行标准版本。</w:t>
      </w:r>
    </w:p>
    <w:p w14:paraId="3F3A30DD">
      <w:pPr>
        <w:pStyle w:val="47"/>
        <w:numPr>
          <w:ilvl w:val="0"/>
          <w:numId w:val="0"/>
        </w:numPr>
        <w:spacing w:line="360" w:lineRule="auto"/>
        <w:rPr>
          <w:rFonts w:hint="eastAsia" w:ascii="宋体" w:hAnsi="宋体" w:eastAsia="宋体" w:cs="宋体"/>
          <w:b/>
          <w:bCs/>
          <w:color w:val="000000"/>
          <w:sz w:val="21"/>
          <w:szCs w:val="21"/>
          <w:highlight w:val="white"/>
        </w:rPr>
      </w:pP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七</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highlight w:val="white"/>
        </w:rPr>
        <w:t>投诉跟踪服务要求</w:t>
      </w:r>
    </w:p>
    <w:p w14:paraId="1ECEBB18">
      <w:pPr>
        <w:pStyle w:val="47"/>
        <w:numPr>
          <w:ilvl w:val="0"/>
          <w:numId w:val="47"/>
        </w:numPr>
        <w:spacing w:line="360" w:lineRule="auto"/>
        <w:ind w:left="0" w:leftChars="0" w:firstLine="420" w:firstLineChars="200"/>
        <w:rPr>
          <w:rFonts w:hint="eastAsia" w:ascii="宋体" w:hAnsi="宋体" w:eastAsia="宋体" w:cs="宋体"/>
          <w:bCs/>
          <w:color w:val="000000"/>
          <w:sz w:val="21"/>
          <w:szCs w:val="21"/>
          <w:highlight w:val="white"/>
        </w:rPr>
      </w:pPr>
      <w:r>
        <w:rPr>
          <w:rFonts w:hint="eastAsia" w:ascii="宋体" w:hAnsi="宋体" w:eastAsia="宋体" w:cs="宋体"/>
          <w:bCs/>
          <w:color w:val="000000"/>
          <w:sz w:val="21"/>
          <w:szCs w:val="21"/>
          <w:highlight w:val="white"/>
        </w:rPr>
        <w:t>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14:paraId="07029C16">
      <w:pPr>
        <w:pStyle w:val="47"/>
        <w:numPr>
          <w:ilvl w:val="0"/>
          <w:numId w:val="47"/>
        </w:numPr>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bCs/>
          <w:color w:val="000000"/>
          <w:sz w:val="21"/>
          <w:szCs w:val="21"/>
          <w:highlight w:val="white"/>
        </w:rPr>
        <w:t>服务期内，甲方有权按本项目的管理要求对乙方进行不定期抽查检查，若对不合格的管理服务提出警告后，仍未得到有效解决时，甲方有权终止管理合同。</w:t>
      </w:r>
    </w:p>
    <w:p w14:paraId="2288F362">
      <w:pPr>
        <w:pStyle w:val="47"/>
        <w:numPr>
          <w:ilvl w:val="0"/>
          <w:numId w:val="47"/>
        </w:numPr>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bCs/>
          <w:color w:val="000000"/>
          <w:sz w:val="21"/>
          <w:szCs w:val="21"/>
          <w:highlight w:val="white"/>
        </w:rPr>
        <w:t>乙方服务机构名称及地址：</w:t>
      </w:r>
      <w:r>
        <w:rPr>
          <w:rFonts w:hint="eastAsia" w:ascii="宋体" w:hAnsi="宋体" w:eastAsia="宋体" w:cs="宋体"/>
          <w:color w:val="000000"/>
          <w:sz w:val="21"/>
          <w:szCs w:val="21"/>
          <w:highlight w:val="white"/>
        </w:rPr>
        <w:t xml:space="preserve"> </w:t>
      </w:r>
    </w:p>
    <w:p w14:paraId="2108D2E1">
      <w:pPr>
        <w:pStyle w:val="49"/>
        <w:spacing w:line="360" w:lineRule="auto"/>
        <w:ind w:firstLine="420"/>
        <w:rPr>
          <w:rFonts w:hint="eastAsia" w:ascii="宋体" w:hAnsi="宋体" w:eastAsia="宋体" w:cs="宋体"/>
          <w:color w:val="auto"/>
          <w:sz w:val="21"/>
          <w:szCs w:val="21"/>
        </w:rPr>
      </w:pPr>
      <w:r>
        <w:rPr>
          <w:rFonts w:hint="eastAsia" w:ascii="宋体" w:hAnsi="宋体" w:eastAsia="宋体" w:cs="宋体"/>
          <w:color w:val="000000"/>
          <w:sz w:val="21"/>
          <w:szCs w:val="21"/>
          <w:highlight w:val="white"/>
        </w:rPr>
        <w:t>联系人1：          ，联系电话：            ，手机：          ；</w:t>
      </w:r>
    </w:p>
    <w:p w14:paraId="56A970F8">
      <w:pPr>
        <w:pStyle w:val="49"/>
        <w:spacing w:line="360" w:lineRule="auto"/>
        <w:ind w:firstLine="420"/>
        <w:rPr>
          <w:rFonts w:hint="eastAsia" w:ascii="宋体" w:hAnsi="宋体" w:eastAsia="宋体" w:cs="宋体"/>
          <w:bCs/>
          <w:color w:val="auto"/>
          <w:sz w:val="21"/>
          <w:szCs w:val="21"/>
        </w:rPr>
      </w:pPr>
      <w:r>
        <w:rPr>
          <w:rFonts w:hint="eastAsia" w:ascii="宋体" w:hAnsi="宋体" w:eastAsia="宋体" w:cs="宋体"/>
          <w:bCs/>
          <w:color w:val="000000"/>
          <w:sz w:val="21"/>
          <w:szCs w:val="21"/>
          <w:highlight w:val="white"/>
        </w:rPr>
        <w:t>联系人2：          ，联系电话：            ，手机：          ；</w:t>
      </w:r>
    </w:p>
    <w:p w14:paraId="43D7527E">
      <w:pPr>
        <w:pStyle w:val="49"/>
        <w:spacing w:line="360" w:lineRule="auto"/>
        <w:ind w:firstLine="420"/>
        <w:rPr>
          <w:rFonts w:hint="eastAsia" w:ascii="宋体" w:hAnsi="宋体" w:eastAsia="宋体" w:cs="宋体"/>
          <w:color w:val="auto"/>
          <w:sz w:val="21"/>
          <w:szCs w:val="21"/>
        </w:rPr>
      </w:pPr>
      <w:r>
        <w:rPr>
          <w:rFonts w:hint="eastAsia" w:ascii="宋体" w:hAnsi="宋体" w:eastAsia="宋体" w:cs="宋体"/>
          <w:bCs/>
          <w:color w:val="000000"/>
          <w:sz w:val="21"/>
          <w:szCs w:val="21"/>
          <w:highlight w:val="white"/>
        </w:rPr>
        <w:t>服务专线电话：</w:t>
      </w:r>
    </w:p>
    <w:p w14:paraId="0D4DCBED">
      <w:pPr>
        <w:pStyle w:val="47"/>
        <w:numPr>
          <w:ilvl w:val="0"/>
          <w:numId w:val="47"/>
        </w:numPr>
        <w:spacing w:line="360" w:lineRule="auto"/>
        <w:ind w:left="0" w:leftChars="0" w:firstLine="420" w:firstLineChars="200"/>
        <w:rPr>
          <w:rFonts w:hint="eastAsia" w:ascii="宋体" w:hAnsi="宋体" w:eastAsia="宋体" w:cs="宋体"/>
          <w:bCs/>
          <w:color w:val="000000"/>
          <w:sz w:val="21"/>
          <w:szCs w:val="21"/>
          <w:highlight w:val="white"/>
        </w:rPr>
      </w:pPr>
      <w:bookmarkStart w:id="193" w:name="_Toc465245603"/>
      <w:r>
        <w:rPr>
          <w:rFonts w:hint="eastAsia" w:ascii="宋体" w:hAnsi="宋体" w:eastAsia="宋体" w:cs="宋体"/>
          <w:bCs/>
          <w:color w:val="000000"/>
          <w:sz w:val="21"/>
          <w:szCs w:val="21"/>
          <w:highlight w:val="white"/>
        </w:rPr>
        <w:t>其他服务要求：（补充内容不得对采购文件和响应文件作实质性修改）</w:t>
      </w:r>
      <w:bookmarkEnd w:id="193"/>
    </w:p>
    <w:p w14:paraId="6FFF3544">
      <w:pPr>
        <w:pStyle w:val="49"/>
        <w:spacing w:line="360" w:lineRule="auto"/>
        <w:ind w:left="510"/>
        <w:rPr>
          <w:rFonts w:hint="eastAsia" w:ascii="宋体" w:hAnsi="宋体" w:eastAsia="宋体" w:cs="宋体"/>
          <w:bCs/>
          <w:color w:val="000000"/>
          <w:sz w:val="21"/>
          <w:szCs w:val="21"/>
          <w:highlight w:val="yellow"/>
        </w:rPr>
      </w:pPr>
      <w:r>
        <w:rPr>
          <w:rFonts w:hint="eastAsia" w:ascii="宋体" w:hAnsi="宋体" w:eastAsia="宋体" w:cs="宋体"/>
          <w:color w:val="000000"/>
          <w:sz w:val="21"/>
          <w:szCs w:val="21"/>
          <w:highlight w:val="white"/>
          <w:u w:val="single"/>
        </w:rPr>
        <w:t xml:space="preserve">                                                          </w:t>
      </w:r>
      <w:r>
        <w:rPr>
          <w:rFonts w:hint="eastAsia" w:ascii="宋体" w:hAnsi="宋体" w:eastAsia="宋体" w:cs="宋体"/>
          <w:color w:val="000000"/>
          <w:sz w:val="21"/>
          <w:szCs w:val="21"/>
          <w:highlight w:val="white"/>
        </w:rPr>
        <w:t>。</w:t>
      </w:r>
    </w:p>
    <w:p w14:paraId="0DBB8D21">
      <w:pPr>
        <w:pStyle w:val="47"/>
        <w:numPr>
          <w:ilvl w:val="0"/>
          <w:numId w:val="0"/>
        </w:numPr>
        <w:spacing w:line="360" w:lineRule="auto"/>
        <w:rPr>
          <w:rFonts w:hint="eastAsia" w:ascii="宋体" w:hAnsi="宋体" w:eastAsia="宋体" w:cs="宋体"/>
          <w:b/>
          <w:bCs/>
          <w:color w:val="000000"/>
          <w:sz w:val="21"/>
          <w:szCs w:val="21"/>
        </w:rPr>
      </w:pP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八</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rPr>
        <w:t>验收标准</w:t>
      </w:r>
    </w:p>
    <w:p w14:paraId="10BAAC06">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spacing w:line="324" w:lineRule="auto"/>
        <w:ind w:leftChars="0" w:firstLine="420" w:firstLineChars="200"/>
        <w:textAlignment w:val="auto"/>
        <w:rPr>
          <w:rFonts w:hint="eastAsia" w:ascii="宋体" w:hAnsi="宋体" w:eastAsia="宋体" w:cs="宋体"/>
          <w:snapToGrid/>
          <w:color w:val="auto"/>
          <w:spacing w:val="0"/>
          <w:kern w:val="2"/>
          <w:sz w:val="21"/>
          <w:szCs w:val="21"/>
          <w:highlight w:val="none"/>
          <w:lang w:val="en-US" w:eastAsia="zh-CN"/>
        </w:rPr>
      </w:pPr>
      <w:r>
        <w:rPr>
          <w:rFonts w:hint="eastAsia" w:ascii="宋体" w:hAnsi="宋体" w:cs="宋体"/>
          <w:snapToGrid/>
          <w:color w:val="auto"/>
          <w:spacing w:val="0"/>
          <w:kern w:val="2"/>
          <w:sz w:val="21"/>
          <w:szCs w:val="21"/>
          <w:highlight w:val="none"/>
          <w:lang w:val="en-US" w:eastAsia="zh-CN"/>
        </w:rPr>
        <w:t>甲方</w:t>
      </w:r>
      <w:r>
        <w:rPr>
          <w:rFonts w:hint="eastAsia" w:ascii="宋体" w:hAnsi="宋体" w:eastAsia="宋体" w:cs="宋体"/>
          <w:snapToGrid/>
          <w:color w:val="auto"/>
          <w:spacing w:val="0"/>
          <w:kern w:val="2"/>
          <w:sz w:val="21"/>
          <w:szCs w:val="21"/>
          <w:highlight w:val="none"/>
          <w:lang w:val="en-US" w:eastAsia="zh-CN"/>
        </w:rPr>
        <w:t>根据工作实际对</w:t>
      </w:r>
      <w:r>
        <w:rPr>
          <w:rFonts w:hint="eastAsia" w:ascii="宋体" w:hAnsi="宋体" w:cs="宋体"/>
          <w:snapToGrid/>
          <w:color w:val="auto"/>
          <w:spacing w:val="0"/>
          <w:kern w:val="2"/>
          <w:sz w:val="21"/>
          <w:szCs w:val="21"/>
          <w:highlight w:val="none"/>
          <w:lang w:val="en-US" w:eastAsia="zh-CN"/>
        </w:rPr>
        <w:t>乙方</w:t>
      </w:r>
      <w:r>
        <w:rPr>
          <w:rFonts w:hint="eastAsia" w:ascii="宋体" w:hAnsi="宋体" w:eastAsia="宋体" w:cs="宋体"/>
          <w:snapToGrid/>
          <w:color w:val="auto"/>
          <w:spacing w:val="0"/>
          <w:kern w:val="2"/>
          <w:sz w:val="21"/>
          <w:szCs w:val="21"/>
          <w:highlight w:val="none"/>
          <w:lang w:val="en-US" w:eastAsia="zh-CN"/>
        </w:rPr>
        <w:t>进行考核（每月至少一次不定期考核），对</w:t>
      </w:r>
      <w:r>
        <w:rPr>
          <w:rFonts w:hint="eastAsia" w:ascii="宋体" w:hAnsi="宋体" w:cs="宋体"/>
          <w:snapToGrid/>
          <w:color w:val="auto"/>
          <w:spacing w:val="0"/>
          <w:kern w:val="2"/>
          <w:sz w:val="21"/>
          <w:szCs w:val="21"/>
          <w:highlight w:val="none"/>
          <w:lang w:val="en-US" w:eastAsia="zh-CN"/>
        </w:rPr>
        <w:t>乙方</w:t>
      </w:r>
      <w:r>
        <w:rPr>
          <w:rFonts w:hint="eastAsia" w:ascii="宋体" w:hAnsi="宋体" w:eastAsia="宋体" w:cs="宋体"/>
          <w:snapToGrid/>
          <w:color w:val="auto"/>
          <w:spacing w:val="0"/>
          <w:kern w:val="2"/>
          <w:sz w:val="21"/>
          <w:szCs w:val="21"/>
          <w:highlight w:val="none"/>
          <w:lang w:val="en-US" w:eastAsia="zh-CN"/>
        </w:rPr>
        <w:t>的工作进行督促检查，发现没有达到工作要求可根据每一项检查内容对</w:t>
      </w:r>
      <w:r>
        <w:rPr>
          <w:rFonts w:hint="eastAsia" w:ascii="宋体" w:hAnsi="宋体" w:cs="宋体"/>
          <w:snapToGrid/>
          <w:color w:val="auto"/>
          <w:spacing w:val="0"/>
          <w:kern w:val="2"/>
          <w:sz w:val="21"/>
          <w:szCs w:val="21"/>
          <w:highlight w:val="none"/>
          <w:lang w:val="en-US" w:eastAsia="zh-CN"/>
        </w:rPr>
        <w:t>乙方</w:t>
      </w:r>
      <w:r>
        <w:rPr>
          <w:rFonts w:hint="eastAsia" w:ascii="宋体" w:hAnsi="宋体" w:eastAsia="宋体" w:cs="宋体"/>
          <w:snapToGrid/>
          <w:color w:val="auto"/>
          <w:spacing w:val="0"/>
          <w:kern w:val="2"/>
          <w:sz w:val="21"/>
          <w:szCs w:val="21"/>
          <w:highlight w:val="none"/>
          <w:lang w:val="en-US" w:eastAsia="zh-CN"/>
        </w:rPr>
        <w:t>给予相应的扣分，服务期内</w:t>
      </w:r>
      <w:r>
        <w:rPr>
          <w:rFonts w:hint="eastAsia" w:ascii="宋体" w:hAnsi="宋体" w:cs="宋体"/>
          <w:snapToGrid/>
          <w:color w:val="auto"/>
          <w:spacing w:val="0"/>
          <w:kern w:val="2"/>
          <w:sz w:val="21"/>
          <w:szCs w:val="21"/>
          <w:highlight w:val="none"/>
          <w:lang w:val="en-US" w:eastAsia="zh-CN"/>
        </w:rPr>
        <w:t>甲方</w:t>
      </w:r>
      <w:r>
        <w:rPr>
          <w:rFonts w:hint="eastAsia" w:ascii="宋体" w:hAnsi="宋体" w:eastAsia="宋体" w:cs="宋体"/>
          <w:snapToGrid/>
          <w:color w:val="auto"/>
          <w:spacing w:val="0"/>
          <w:kern w:val="2"/>
          <w:sz w:val="21"/>
          <w:szCs w:val="21"/>
          <w:highlight w:val="none"/>
          <w:lang w:val="en-US" w:eastAsia="zh-CN"/>
        </w:rPr>
        <w:t>发现需要整改的，</w:t>
      </w:r>
      <w:r>
        <w:rPr>
          <w:rFonts w:hint="eastAsia" w:ascii="宋体" w:hAnsi="宋体" w:cs="宋体"/>
          <w:snapToGrid/>
          <w:color w:val="auto"/>
          <w:spacing w:val="0"/>
          <w:kern w:val="2"/>
          <w:sz w:val="21"/>
          <w:szCs w:val="21"/>
          <w:highlight w:val="none"/>
          <w:lang w:val="en-US" w:eastAsia="zh-CN"/>
        </w:rPr>
        <w:t>乙方</w:t>
      </w:r>
      <w:r>
        <w:rPr>
          <w:rFonts w:hint="eastAsia" w:ascii="宋体" w:hAnsi="宋体" w:eastAsia="宋体" w:cs="宋体"/>
          <w:snapToGrid/>
          <w:color w:val="auto"/>
          <w:spacing w:val="0"/>
          <w:kern w:val="2"/>
          <w:sz w:val="21"/>
          <w:szCs w:val="21"/>
          <w:highlight w:val="none"/>
          <w:lang w:val="en-US" w:eastAsia="zh-CN"/>
        </w:rPr>
        <w:t>应在</w:t>
      </w:r>
      <w:r>
        <w:rPr>
          <w:rFonts w:hint="eastAsia" w:ascii="宋体" w:hAnsi="宋体" w:cs="宋体"/>
          <w:snapToGrid/>
          <w:color w:val="auto"/>
          <w:spacing w:val="0"/>
          <w:kern w:val="2"/>
          <w:sz w:val="21"/>
          <w:szCs w:val="21"/>
          <w:highlight w:val="none"/>
          <w:lang w:val="en-US" w:eastAsia="zh-CN"/>
        </w:rPr>
        <w:t>甲方</w:t>
      </w:r>
      <w:r>
        <w:rPr>
          <w:rFonts w:hint="eastAsia" w:ascii="宋体" w:hAnsi="宋体" w:eastAsia="宋体" w:cs="宋体"/>
          <w:snapToGrid/>
          <w:color w:val="auto"/>
          <w:spacing w:val="0"/>
          <w:kern w:val="2"/>
          <w:sz w:val="21"/>
          <w:szCs w:val="21"/>
          <w:highlight w:val="none"/>
          <w:lang w:val="en-US" w:eastAsia="zh-CN"/>
        </w:rPr>
        <w:t>要求时限内进行整改，逾期或不积极配合的，或出现上述情况累计达3次或以上的，</w:t>
      </w:r>
      <w:r>
        <w:rPr>
          <w:rFonts w:hint="eastAsia" w:ascii="宋体" w:hAnsi="宋体" w:cs="宋体"/>
          <w:snapToGrid/>
          <w:color w:val="auto"/>
          <w:spacing w:val="0"/>
          <w:kern w:val="2"/>
          <w:sz w:val="21"/>
          <w:szCs w:val="21"/>
          <w:highlight w:val="none"/>
          <w:lang w:val="en-US" w:eastAsia="zh-CN"/>
        </w:rPr>
        <w:t>甲方</w:t>
      </w:r>
      <w:r>
        <w:rPr>
          <w:rFonts w:hint="eastAsia" w:ascii="宋体" w:hAnsi="宋体" w:eastAsia="宋体" w:cs="宋体"/>
          <w:snapToGrid/>
          <w:color w:val="auto"/>
          <w:spacing w:val="0"/>
          <w:kern w:val="2"/>
          <w:sz w:val="21"/>
          <w:szCs w:val="21"/>
          <w:highlight w:val="none"/>
          <w:lang w:val="en-US" w:eastAsia="zh-CN"/>
        </w:rPr>
        <w:t>有权单方面解除合同并不予退还</w:t>
      </w:r>
      <w:r>
        <w:rPr>
          <w:rFonts w:hint="eastAsia" w:ascii="宋体" w:hAnsi="宋体" w:cs="宋体"/>
          <w:snapToGrid/>
          <w:color w:val="auto"/>
          <w:spacing w:val="0"/>
          <w:kern w:val="2"/>
          <w:sz w:val="21"/>
          <w:szCs w:val="21"/>
          <w:highlight w:val="none"/>
          <w:lang w:val="en-US" w:eastAsia="zh-CN"/>
        </w:rPr>
        <w:t>乙方</w:t>
      </w:r>
      <w:r>
        <w:rPr>
          <w:rFonts w:hint="eastAsia" w:ascii="宋体" w:hAnsi="宋体" w:eastAsia="宋体" w:cs="宋体"/>
          <w:snapToGrid/>
          <w:color w:val="auto"/>
          <w:spacing w:val="0"/>
          <w:kern w:val="2"/>
          <w:sz w:val="21"/>
          <w:szCs w:val="21"/>
          <w:highlight w:val="none"/>
          <w:lang w:val="en-US" w:eastAsia="zh-CN"/>
        </w:rPr>
        <w:t>履约保证金，同时</w:t>
      </w:r>
      <w:r>
        <w:rPr>
          <w:rFonts w:hint="eastAsia" w:ascii="宋体" w:hAnsi="宋体" w:cs="宋体"/>
          <w:snapToGrid/>
          <w:color w:val="auto"/>
          <w:spacing w:val="0"/>
          <w:kern w:val="2"/>
          <w:sz w:val="21"/>
          <w:szCs w:val="21"/>
          <w:highlight w:val="none"/>
          <w:lang w:val="en-US" w:eastAsia="zh-CN"/>
        </w:rPr>
        <w:t>乙方</w:t>
      </w:r>
      <w:r>
        <w:rPr>
          <w:rFonts w:hint="eastAsia" w:ascii="宋体" w:hAnsi="宋体" w:eastAsia="宋体" w:cs="宋体"/>
          <w:snapToGrid/>
          <w:color w:val="auto"/>
          <w:spacing w:val="0"/>
          <w:kern w:val="2"/>
          <w:sz w:val="21"/>
          <w:szCs w:val="21"/>
          <w:highlight w:val="none"/>
          <w:lang w:val="en-US" w:eastAsia="zh-CN"/>
        </w:rPr>
        <w:t>承担相应的责任和赔偿</w:t>
      </w:r>
      <w:r>
        <w:rPr>
          <w:rFonts w:hint="eastAsia" w:ascii="宋体" w:hAnsi="宋体" w:cs="宋体"/>
          <w:snapToGrid/>
          <w:color w:val="auto"/>
          <w:spacing w:val="0"/>
          <w:kern w:val="2"/>
          <w:sz w:val="21"/>
          <w:szCs w:val="21"/>
          <w:highlight w:val="none"/>
          <w:lang w:val="en-US" w:eastAsia="zh-CN"/>
        </w:rPr>
        <w:t>甲方</w:t>
      </w:r>
      <w:r>
        <w:rPr>
          <w:rFonts w:hint="eastAsia" w:ascii="宋体" w:hAnsi="宋体" w:eastAsia="宋体" w:cs="宋体"/>
          <w:snapToGrid/>
          <w:color w:val="auto"/>
          <w:spacing w:val="0"/>
          <w:kern w:val="2"/>
          <w:sz w:val="21"/>
          <w:szCs w:val="21"/>
          <w:highlight w:val="none"/>
          <w:lang w:val="en-US" w:eastAsia="zh-CN"/>
        </w:rPr>
        <w:t>损失。</w:t>
      </w:r>
    </w:p>
    <w:p w14:paraId="451E0DF7">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spacing w:line="324" w:lineRule="auto"/>
        <w:ind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以下考核表仅供参考，</w:t>
      </w:r>
      <w:r>
        <w:rPr>
          <w:rFonts w:hint="eastAsia" w:ascii="宋体" w:hAnsi="宋体" w:eastAsia="宋体" w:cs="宋体"/>
          <w:b/>
          <w:bCs/>
          <w:color w:val="auto"/>
          <w:highlight w:val="none"/>
        </w:rPr>
        <w:t>对</w:t>
      </w:r>
      <w:r>
        <w:rPr>
          <w:rFonts w:hint="eastAsia" w:hAnsi="宋体" w:cs="宋体"/>
          <w:b/>
          <w:bCs/>
          <w:color w:val="auto"/>
          <w:highlight w:val="none"/>
          <w:lang w:val="en-US" w:eastAsia="zh-CN"/>
        </w:rPr>
        <w:t>乙方</w:t>
      </w:r>
      <w:r>
        <w:rPr>
          <w:rFonts w:hint="eastAsia" w:ascii="宋体" w:hAnsi="宋体" w:eastAsia="宋体" w:cs="宋体"/>
          <w:b/>
          <w:bCs/>
          <w:color w:val="auto"/>
          <w:highlight w:val="none"/>
        </w:rPr>
        <w:t>实行考核计分制，每月最高100分。</w:t>
      </w:r>
      <w:r>
        <w:rPr>
          <w:rFonts w:hint="eastAsia" w:ascii="宋体" w:hAnsi="宋体" w:eastAsia="宋体" w:cs="宋体"/>
          <w:b/>
          <w:color w:val="auto"/>
          <w:sz w:val="21"/>
          <w:szCs w:val="21"/>
          <w:highlight w:val="none"/>
        </w:rPr>
        <w:t>具体考核细则将由</w:t>
      </w:r>
      <w:r>
        <w:rPr>
          <w:rFonts w:hint="eastAsia" w:hAnsi="宋体" w:cs="宋体"/>
          <w:b/>
          <w:color w:val="auto"/>
          <w:sz w:val="21"/>
          <w:szCs w:val="21"/>
          <w:highlight w:val="none"/>
          <w:lang w:eastAsia="zh-CN"/>
        </w:rPr>
        <w:t>甲方</w:t>
      </w:r>
      <w:r>
        <w:rPr>
          <w:rFonts w:hint="eastAsia" w:ascii="宋体" w:hAnsi="宋体" w:eastAsia="宋体" w:cs="宋体"/>
          <w:b/>
          <w:color w:val="auto"/>
          <w:sz w:val="21"/>
          <w:szCs w:val="21"/>
          <w:highlight w:val="none"/>
        </w:rPr>
        <w:t>根据实际情况修改，</w:t>
      </w:r>
      <w:r>
        <w:rPr>
          <w:rFonts w:hint="eastAsia" w:hAnsi="宋体" w:cs="宋体"/>
          <w:b/>
          <w:color w:val="auto"/>
          <w:sz w:val="21"/>
          <w:szCs w:val="21"/>
          <w:highlight w:val="none"/>
          <w:lang w:eastAsia="zh-CN"/>
        </w:rPr>
        <w:t>甲方</w:t>
      </w:r>
      <w:r>
        <w:rPr>
          <w:rFonts w:hint="eastAsia" w:ascii="宋体" w:hAnsi="宋体" w:eastAsia="宋体" w:cs="宋体"/>
          <w:b/>
          <w:color w:val="auto"/>
          <w:sz w:val="21"/>
          <w:szCs w:val="21"/>
          <w:highlight w:val="none"/>
        </w:rPr>
        <w:t>对考核表保持最终修改权和解释权。</w:t>
      </w:r>
    </w:p>
    <w:tbl>
      <w:tblPr>
        <w:tblStyle w:val="1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4"/>
        <w:gridCol w:w="375"/>
        <w:gridCol w:w="1380"/>
        <w:gridCol w:w="1737"/>
        <w:gridCol w:w="1877"/>
        <w:gridCol w:w="1651"/>
        <w:gridCol w:w="872"/>
      </w:tblGrid>
      <w:tr w14:paraId="1EBA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000" w:type="pct"/>
            <w:gridSpan w:val="7"/>
            <w:tcBorders>
              <w:top w:val="nil"/>
              <w:left w:val="nil"/>
              <w:bottom w:val="nil"/>
              <w:right w:val="nil"/>
            </w:tcBorders>
            <w:noWrap w:val="0"/>
            <w:vAlign w:val="center"/>
          </w:tcPr>
          <w:p w14:paraId="2B81E92B">
            <w:pPr>
              <w:keepNext w:val="0"/>
              <w:keepLines w:val="0"/>
              <w:pageBreakBefore w:val="0"/>
              <w:widowControl/>
              <w:suppressLineNumbers w:val="0"/>
              <w:kinsoku/>
              <w:wordWrap/>
              <w:overflowPunct/>
              <w:topLinePunct w:val="0"/>
              <w:autoSpaceDE/>
              <w:autoSpaceDN/>
              <w:bidi w:val="0"/>
              <w:snapToGrid/>
              <w:spacing w:line="240" w:lineRule="auto"/>
              <w:jc w:val="center"/>
              <w:textAlignment w:val="top"/>
              <w:rPr>
                <w:rFonts w:hint="eastAsia" w:ascii="宋体" w:hAnsi="宋体" w:eastAsia="宋体" w:cs="宋体"/>
                <w:b/>
                <w:bCs/>
                <w:i w:val="0"/>
                <w:iCs w:val="0"/>
                <w:color w:val="auto"/>
                <w:sz w:val="21"/>
                <w:szCs w:val="21"/>
                <w:u w:val="single"/>
              </w:rPr>
            </w:pPr>
            <w:r>
              <w:rPr>
                <w:rFonts w:hint="eastAsia" w:ascii="宋体" w:hAnsi="宋体" w:eastAsia="宋体" w:cs="宋体"/>
                <w:b/>
                <w:bCs/>
                <w:i w:val="0"/>
                <w:iCs w:val="0"/>
                <w:color w:val="auto"/>
                <w:sz w:val="21"/>
                <w:szCs w:val="21"/>
                <w:u w:val="none"/>
              </w:rPr>
              <w:t>保安服务质量考核表</w:t>
            </w:r>
          </w:p>
        </w:tc>
      </w:tr>
      <w:tr w14:paraId="569B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000" w:type="pct"/>
            <w:gridSpan w:val="7"/>
            <w:tcBorders>
              <w:top w:val="nil"/>
              <w:left w:val="nil"/>
              <w:bottom w:val="single" w:color="auto" w:sz="4" w:space="0"/>
              <w:right w:val="nil"/>
            </w:tcBorders>
            <w:noWrap/>
            <w:vAlign w:val="center"/>
          </w:tcPr>
          <w:p w14:paraId="45EFCE84">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auto"/>
                <w:sz w:val="21"/>
                <w:szCs w:val="21"/>
                <w:u w:val="none"/>
              </w:rPr>
            </w:pPr>
            <w:r>
              <w:rPr>
                <w:rStyle w:val="42"/>
                <w:rFonts w:hint="eastAsia" w:ascii="宋体" w:hAnsi="宋体" w:eastAsia="宋体" w:cs="宋体"/>
                <w:color w:val="auto"/>
                <w:sz w:val="21"/>
                <w:szCs w:val="21"/>
                <w:u w:val="none"/>
                <w:lang w:val="en-US" w:eastAsia="zh-CN" w:bidi="ar"/>
              </w:rPr>
              <w:t>项目地点：                                         日期：____年__月__日至____年__月__日</w:t>
            </w:r>
          </w:p>
        </w:tc>
      </w:tr>
      <w:tr w14:paraId="6E69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800" w:type="pct"/>
            <w:vMerge w:val="restart"/>
            <w:tcBorders>
              <w:top w:val="single" w:color="auto" w:sz="4" w:space="0"/>
              <w:left w:val="single" w:color="auto" w:sz="4" w:space="0"/>
              <w:bottom w:val="single" w:color="auto" w:sz="4" w:space="0"/>
              <w:right w:val="single" w:color="auto" w:sz="4" w:space="0"/>
            </w:tcBorders>
            <w:noWrap w:val="0"/>
            <w:vAlign w:val="center"/>
          </w:tcPr>
          <w:p w14:paraId="1E9C38B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第一部分</w:t>
            </w:r>
          </w:p>
          <w:p w14:paraId="3651DD5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日常工作考核</w:t>
            </w: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3A7EA6C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z w:val="21"/>
                <w:szCs w:val="21"/>
                <w:u w:val="none"/>
              </w:rPr>
              <w:t>考核项目</w:t>
            </w:r>
          </w:p>
        </w:tc>
        <w:tc>
          <w:tcPr>
            <w:tcW w:w="2801" w:type="pct"/>
            <w:gridSpan w:val="3"/>
            <w:tcBorders>
              <w:top w:val="single" w:color="auto" w:sz="4" w:space="0"/>
              <w:left w:val="single" w:color="auto" w:sz="4" w:space="0"/>
              <w:bottom w:val="single" w:color="auto" w:sz="4" w:space="0"/>
              <w:right w:val="single" w:color="auto" w:sz="4" w:space="0"/>
            </w:tcBorders>
            <w:noWrap w:val="0"/>
            <w:vAlign w:val="center"/>
          </w:tcPr>
          <w:p w14:paraId="47C1677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z w:val="21"/>
                <w:szCs w:val="21"/>
                <w:u w:val="none"/>
              </w:rPr>
              <w:t>评分标准及内容</w:t>
            </w:r>
          </w:p>
        </w:tc>
        <w:tc>
          <w:tcPr>
            <w:tcW w:w="464" w:type="pct"/>
            <w:tcBorders>
              <w:top w:val="single" w:color="auto" w:sz="4" w:space="0"/>
              <w:left w:val="single" w:color="auto" w:sz="4" w:space="0"/>
              <w:bottom w:val="single" w:color="auto" w:sz="4" w:space="0"/>
              <w:right w:val="single" w:color="auto" w:sz="4" w:space="0"/>
            </w:tcBorders>
            <w:noWrap/>
            <w:vAlign w:val="center"/>
          </w:tcPr>
          <w:p w14:paraId="77CCCF8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得分</w:t>
            </w:r>
          </w:p>
        </w:tc>
      </w:tr>
      <w:tr w14:paraId="541B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4082DFB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3BFDA57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在岗情况与纪律</w:t>
            </w:r>
          </w:p>
          <w:p w14:paraId="711AB5C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0E16E179">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15分：</w:t>
            </w:r>
            <w:r>
              <w:rPr>
                <w:rFonts w:hint="eastAsia" w:ascii="宋体" w:hAnsi="宋体" w:eastAsia="宋体" w:cs="宋体"/>
                <w:i w:val="0"/>
                <w:iCs w:val="0"/>
                <w:color w:val="auto"/>
                <w:sz w:val="21"/>
                <w:szCs w:val="21"/>
                <w:u w:val="none"/>
                <w:lang w:val="en-US" w:eastAsia="zh-CN"/>
              </w:rPr>
              <w:t>在岗</w:t>
            </w:r>
            <w:r>
              <w:rPr>
                <w:rFonts w:hint="eastAsia" w:ascii="宋体" w:hAnsi="宋体" w:eastAsia="宋体" w:cs="宋体"/>
                <w:i w:val="0"/>
                <w:iCs w:val="0"/>
                <w:color w:val="auto"/>
                <w:sz w:val="21"/>
                <w:szCs w:val="21"/>
                <w:u w:val="none"/>
              </w:rPr>
              <w:t>，无任何</w:t>
            </w:r>
            <w:r>
              <w:rPr>
                <w:rFonts w:hint="eastAsia" w:ascii="宋体" w:hAnsi="宋体" w:eastAsia="宋体" w:cs="宋体"/>
                <w:i w:val="0"/>
                <w:iCs w:val="0"/>
                <w:color w:val="auto"/>
                <w:sz w:val="21"/>
                <w:szCs w:val="21"/>
                <w:u w:val="none"/>
                <w:lang w:val="en-US" w:eastAsia="zh-CN"/>
              </w:rPr>
              <w:t>脱岗或者串岗</w:t>
            </w:r>
            <w:r>
              <w:rPr>
                <w:rFonts w:hint="eastAsia" w:ascii="宋体" w:hAnsi="宋体" w:eastAsia="宋体" w:cs="宋体"/>
                <w:i w:val="0"/>
                <w:iCs w:val="0"/>
                <w:color w:val="auto"/>
                <w:sz w:val="21"/>
                <w:szCs w:val="21"/>
                <w:u w:val="none"/>
              </w:rPr>
              <w:t>，严格遵守各项规章制度。</w:t>
            </w:r>
          </w:p>
          <w:p w14:paraId="10E87454">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10-13分：偶有</w:t>
            </w:r>
            <w:r>
              <w:rPr>
                <w:rFonts w:hint="eastAsia" w:ascii="宋体" w:hAnsi="宋体" w:eastAsia="宋体" w:cs="宋体"/>
                <w:i w:val="0"/>
                <w:iCs w:val="0"/>
                <w:color w:val="auto"/>
                <w:sz w:val="21"/>
                <w:szCs w:val="21"/>
                <w:u w:val="none"/>
                <w:lang w:val="en-US" w:eastAsia="zh-CN"/>
              </w:rPr>
              <w:t>脱岗或者串岗</w:t>
            </w:r>
            <w:r>
              <w:rPr>
                <w:rFonts w:hint="eastAsia" w:ascii="宋体" w:hAnsi="宋体" w:eastAsia="宋体" w:cs="宋体"/>
                <w:i w:val="0"/>
                <w:iCs w:val="0"/>
                <w:color w:val="auto"/>
                <w:sz w:val="21"/>
                <w:szCs w:val="21"/>
                <w:u w:val="none"/>
              </w:rPr>
              <w:t>（1-2次），基本遵守纪律。</w:t>
            </w:r>
          </w:p>
          <w:p w14:paraId="3FADF410">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w:t>
            </w:r>
            <w:r>
              <w:rPr>
                <w:rFonts w:hint="eastAsia" w:ascii="宋体" w:hAnsi="宋体" w:eastAsia="宋体" w:cs="宋体"/>
                <w:i w:val="0"/>
                <w:iCs w:val="0"/>
                <w:color w:val="auto"/>
                <w:sz w:val="21"/>
                <w:szCs w:val="21"/>
                <w:u w:val="none"/>
                <w:lang w:val="en-US" w:eastAsia="zh-CN"/>
              </w:rPr>
              <w:t>离岗</w:t>
            </w:r>
            <w:r>
              <w:rPr>
                <w:rFonts w:hint="eastAsia" w:ascii="宋体" w:hAnsi="宋体" w:eastAsia="宋体" w:cs="宋体"/>
                <w:i w:val="0"/>
                <w:iCs w:val="0"/>
                <w:color w:val="auto"/>
                <w:sz w:val="21"/>
                <w:szCs w:val="21"/>
                <w:u w:val="none"/>
              </w:rPr>
              <w:t>，或多次违纪，屡教不改。</w:t>
            </w:r>
          </w:p>
        </w:tc>
        <w:tc>
          <w:tcPr>
            <w:tcW w:w="464" w:type="pct"/>
            <w:tcBorders>
              <w:top w:val="single" w:color="auto" w:sz="4" w:space="0"/>
              <w:left w:val="single" w:color="auto" w:sz="4" w:space="0"/>
              <w:bottom w:val="single" w:color="auto" w:sz="4" w:space="0"/>
              <w:right w:val="single" w:color="auto" w:sz="4" w:space="0"/>
            </w:tcBorders>
            <w:noWrap/>
            <w:vAlign w:val="top"/>
          </w:tcPr>
          <w:p w14:paraId="41BF39A5">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7B85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54661FE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2DE5D86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仪容仪表</w:t>
            </w:r>
          </w:p>
          <w:p w14:paraId="3F3E129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486283AD">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10分：制服整洁统一，穿戴规范，精神饱满，姿态端正。</w:t>
            </w:r>
          </w:p>
          <w:p w14:paraId="084AC2E9">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5-8分：基本符合要求，但偶有细节不整（如未戴帽、衣扣未扣）。</w:t>
            </w:r>
          </w:p>
          <w:p w14:paraId="465C8D90">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0分：仪容不整，严重影响公司形象。</w:t>
            </w:r>
          </w:p>
        </w:tc>
        <w:tc>
          <w:tcPr>
            <w:tcW w:w="464" w:type="pct"/>
            <w:tcBorders>
              <w:top w:val="single" w:color="auto" w:sz="4" w:space="0"/>
              <w:left w:val="single" w:color="auto" w:sz="4" w:space="0"/>
              <w:bottom w:val="single" w:color="auto" w:sz="4" w:space="0"/>
              <w:right w:val="single" w:color="auto" w:sz="4" w:space="0"/>
            </w:tcBorders>
            <w:noWrap/>
            <w:vAlign w:val="top"/>
          </w:tcPr>
          <w:p w14:paraId="4257299C">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6409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1816770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2897AA2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岗位职责履行</w:t>
            </w:r>
          </w:p>
          <w:p w14:paraId="5047DEC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04620F45">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15分：完全熟悉并出色履行岗位职责，工作主动性强。</w:t>
            </w:r>
          </w:p>
          <w:p w14:paraId="193251CA">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10-13分：能完成基本工作，但缺乏主动性，需督促。</w:t>
            </w:r>
          </w:p>
          <w:p w14:paraId="3C52B148">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0分：玩忽职守，未能完成基本工作任务。</w:t>
            </w:r>
          </w:p>
        </w:tc>
        <w:tc>
          <w:tcPr>
            <w:tcW w:w="464" w:type="pct"/>
            <w:tcBorders>
              <w:top w:val="single" w:color="auto" w:sz="4" w:space="0"/>
              <w:left w:val="single" w:color="auto" w:sz="4" w:space="0"/>
              <w:bottom w:val="single" w:color="auto" w:sz="4" w:space="0"/>
              <w:right w:val="single" w:color="auto" w:sz="4" w:space="0"/>
            </w:tcBorders>
            <w:noWrap/>
            <w:vAlign w:val="top"/>
          </w:tcPr>
          <w:p w14:paraId="1DD904C9">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61B9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277C036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64F9F0C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巡逻与检查</w:t>
            </w:r>
          </w:p>
          <w:p w14:paraId="3B9BE42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27713D86">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5分：按时、按路线、按标准巡逻，记录清晰完整，能及时发现并上报隐患。</w:t>
            </w:r>
          </w:p>
          <w:p w14:paraId="1853A912">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3分：能完成巡逻，但记录潦草或不及时，发现问题能力一般。</w:t>
            </w:r>
          </w:p>
          <w:p w14:paraId="244AAAE7">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0分：未按规定巡逻，或记录造假。</w:t>
            </w:r>
          </w:p>
        </w:tc>
        <w:tc>
          <w:tcPr>
            <w:tcW w:w="464" w:type="pct"/>
            <w:tcBorders>
              <w:top w:val="single" w:color="auto" w:sz="4" w:space="0"/>
              <w:left w:val="single" w:color="auto" w:sz="4" w:space="0"/>
              <w:bottom w:val="single" w:color="auto" w:sz="4" w:space="0"/>
              <w:right w:val="single" w:color="auto" w:sz="4" w:space="0"/>
            </w:tcBorders>
            <w:noWrap/>
            <w:vAlign w:val="top"/>
          </w:tcPr>
          <w:p w14:paraId="6CA26135">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4DD7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800" w:type="pct"/>
            <w:vMerge w:val="restart"/>
            <w:tcBorders>
              <w:top w:val="single" w:color="auto" w:sz="4" w:space="0"/>
              <w:left w:val="single" w:color="auto" w:sz="4" w:space="0"/>
              <w:bottom w:val="single" w:color="auto" w:sz="4" w:space="0"/>
              <w:right w:val="single" w:color="auto" w:sz="4" w:space="0"/>
            </w:tcBorders>
            <w:noWrap/>
            <w:vAlign w:val="center"/>
          </w:tcPr>
          <w:p w14:paraId="37A978A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第二部分</w:t>
            </w:r>
          </w:p>
          <w:p w14:paraId="3D2D8CB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专业技能与知识考核</w:t>
            </w: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696DCDA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sz w:val="21"/>
                <w:szCs w:val="21"/>
                <w:u w:val="none"/>
              </w:rPr>
              <w:t>考核项目</w:t>
            </w:r>
          </w:p>
        </w:tc>
        <w:tc>
          <w:tcPr>
            <w:tcW w:w="2801" w:type="pct"/>
            <w:gridSpan w:val="3"/>
            <w:tcBorders>
              <w:top w:val="single" w:color="auto" w:sz="4" w:space="0"/>
              <w:left w:val="single" w:color="auto" w:sz="4" w:space="0"/>
              <w:bottom w:val="single" w:color="auto" w:sz="4" w:space="0"/>
              <w:right w:val="single" w:color="auto" w:sz="4" w:space="0"/>
            </w:tcBorders>
            <w:noWrap w:val="0"/>
            <w:vAlign w:val="center"/>
          </w:tcPr>
          <w:p w14:paraId="6F336B1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sz w:val="21"/>
                <w:szCs w:val="21"/>
                <w:u w:val="none"/>
              </w:rPr>
              <w:t>评分标准及内容</w:t>
            </w:r>
          </w:p>
        </w:tc>
        <w:tc>
          <w:tcPr>
            <w:tcW w:w="464" w:type="pct"/>
            <w:tcBorders>
              <w:top w:val="single" w:color="auto" w:sz="4" w:space="0"/>
              <w:left w:val="single" w:color="auto" w:sz="4" w:space="0"/>
              <w:bottom w:val="single" w:color="auto" w:sz="4" w:space="0"/>
              <w:right w:val="single" w:color="auto" w:sz="4" w:space="0"/>
            </w:tcBorders>
            <w:noWrap/>
            <w:vAlign w:val="center"/>
          </w:tcPr>
          <w:p w14:paraId="2DC79BC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sz w:val="21"/>
                <w:szCs w:val="21"/>
                <w:u w:val="none"/>
                <w:lang w:val="en-US" w:eastAsia="zh-CN"/>
              </w:rPr>
              <w:t>得分</w:t>
            </w:r>
          </w:p>
        </w:tc>
      </w:tr>
      <w:tr w14:paraId="1085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77E6A5B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3BD610F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消防知识与技能</w:t>
            </w:r>
          </w:p>
          <w:p w14:paraId="706A865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20C3F6A5">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5分：熟练掌握消防器材使用、报警流程、疏散逃生知识，能熟练操作消防控制系 统。</w:t>
            </w:r>
          </w:p>
          <w:p w14:paraId="37BB36A9">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3分：了解基本知识，但操作不熟练或需他人指导。</w:t>
            </w:r>
          </w:p>
          <w:p w14:paraId="666B3C01">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0分：完全不懂，或操作错误造成风险。</w:t>
            </w:r>
          </w:p>
        </w:tc>
        <w:tc>
          <w:tcPr>
            <w:tcW w:w="464" w:type="pct"/>
            <w:tcBorders>
              <w:top w:val="single" w:color="auto" w:sz="4" w:space="0"/>
              <w:left w:val="single" w:color="auto" w:sz="4" w:space="0"/>
              <w:bottom w:val="single" w:color="auto" w:sz="4" w:space="0"/>
              <w:right w:val="single" w:color="auto" w:sz="4" w:space="0"/>
            </w:tcBorders>
            <w:noWrap/>
            <w:vAlign w:val="top"/>
          </w:tcPr>
          <w:p w14:paraId="21C44DD5">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10EB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084872C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2051F6F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应急处理能力</w:t>
            </w:r>
          </w:p>
          <w:p w14:paraId="7EBA952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05D04F64">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10分：遇突发事件（纠纷、火警、盗窃等）能沉着冷静，按预案正确处置，报告 及时。</w:t>
            </w:r>
          </w:p>
          <w:p w14:paraId="7D2B8FE1">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5-8分：能进行基本处置和报告，但略显慌乱或程序不完整。</w:t>
            </w:r>
          </w:p>
          <w:p w14:paraId="19555E59">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0分：面对事件不知所措，处置严重失误。</w:t>
            </w:r>
          </w:p>
        </w:tc>
        <w:tc>
          <w:tcPr>
            <w:tcW w:w="464" w:type="pct"/>
            <w:tcBorders>
              <w:top w:val="single" w:color="auto" w:sz="4" w:space="0"/>
              <w:left w:val="single" w:color="auto" w:sz="4" w:space="0"/>
              <w:bottom w:val="single" w:color="auto" w:sz="4" w:space="0"/>
              <w:right w:val="single" w:color="auto" w:sz="4" w:space="0"/>
            </w:tcBorders>
            <w:noWrap/>
            <w:vAlign w:val="top"/>
          </w:tcPr>
          <w:p w14:paraId="2362F053">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3895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70999AB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1E4BB06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出入管理与登记</w:t>
            </w:r>
          </w:p>
          <w:p w14:paraId="109E61B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5642843C">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5分：严格执行出入管理规定，登记准确无误，核实身份仔细，服务礼貌。</w:t>
            </w:r>
          </w:p>
          <w:p w14:paraId="01A6437B">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3分：能执行规定，但偶有疏忽或登记不完整。</w:t>
            </w:r>
          </w:p>
          <w:p w14:paraId="56846A4D">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0分：管理松散，形同虚设。</w:t>
            </w:r>
          </w:p>
        </w:tc>
        <w:tc>
          <w:tcPr>
            <w:tcW w:w="464" w:type="pct"/>
            <w:tcBorders>
              <w:top w:val="single" w:color="auto" w:sz="4" w:space="0"/>
              <w:left w:val="single" w:color="auto" w:sz="4" w:space="0"/>
              <w:bottom w:val="single" w:color="auto" w:sz="4" w:space="0"/>
              <w:right w:val="single" w:color="auto" w:sz="4" w:space="0"/>
            </w:tcBorders>
            <w:noWrap/>
            <w:vAlign w:val="top"/>
          </w:tcPr>
          <w:p w14:paraId="5FDF08E3">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732C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1CFB542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62A0425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监控设备操作</w:t>
            </w:r>
          </w:p>
          <w:p w14:paraId="5745E39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135058A2">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5分：熟练操作监控系统，会调取、备份录像，能及时发现屏幕异常。</w:t>
            </w:r>
          </w:p>
          <w:p w14:paraId="49F5D0B6">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3分：能进行基本操作，但调取录像等复杂操作需协助。</w:t>
            </w:r>
          </w:p>
          <w:p w14:paraId="310BE70C">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0分：不会操作或操作错误导致设备问题。</w:t>
            </w:r>
          </w:p>
        </w:tc>
        <w:tc>
          <w:tcPr>
            <w:tcW w:w="464" w:type="pct"/>
            <w:tcBorders>
              <w:top w:val="single" w:color="auto" w:sz="4" w:space="0"/>
              <w:left w:val="single" w:color="auto" w:sz="4" w:space="0"/>
              <w:bottom w:val="single" w:color="auto" w:sz="4" w:space="0"/>
              <w:right w:val="single" w:color="auto" w:sz="4" w:space="0"/>
            </w:tcBorders>
            <w:noWrap/>
            <w:vAlign w:val="top"/>
          </w:tcPr>
          <w:p w14:paraId="0381835A">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5F46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00" w:type="pct"/>
            <w:vMerge w:val="restart"/>
            <w:tcBorders>
              <w:top w:val="single" w:color="auto" w:sz="4" w:space="0"/>
              <w:left w:val="single" w:color="auto" w:sz="4" w:space="0"/>
              <w:bottom w:val="single" w:color="auto" w:sz="4" w:space="0"/>
              <w:right w:val="single" w:color="auto" w:sz="4" w:space="0"/>
            </w:tcBorders>
            <w:noWrap/>
            <w:vAlign w:val="center"/>
          </w:tcPr>
          <w:p w14:paraId="302334D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第三部分</w:t>
            </w:r>
          </w:p>
          <w:p w14:paraId="7994103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综合素质评估</w:t>
            </w: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766352C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sz w:val="21"/>
                <w:szCs w:val="21"/>
                <w:u w:val="none"/>
              </w:rPr>
              <w:t>考核项目</w:t>
            </w:r>
          </w:p>
        </w:tc>
        <w:tc>
          <w:tcPr>
            <w:tcW w:w="2801" w:type="pct"/>
            <w:gridSpan w:val="3"/>
            <w:tcBorders>
              <w:top w:val="single" w:color="auto" w:sz="4" w:space="0"/>
              <w:left w:val="single" w:color="auto" w:sz="4" w:space="0"/>
              <w:bottom w:val="single" w:color="auto" w:sz="4" w:space="0"/>
              <w:right w:val="single" w:color="auto" w:sz="4" w:space="0"/>
            </w:tcBorders>
            <w:noWrap w:val="0"/>
            <w:vAlign w:val="center"/>
          </w:tcPr>
          <w:p w14:paraId="07BBF6C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sz w:val="21"/>
                <w:szCs w:val="21"/>
                <w:u w:val="none"/>
              </w:rPr>
              <w:t>评分标准及内容</w:t>
            </w:r>
          </w:p>
        </w:tc>
        <w:tc>
          <w:tcPr>
            <w:tcW w:w="464" w:type="pct"/>
            <w:tcBorders>
              <w:top w:val="single" w:color="auto" w:sz="4" w:space="0"/>
              <w:left w:val="single" w:color="auto" w:sz="4" w:space="0"/>
              <w:bottom w:val="single" w:color="auto" w:sz="4" w:space="0"/>
              <w:right w:val="single" w:color="auto" w:sz="4" w:space="0"/>
            </w:tcBorders>
            <w:noWrap/>
            <w:vAlign w:val="center"/>
          </w:tcPr>
          <w:p w14:paraId="6722A2D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sz w:val="21"/>
                <w:szCs w:val="21"/>
                <w:u w:val="none"/>
                <w:lang w:val="en-US" w:eastAsia="zh-CN"/>
              </w:rPr>
              <w:t>得分</w:t>
            </w:r>
          </w:p>
        </w:tc>
      </w:tr>
      <w:tr w14:paraId="442F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2A5ADFE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2E9AB6C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服务态度与沟通</w:t>
            </w:r>
          </w:p>
          <w:p w14:paraId="223C160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0DCBA091">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10分：主动热情，礼貌待人，沟通顺畅，能有效化解冲突，客户/业主评价好。</w:t>
            </w:r>
          </w:p>
          <w:p w14:paraId="3C9E4A40">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5-8分：态度一般，能完成基本沟通，无投诉。</w:t>
            </w:r>
          </w:p>
          <w:p w14:paraId="2BD4CF3F">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0分：态度恶劣，与人发生冲突，遭有效投诉。</w:t>
            </w:r>
          </w:p>
        </w:tc>
        <w:tc>
          <w:tcPr>
            <w:tcW w:w="464" w:type="pct"/>
            <w:tcBorders>
              <w:top w:val="single" w:color="auto" w:sz="4" w:space="0"/>
              <w:left w:val="single" w:color="auto" w:sz="4" w:space="0"/>
              <w:bottom w:val="single" w:color="auto" w:sz="4" w:space="0"/>
              <w:right w:val="single" w:color="auto" w:sz="4" w:space="0"/>
            </w:tcBorders>
            <w:noWrap/>
            <w:vAlign w:val="top"/>
          </w:tcPr>
          <w:p w14:paraId="390816D7">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43DE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215DDAA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5839D2A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团队合作与责任</w:t>
            </w:r>
          </w:p>
          <w:p w14:paraId="6242355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心</w:t>
            </w:r>
          </w:p>
          <w:p w14:paraId="197DBAA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0D190112">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5分：有强烈责任心，积极主动协助同事，维护团队荣誉，服从工作安排。</w:t>
            </w:r>
          </w:p>
          <w:p w14:paraId="4079CB55">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3分：能完成本职工作，团队协作性一般。</w:t>
            </w:r>
          </w:p>
          <w:p w14:paraId="2A21A73B">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0分：推卸责任，缺乏合作精神，影响团队氛围。</w:t>
            </w:r>
          </w:p>
        </w:tc>
        <w:tc>
          <w:tcPr>
            <w:tcW w:w="464" w:type="pct"/>
            <w:tcBorders>
              <w:top w:val="single" w:color="auto" w:sz="4" w:space="0"/>
              <w:left w:val="single" w:color="auto" w:sz="4" w:space="0"/>
              <w:bottom w:val="single" w:color="auto" w:sz="4" w:space="0"/>
              <w:right w:val="single" w:color="auto" w:sz="4" w:space="0"/>
            </w:tcBorders>
            <w:noWrap/>
            <w:vAlign w:val="top"/>
          </w:tcPr>
          <w:p w14:paraId="530845AA">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0927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18290E9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61BCBD5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主动性与学习能</w:t>
            </w:r>
          </w:p>
          <w:p w14:paraId="482ED4D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力</w:t>
            </w:r>
          </w:p>
          <w:p w14:paraId="45E17B2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6B2A81CA">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5分：工作积极主动，善于发现并提出问题，乐于学习新知识和技能。</w:t>
            </w:r>
          </w:p>
          <w:p w14:paraId="0FCCB103">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3分：完成指令性工作，学习主动性一般。</w:t>
            </w:r>
          </w:p>
          <w:p w14:paraId="24392C41">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0分：工作消极怠工，拒绝学习新事物。</w:t>
            </w:r>
          </w:p>
        </w:tc>
        <w:tc>
          <w:tcPr>
            <w:tcW w:w="464" w:type="pct"/>
            <w:tcBorders>
              <w:top w:val="single" w:color="auto" w:sz="4" w:space="0"/>
              <w:left w:val="single" w:color="auto" w:sz="4" w:space="0"/>
              <w:bottom w:val="single" w:color="auto" w:sz="4" w:space="0"/>
              <w:right w:val="single" w:color="auto" w:sz="4" w:space="0"/>
            </w:tcBorders>
            <w:noWrap/>
            <w:vAlign w:val="top"/>
          </w:tcPr>
          <w:p w14:paraId="2DD6AD58">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128F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4535" w:type="pct"/>
            <w:gridSpan w:val="6"/>
            <w:tcBorders>
              <w:top w:val="single" w:color="auto" w:sz="4" w:space="0"/>
              <w:left w:val="single" w:color="auto" w:sz="4" w:space="0"/>
              <w:bottom w:val="single" w:color="auto" w:sz="4" w:space="0"/>
              <w:right w:val="single" w:color="auto" w:sz="4" w:space="0"/>
            </w:tcBorders>
            <w:noWrap/>
            <w:vAlign w:val="center"/>
          </w:tcPr>
          <w:p w14:paraId="49C2F01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总计得分</w:t>
            </w:r>
          </w:p>
        </w:tc>
        <w:tc>
          <w:tcPr>
            <w:tcW w:w="464" w:type="pct"/>
            <w:tcBorders>
              <w:top w:val="single" w:color="auto" w:sz="4" w:space="0"/>
              <w:left w:val="single" w:color="auto" w:sz="4" w:space="0"/>
              <w:bottom w:val="single" w:color="auto" w:sz="4" w:space="0"/>
              <w:right w:val="single" w:color="auto" w:sz="4" w:space="0"/>
            </w:tcBorders>
            <w:noWrap/>
            <w:vAlign w:val="center"/>
          </w:tcPr>
          <w:p w14:paraId="12023397">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p>
        </w:tc>
      </w:tr>
      <w:tr w14:paraId="181D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2658" w:type="pct"/>
            <w:gridSpan w:val="4"/>
            <w:tcBorders>
              <w:top w:val="single" w:color="auto" w:sz="4" w:space="0"/>
              <w:left w:val="single" w:color="auto" w:sz="4" w:space="0"/>
              <w:bottom w:val="nil"/>
              <w:right w:val="nil"/>
            </w:tcBorders>
            <w:noWrap/>
            <w:vAlign w:val="center"/>
          </w:tcPr>
          <w:p w14:paraId="4843A76E">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甲方：佛山市三水云东海创智城产业发展有限公司</w:t>
            </w:r>
          </w:p>
        </w:tc>
        <w:tc>
          <w:tcPr>
            <w:tcW w:w="2341" w:type="pct"/>
            <w:gridSpan w:val="3"/>
            <w:tcBorders>
              <w:top w:val="single" w:color="auto" w:sz="4" w:space="0"/>
              <w:left w:val="nil"/>
              <w:bottom w:val="nil"/>
              <w:right w:val="single" w:color="auto" w:sz="4" w:space="0"/>
            </w:tcBorders>
            <w:noWrap/>
            <w:vAlign w:val="center"/>
          </w:tcPr>
          <w:p w14:paraId="355734F0">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乙方：</w:t>
            </w:r>
          </w:p>
        </w:tc>
      </w:tr>
      <w:tr w14:paraId="02A0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99" w:type="pct"/>
            <w:gridSpan w:val="2"/>
            <w:tcBorders>
              <w:top w:val="nil"/>
              <w:left w:val="single" w:color="auto" w:sz="4" w:space="0"/>
              <w:bottom w:val="nil"/>
              <w:right w:val="nil"/>
            </w:tcBorders>
            <w:noWrap/>
            <w:vAlign w:val="center"/>
          </w:tcPr>
          <w:p w14:paraId="58E01458">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评分人签名：</w:t>
            </w:r>
          </w:p>
        </w:tc>
        <w:tc>
          <w:tcPr>
            <w:tcW w:w="1658" w:type="pct"/>
            <w:gridSpan w:val="2"/>
            <w:tcBorders>
              <w:top w:val="nil"/>
              <w:left w:val="nil"/>
              <w:bottom w:val="nil"/>
              <w:right w:val="nil"/>
            </w:tcBorders>
            <w:noWrap/>
            <w:vAlign w:val="center"/>
          </w:tcPr>
          <w:p w14:paraId="01DEC57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998" w:type="pct"/>
            <w:tcBorders>
              <w:top w:val="nil"/>
              <w:left w:val="nil"/>
              <w:bottom w:val="nil"/>
              <w:right w:val="nil"/>
            </w:tcBorders>
            <w:noWrap/>
            <w:vAlign w:val="center"/>
          </w:tcPr>
          <w:p w14:paraId="0867C68C">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sz w:val="21"/>
                <w:szCs w:val="21"/>
                <w:lang w:val="en-US" w:eastAsia="zh-CN"/>
              </w:rPr>
              <w:t>项目负责人</w:t>
            </w:r>
            <w:r>
              <w:rPr>
                <w:rStyle w:val="43"/>
                <w:rFonts w:hint="eastAsia" w:ascii="宋体" w:hAnsi="宋体" w:eastAsia="宋体" w:cs="宋体"/>
                <w:color w:val="auto"/>
                <w:sz w:val="21"/>
                <w:szCs w:val="21"/>
                <w:lang w:val="en-US" w:eastAsia="zh-CN" w:bidi="ar"/>
              </w:rPr>
              <w:t>签名</w:t>
            </w:r>
            <w:r>
              <w:rPr>
                <w:rFonts w:hint="eastAsia" w:ascii="宋体" w:hAnsi="宋体" w:eastAsia="宋体" w:cs="宋体"/>
                <w:i w:val="0"/>
                <w:iCs w:val="0"/>
                <w:color w:val="auto"/>
                <w:kern w:val="0"/>
                <w:sz w:val="21"/>
                <w:szCs w:val="21"/>
                <w:u w:val="none"/>
                <w:lang w:val="en-US" w:eastAsia="zh-CN" w:bidi="ar"/>
              </w:rPr>
              <w:t>：</w:t>
            </w:r>
          </w:p>
        </w:tc>
        <w:tc>
          <w:tcPr>
            <w:tcW w:w="1342" w:type="pct"/>
            <w:gridSpan w:val="2"/>
            <w:tcBorders>
              <w:top w:val="nil"/>
              <w:left w:val="nil"/>
              <w:bottom w:val="nil"/>
              <w:right w:val="single" w:color="auto" w:sz="4" w:space="0"/>
            </w:tcBorders>
            <w:noWrap/>
            <w:vAlign w:val="center"/>
          </w:tcPr>
          <w:p w14:paraId="1B63A712">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p>
        </w:tc>
      </w:tr>
      <w:tr w14:paraId="1EBD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99" w:type="pct"/>
            <w:gridSpan w:val="2"/>
            <w:tcBorders>
              <w:top w:val="nil"/>
              <w:left w:val="single" w:color="auto" w:sz="4" w:space="0"/>
              <w:bottom w:val="nil"/>
              <w:right w:val="nil"/>
            </w:tcBorders>
            <w:noWrap/>
            <w:vAlign w:val="center"/>
          </w:tcPr>
          <w:p w14:paraId="69C21CE6">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项目负责人签名：</w:t>
            </w:r>
          </w:p>
        </w:tc>
        <w:tc>
          <w:tcPr>
            <w:tcW w:w="1658" w:type="pct"/>
            <w:gridSpan w:val="2"/>
            <w:tcBorders>
              <w:top w:val="nil"/>
              <w:left w:val="nil"/>
              <w:bottom w:val="nil"/>
              <w:right w:val="nil"/>
            </w:tcBorders>
            <w:noWrap/>
            <w:vAlign w:val="center"/>
          </w:tcPr>
          <w:p w14:paraId="4584099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2341" w:type="pct"/>
            <w:gridSpan w:val="3"/>
            <w:tcBorders>
              <w:top w:val="nil"/>
              <w:left w:val="nil"/>
              <w:bottom w:val="nil"/>
              <w:right w:val="single" w:color="auto" w:sz="4" w:space="0"/>
            </w:tcBorders>
            <w:noWrap/>
            <w:vAlign w:val="center"/>
          </w:tcPr>
          <w:p w14:paraId="5894D1FC">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p>
        </w:tc>
      </w:tr>
      <w:tr w14:paraId="2DFA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99" w:type="pct"/>
            <w:gridSpan w:val="2"/>
            <w:tcBorders>
              <w:top w:val="nil"/>
              <w:left w:val="single" w:color="auto" w:sz="4" w:space="0"/>
              <w:bottom w:val="single" w:color="auto" w:sz="4" w:space="0"/>
              <w:right w:val="nil"/>
            </w:tcBorders>
            <w:noWrap/>
            <w:vAlign w:val="center"/>
          </w:tcPr>
          <w:p w14:paraId="2D1C3899">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领导签名：</w:t>
            </w:r>
          </w:p>
        </w:tc>
        <w:tc>
          <w:tcPr>
            <w:tcW w:w="1658" w:type="pct"/>
            <w:gridSpan w:val="2"/>
            <w:tcBorders>
              <w:top w:val="nil"/>
              <w:left w:val="nil"/>
              <w:bottom w:val="single" w:color="auto" w:sz="4" w:space="0"/>
              <w:right w:val="nil"/>
            </w:tcBorders>
            <w:noWrap/>
            <w:vAlign w:val="center"/>
          </w:tcPr>
          <w:p w14:paraId="6CEA76C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2341" w:type="pct"/>
            <w:gridSpan w:val="3"/>
            <w:tcBorders>
              <w:top w:val="nil"/>
              <w:left w:val="nil"/>
              <w:bottom w:val="single" w:color="auto" w:sz="4" w:space="0"/>
              <w:right w:val="single" w:color="auto" w:sz="4" w:space="0"/>
            </w:tcBorders>
            <w:noWrap/>
            <w:vAlign w:val="center"/>
          </w:tcPr>
          <w:p w14:paraId="1CEAA90B">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p>
        </w:tc>
      </w:tr>
    </w:tbl>
    <w:p w14:paraId="12B1EFCA">
      <w:pPr>
        <w:keepNext w:val="0"/>
        <w:keepLines w:val="0"/>
        <w:pageBreakBefore w:val="0"/>
        <w:widowControl w:val="0"/>
        <w:numPr>
          <w:ilvl w:val="0"/>
          <w:numId w:val="48"/>
        </w:numPr>
        <w:tabs>
          <w:tab w:val="left" w:pos="540"/>
        </w:tabs>
        <w:kinsoku/>
        <w:wordWrap/>
        <w:overflowPunct/>
        <w:topLinePunct w:val="0"/>
        <w:autoSpaceDE/>
        <w:autoSpaceDN/>
        <w:bidi w:val="0"/>
        <w:adjustRightInd w:val="0"/>
        <w:snapToGrid/>
        <w:spacing w:line="324" w:lineRule="auto"/>
        <w:ind w:firstLine="42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备注</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对乙方实行考核计分制，每月最高100分。</w:t>
      </w:r>
    </w:p>
    <w:p w14:paraId="70D4BB0B">
      <w:pPr>
        <w:keepNext w:val="0"/>
        <w:keepLines w:val="0"/>
        <w:pageBreakBefore w:val="0"/>
        <w:widowControl w:val="0"/>
        <w:numPr>
          <w:ilvl w:val="0"/>
          <w:numId w:val="48"/>
        </w:numPr>
        <w:tabs>
          <w:tab w:val="left" w:pos="540"/>
        </w:tabs>
        <w:kinsoku/>
        <w:wordWrap/>
        <w:overflowPunct/>
        <w:topLinePunct w:val="0"/>
        <w:autoSpaceDE/>
        <w:autoSpaceDN/>
        <w:bidi w:val="0"/>
        <w:adjustRightInd w:val="0"/>
        <w:snapToGrid/>
        <w:spacing w:line="324" w:lineRule="auto"/>
        <w:ind w:firstLine="42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每月备注</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乙方每月考核得分为保安服务考核得分的平均值。每月得分值</w:t>
      </w:r>
      <w:r>
        <w:rPr>
          <w:rFonts w:hint="eastAsia" w:ascii="宋体" w:hAnsi="宋体" w:cs="宋体"/>
          <w:b w:val="0"/>
          <w:bCs w:val="0"/>
          <w:color w:val="auto"/>
          <w:highlight w:val="none"/>
          <w:lang w:val="en-US" w:eastAsia="zh-CN"/>
        </w:rPr>
        <w:t>≥</w:t>
      </w:r>
      <w:r>
        <w:rPr>
          <w:rFonts w:hint="eastAsia" w:ascii="宋体" w:hAnsi="宋体" w:eastAsia="宋体" w:cs="宋体"/>
          <w:b w:val="0"/>
          <w:bCs w:val="0"/>
          <w:color w:val="auto"/>
          <w:highlight w:val="none"/>
        </w:rPr>
        <w:t>80分，则甲方向乙方全额支付该月服务费</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得分</w:t>
      </w:r>
      <w:r>
        <w:rPr>
          <w:rFonts w:hint="eastAsia" w:ascii="宋体" w:hAnsi="宋体" w:cs="宋体"/>
          <w:b w:val="0"/>
          <w:bCs w:val="0"/>
          <w:color w:val="auto"/>
          <w:highlight w:val="none"/>
          <w:lang w:val="en-US" w:eastAsia="zh-CN"/>
        </w:rPr>
        <w:t>＜</w:t>
      </w:r>
      <w:r>
        <w:rPr>
          <w:rFonts w:hint="eastAsia" w:ascii="宋体" w:hAnsi="宋体" w:eastAsia="宋体" w:cs="宋体"/>
          <w:b w:val="0"/>
          <w:bCs w:val="0"/>
          <w:color w:val="auto"/>
          <w:highlight w:val="none"/>
        </w:rPr>
        <w:t>80分的则每少1分扣该月服务费1%，依此类推</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每月得分值</w:t>
      </w:r>
      <w:r>
        <w:rPr>
          <w:rFonts w:hint="eastAsia" w:ascii="宋体" w:hAnsi="宋体" w:cs="宋体"/>
          <w:b w:val="0"/>
          <w:bCs w:val="0"/>
          <w:color w:val="auto"/>
          <w:highlight w:val="none"/>
          <w:lang w:val="en-US" w:eastAsia="zh-CN"/>
        </w:rPr>
        <w:t>≤70分</w:t>
      </w:r>
      <w:r>
        <w:rPr>
          <w:rFonts w:hint="eastAsia" w:ascii="宋体" w:hAnsi="宋体" w:eastAsia="宋体" w:cs="宋体"/>
          <w:b w:val="0"/>
          <w:bCs w:val="0"/>
          <w:color w:val="auto"/>
          <w:highlight w:val="none"/>
        </w:rPr>
        <w:t>的则一次性扣除该月服务费的15%，连续3个月考核平均分值</w:t>
      </w:r>
      <w:r>
        <w:rPr>
          <w:rFonts w:hint="eastAsia" w:ascii="宋体" w:hAnsi="宋体" w:cs="宋体"/>
          <w:b w:val="0"/>
          <w:bCs w:val="0"/>
          <w:color w:val="auto"/>
          <w:highlight w:val="none"/>
          <w:lang w:val="en-US" w:eastAsia="zh-CN"/>
        </w:rPr>
        <w:t>≤60分</w:t>
      </w:r>
      <w:r>
        <w:rPr>
          <w:rFonts w:hint="eastAsia" w:ascii="宋体" w:hAnsi="宋体" w:eastAsia="宋体" w:cs="宋体"/>
          <w:b w:val="0"/>
          <w:bCs w:val="0"/>
          <w:color w:val="auto"/>
          <w:highlight w:val="none"/>
        </w:rPr>
        <w:t>的，甲方有权解除合同。</w:t>
      </w:r>
    </w:p>
    <w:p w14:paraId="1EE8B38C">
      <w:pPr>
        <w:pStyle w:val="47"/>
        <w:numPr>
          <w:ilvl w:val="0"/>
          <w:numId w:val="0"/>
        </w:numPr>
        <w:spacing w:line="360" w:lineRule="auto"/>
        <w:rPr>
          <w:rFonts w:hint="eastAsia" w:ascii="宋体" w:hAnsi="宋体" w:eastAsia="宋体" w:cs="宋体"/>
          <w:b/>
          <w:bCs/>
          <w:color w:val="000000"/>
          <w:sz w:val="21"/>
          <w:szCs w:val="21"/>
          <w:highlight w:val="white"/>
        </w:rPr>
      </w:pP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九</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rPr>
        <w:t>保密要求</w:t>
      </w:r>
    </w:p>
    <w:p w14:paraId="5D7E0520">
      <w:pPr>
        <w:pStyle w:val="47"/>
        <w:numPr>
          <w:ilvl w:val="0"/>
          <w:numId w:val="0"/>
        </w:numPr>
        <w:spacing w:line="360" w:lineRule="auto"/>
        <w:ind w:left="0" w:leftChars="0" w:firstLine="420" w:firstLineChars="200"/>
        <w:rPr>
          <w:rFonts w:hint="eastAsia" w:ascii="宋体" w:hAnsi="宋体" w:eastAsia="宋体" w:cs="宋体"/>
          <w:b w:val="0"/>
          <w:bCs w:val="0"/>
          <w:color w:val="000000"/>
          <w:sz w:val="21"/>
          <w:szCs w:val="21"/>
          <w:highlight w:val="white"/>
        </w:rPr>
      </w:pPr>
      <w:r>
        <w:rPr>
          <w:rFonts w:hint="eastAsia" w:ascii="宋体" w:hAnsi="宋体" w:eastAsia="宋体" w:cs="宋体"/>
          <w:b w:val="0"/>
          <w:bCs w:val="0"/>
          <w:color w:val="000000"/>
          <w:sz w:val="21"/>
          <w:szCs w:val="21"/>
        </w:rPr>
        <w:t>乙方应对本项目实施过程中涉及的数据资源、文件资料及合同具体内容等所有关于本项目的资料进行保密。未经过甲方书面文件许可，乙方不得以任何方式向第三方透露，且保密责任不因合同的中止或解除而失效。如有关技术文档和数据资料被泄密，给甲方造成损失的，乙方应承担赔偿责任；构成犯罪的，依法追究乙方刑事责任。</w:t>
      </w:r>
    </w:p>
    <w:p w14:paraId="1ADE0D86">
      <w:pPr>
        <w:pStyle w:val="47"/>
        <w:numPr>
          <w:ilvl w:val="0"/>
          <w:numId w:val="0"/>
        </w:numPr>
        <w:spacing w:line="360" w:lineRule="auto"/>
        <w:rPr>
          <w:rFonts w:hint="eastAsia" w:ascii="宋体" w:hAnsi="宋体" w:eastAsia="宋体" w:cs="宋体"/>
          <w:b/>
          <w:bCs/>
          <w:color w:val="000000"/>
          <w:sz w:val="21"/>
          <w:szCs w:val="21"/>
          <w:highlight w:val="white"/>
        </w:rPr>
      </w:pP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十、</w:t>
      </w:r>
      <w:r>
        <w:rPr>
          <w:rFonts w:hint="eastAsia" w:ascii="宋体" w:hAnsi="宋体" w:eastAsia="宋体" w:cs="宋体"/>
          <w:b/>
          <w:bCs/>
          <w:color w:val="000000"/>
          <w:sz w:val="21"/>
          <w:szCs w:val="21"/>
          <w:highlight w:val="white"/>
        </w:rPr>
        <w:t>违约责任</w:t>
      </w:r>
    </w:p>
    <w:p w14:paraId="011E38B9">
      <w:pPr>
        <w:pStyle w:val="47"/>
        <w:numPr>
          <w:ilvl w:val="0"/>
          <w:numId w:val="49"/>
        </w:numPr>
        <w:spacing w:line="360" w:lineRule="auto"/>
        <w:ind w:left="0" w:leftChars="0" w:firstLine="420" w:firstLineChars="200"/>
        <w:rPr>
          <w:rFonts w:hint="eastAsia" w:ascii="宋体" w:hAnsi="宋体" w:eastAsia="宋体" w:cs="宋体"/>
          <w:bCs/>
          <w:color w:val="000000"/>
          <w:sz w:val="21"/>
          <w:szCs w:val="21"/>
          <w:highlight w:val="white"/>
        </w:rPr>
      </w:pPr>
      <w:r>
        <w:rPr>
          <w:rFonts w:hint="eastAsia" w:ascii="宋体" w:hAnsi="宋体" w:eastAsia="宋体" w:cs="宋体"/>
          <w:bCs/>
          <w:color w:val="000000"/>
          <w:sz w:val="21"/>
          <w:szCs w:val="21"/>
          <w:highlight w:val="white"/>
        </w:rPr>
        <w:t>乙方未按要求履行合同义务时，须从违约之日起每日按合同总额的5‰比例向甲方支付违约金；逾</w:t>
      </w:r>
      <w:r>
        <w:rPr>
          <w:rFonts w:hint="eastAsia" w:ascii="宋体" w:hAnsi="宋体" w:eastAsia="宋体" w:cs="宋体"/>
          <w:bCs/>
          <w:color w:val="000000"/>
          <w:sz w:val="21"/>
          <w:szCs w:val="21"/>
          <w:highlight w:val="white"/>
          <w:u w:val="none"/>
        </w:rPr>
        <w:t>期</w:t>
      </w:r>
      <w:r>
        <w:rPr>
          <w:rFonts w:hint="eastAsia" w:ascii="宋体" w:hAnsi="宋体" w:cs="宋体"/>
          <w:bCs/>
          <w:color w:val="000000"/>
          <w:sz w:val="21"/>
          <w:szCs w:val="21"/>
          <w:highlight w:val="white"/>
          <w:u w:val="none"/>
          <w:lang w:val="en-US" w:eastAsia="zh-CN"/>
        </w:rPr>
        <w:t>3</w:t>
      </w:r>
      <w:r>
        <w:rPr>
          <w:rFonts w:hint="eastAsia" w:ascii="宋体" w:hAnsi="宋体" w:eastAsia="宋体" w:cs="宋体"/>
          <w:bCs/>
          <w:color w:val="000000"/>
          <w:sz w:val="21"/>
          <w:szCs w:val="21"/>
          <w:highlight w:val="white"/>
          <w:u w:val="none"/>
        </w:rPr>
        <w:t>日</w:t>
      </w:r>
      <w:r>
        <w:rPr>
          <w:rFonts w:hint="eastAsia" w:ascii="宋体" w:hAnsi="宋体" w:eastAsia="宋体" w:cs="宋体"/>
          <w:bCs/>
          <w:color w:val="000000"/>
          <w:sz w:val="21"/>
          <w:szCs w:val="21"/>
          <w:highlight w:val="white"/>
        </w:rPr>
        <w:t>以上时，甲方有权终止合同，不予退还</w:t>
      </w:r>
      <w:r>
        <w:rPr>
          <w:rFonts w:hint="eastAsia" w:ascii="宋体" w:hAnsi="宋体" w:cs="宋体"/>
          <w:bCs/>
          <w:color w:val="000000"/>
          <w:sz w:val="21"/>
          <w:szCs w:val="21"/>
          <w:highlight w:val="white"/>
          <w:lang w:val="en-US" w:eastAsia="zh-CN"/>
        </w:rPr>
        <w:t>乙方</w:t>
      </w:r>
      <w:r>
        <w:rPr>
          <w:rFonts w:hint="eastAsia" w:ascii="宋体" w:hAnsi="宋体" w:eastAsia="宋体" w:cs="宋体"/>
          <w:bCs/>
          <w:color w:val="000000"/>
          <w:sz w:val="21"/>
          <w:szCs w:val="21"/>
          <w:highlight w:val="white"/>
        </w:rPr>
        <w:t>履约保证金</w:t>
      </w:r>
      <w:r>
        <w:rPr>
          <w:rFonts w:hint="eastAsia" w:ascii="宋体" w:hAnsi="宋体" w:cs="宋体"/>
          <w:bCs/>
          <w:color w:val="000000"/>
          <w:sz w:val="21"/>
          <w:szCs w:val="21"/>
          <w:highlight w:val="white"/>
          <w:lang w:eastAsia="zh-CN"/>
        </w:rPr>
        <w:t>，</w:t>
      </w:r>
      <w:r>
        <w:rPr>
          <w:rFonts w:hint="eastAsia" w:ascii="宋体" w:hAnsi="宋体" w:eastAsia="宋体" w:cs="宋体"/>
          <w:bCs/>
          <w:color w:val="000000"/>
          <w:sz w:val="21"/>
          <w:szCs w:val="21"/>
          <w:highlight w:val="white"/>
        </w:rPr>
        <w:t>由此造成甲方的经济损失由乙方承担。违约金不足以弥补损失的，乙方应按全额赔偿。</w:t>
      </w:r>
    </w:p>
    <w:p w14:paraId="23B31CA1">
      <w:pPr>
        <w:pStyle w:val="47"/>
        <w:numPr>
          <w:ilvl w:val="0"/>
          <w:numId w:val="49"/>
        </w:numPr>
        <w:spacing w:line="360" w:lineRule="auto"/>
        <w:ind w:left="0" w:leftChars="0" w:firstLine="420" w:firstLineChars="200"/>
        <w:rPr>
          <w:rFonts w:hint="eastAsia" w:ascii="宋体" w:hAnsi="宋体" w:eastAsia="宋体" w:cs="宋体"/>
          <w:bCs/>
          <w:color w:val="000000"/>
          <w:sz w:val="21"/>
          <w:szCs w:val="21"/>
          <w:highlight w:val="white"/>
        </w:rPr>
      </w:pPr>
      <w:r>
        <w:rPr>
          <w:rFonts w:hint="eastAsia" w:ascii="宋体" w:hAnsi="宋体" w:eastAsia="宋体" w:cs="宋体"/>
          <w:bCs/>
          <w:color w:val="000000"/>
          <w:sz w:val="21"/>
          <w:szCs w:val="21"/>
          <w:highlight w:val="white"/>
        </w:rPr>
        <w:t>甲方未按要求履行合同义务时，或无故拖延验收、付款时，甲方须向乙方支付滞纳金，标准为每日按逾期应付款总额的5‱</w:t>
      </w:r>
      <w:r>
        <w:rPr>
          <w:rFonts w:hint="eastAsia" w:ascii="宋体" w:hAnsi="宋体" w:eastAsia="宋体" w:cs="宋体"/>
          <w:bCs/>
          <w:color w:val="000000"/>
          <w:sz w:val="21"/>
          <w:szCs w:val="21"/>
          <w:highlight w:val="white"/>
          <w:lang w:val="en-US" w:eastAsia="zh-CN"/>
        </w:rPr>
        <w:t xml:space="preserve"> </w:t>
      </w:r>
      <w:r>
        <w:rPr>
          <w:rFonts w:hint="eastAsia" w:ascii="宋体" w:hAnsi="宋体" w:eastAsia="宋体" w:cs="宋体"/>
          <w:bCs/>
          <w:color w:val="000000"/>
          <w:sz w:val="21"/>
          <w:szCs w:val="21"/>
          <w:highlight w:val="white"/>
        </w:rPr>
        <w:t>累计。</w:t>
      </w:r>
    </w:p>
    <w:p w14:paraId="7D073402">
      <w:pPr>
        <w:pStyle w:val="47"/>
        <w:numPr>
          <w:ilvl w:val="0"/>
          <w:numId w:val="0"/>
        </w:numPr>
        <w:spacing w:line="360" w:lineRule="auto"/>
        <w:rPr>
          <w:rFonts w:hint="eastAsia" w:ascii="宋体" w:hAnsi="宋体" w:eastAsia="宋体" w:cs="宋体"/>
          <w:b/>
          <w:bCs/>
          <w:color w:val="000000"/>
          <w:sz w:val="21"/>
          <w:szCs w:val="21"/>
          <w:highlight w:val="white"/>
        </w:rPr>
      </w:pP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十</w:t>
      </w: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一</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highlight w:val="white"/>
        </w:rPr>
        <w:t>提出异议的时间和方法</w:t>
      </w:r>
    </w:p>
    <w:p w14:paraId="3C828876">
      <w:pPr>
        <w:pStyle w:val="47"/>
        <w:numPr>
          <w:ilvl w:val="0"/>
          <w:numId w:val="50"/>
        </w:numPr>
        <w:spacing w:line="360" w:lineRule="auto"/>
        <w:ind w:left="0" w:leftChars="0" w:firstLine="420" w:firstLineChars="200"/>
        <w:rPr>
          <w:rFonts w:hint="eastAsia" w:ascii="宋体" w:hAnsi="宋体" w:eastAsia="宋体" w:cs="宋体"/>
          <w:bCs/>
          <w:color w:val="000000"/>
          <w:sz w:val="21"/>
          <w:szCs w:val="21"/>
          <w:highlight w:val="white"/>
          <w:u w:val="none"/>
        </w:rPr>
      </w:pPr>
      <w:r>
        <w:rPr>
          <w:rFonts w:hint="eastAsia" w:ascii="宋体" w:hAnsi="宋体" w:eastAsia="宋体" w:cs="宋体"/>
          <w:bCs/>
          <w:color w:val="000000"/>
          <w:sz w:val="21"/>
          <w:szCs w:val="21"/>
          <w:highlight w:val="white"/>
        </w:rPr>
        <w:t>甲方有异议时</w:t>
      </w:r>
      <w:r>
        <w:rPr>
          <w:rFonts w:hint="eastAsia" w:ascii="宋体" w:hAnsi="宋体" w:eastAsia="宋体" w:cs="宋体"/>
          <w:bCs/>
          <w:color w:val="000000"/>
          <w:sz w:val="21"/>
          <w:szCs w:val="21"/>
          <w:highlight w:val="white"/>
          <w:u w:val="none"/>
        </w:rPr>
        <w:t>，应</w:t>
      </w:r>
      <w:r>
        <w:rPr>
          <w:rFonts w:hint="eastAsia" w:ascii="宋体" w:hAnsi="宋体" w:cs="宋体"/>
          <w:color w:val="000000"/>
          <w:sz w:val="21"/>
          <w:szCs w:val="21"/>
          <w:u w:val="none"/>
          <w:lang w:val="en-US" w:eastAsia="zh-CN"/>
        </w:rPr>
        <w:t>3</w:t>
      </w:r>
      <w:r>
        <w:rPr>
          <w:rFonts w:hint="eastAsia" w:ascii="宋体" w:hAnsi="宋体" w:eastAsia="宋体" w:cs="宋体"/>
          <w:bCs/>
          <w:color w:val="000000"/>
          <w:sz w:val="21"/>
          <w:szCs w:val="21"/>
          <w:highlight w:val="white"/>
          <w:u w:val="none"/>
        </w:rPr>
        <w:t>天内向乙方提出书面异议。</w:t>
      </w:r>
    </w:p>
    <w:p w14:paraId="777D2ED1">
      <w:pPr>
        <w:pStyle w:val="47"/>
        <w:numPr>
          <w:ilvl w:val="0"/>
          <w:numId w:val="50"/>
        </w:numPr>
        <w:spacing w:line="360" w:lineRule="auto"/>
        <w:ind w:left="0" w:leftChars="0" w:firstLine="420" w:firstLineChars="200"/>
        <w:rPr>
          <w:rFonts w:hint="eastAsia" w:ascii="宋体" w:hAnsi="宋体" w:eastAsia="宋体" w:cs="宋体"/>
          <w:bCs/>
          <w:color w:val="000000"/>
          <w:sz w:val="21"/>
          <w:szCs w:val="21"/>
          <w:highlight w:val="white"/>
        </w:rPr>
      </w:pPr>
      <w:r>
        <w:rPr>
          <w:rFonts w:hint="eastAsia" w:ascii="宋体" w:hAnsi="宋体" w:eastAsia="宋体" w:cs="宋体"/>
          <w:bCs/>
          <w:color w:val="000000"/>
          <w:sz w:val="21"/>
          <w:szCs w:val="21"/>
          <w:highlight w:val="white"/>
          <w:u w:val="none"/>
        </w:rPr>
        <w:t>乙方在接到甲方书面异议后，应</w:t>
      </w:r>
      <w:r>
        <w:rPr>
          <w:rFonts w:hint="eastAsia" w:ascii="宋体" w:hAnsi="宋体" w:eastAsia="宋体" w:cs="宋体"/>
          <w:bCs/>
          <w:color w:val="000000"/>
          <w:sz w:val="21"/>
          <w:szCs w:val="21"/>
          <w:highlight w:val="white"/>
        </w:rPr>
        <w:t>在3天内负责处理并函复甲方处理情况，否则，即视为默认甲方提出的异议和处理意见。</w:t>
      </w:r>
    </w:p>
    <w:p w14:paraId="4B8D6F06">
      <w:pPr>
        <w:pStyle w:val="47"/>
        <w:numPr>
          <w:ilvl w:val="0"/>
          <w:numId w:val="50"/>
        </w:numPr>
        <w:spacing w:line="360" w:lineRule="auto"/>
        <w:ind w:left="0" w:leftChars="0" w:firstLine="420" w:firstLineChars="200"/>
        <w:rPr>
          <w:rFonts w:hint="eastAsia" w:ascii="宋体" w:hAnsi="宋体" w:eastAsia="宋体" w:cs="宋体"/>
          <w:bCs/>
          <w:color w:val="000000"/>
          <w:sz w:val="21"/>
          <w:szCs w:val="21"/>
          <w:highlight w:val="white"/>
        </w:rPr>
      </w:pPr>
      <w:r>
        <w:rPr>
          <w:rFonts w:hint="eastAsia" w:ascii="宋体" w:hAnsi="宋体" w:eastAsia="宋体" w:cs="宋体"/>
          <w:bCs/>
          <w:color w:val="000000"/>
          <w:sz w:val="21"/>
          <w:szCs w:val="21"/>
          <w:highlight w:val="white"/>
        </w:rPr>
        <w:t>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14:paraId="14E68B85">
      <w:pPr>
        <w:pStyle w:val="47"/>
        <w:numPr>
          <w:ilvl w:val="0"/>
          <w:numId w:val="0"/>
        </w:numPr>
        <w:spacing w:line="360" w:lineRule="auto"/>
        <w:rPr>
          <w:rFonts w:hint="eastAsia" w:ascii="宋体" w:hAnsi="宋体" w:eastAsia="宋体" w:cs="宋体"/>
          <w:b/>
          <w:bCs/>
          <w:color w:val="000000"/>
          <w:sz w:val="21"/>
          <w:szCs w:val="21"/>
          <w:highlight w:val="white"/>
        </w:rPr>
      </w:pP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十</w:t>
      </w: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二</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highlight w:val="white"/>
        </w:rPr>
        <w:t>争议的解决</w:t>
      </w:r>
    </w:p>
    <w:p w14:paraId="51E4B285">
      <w:pPr>
        <w:pStyle w:val="47"/>
        <w:numPr>
          <w:ilvl w:val="0"/>
          <w:numId w:val="51"/>
        </w:numPr>
        <w:spacing w:line="360" w:lineRule="auto"/>
        <w:ind w:left="0" w:leftChars="0" w:firstLine="420" w:firstLineChars="200"/>
        <w:rPr>
          <w:rFonts w:hint="eastAsia" w:ascii="宋体" w:hAnsi="宋体" w:eastAsia="宋体" w:cs="宋体"/>
          <w:bCs/>
          <w:color w:val="000000"/>
          <w:sz w:val="21"/>
          <w:szCs w:val="21"/>
          <w:highlight w:val="white"/>
        </w:rPr>
      </w:pPr>
      <w:r>
        <w:rPr>
          <w:rFonts w:hint="eastAsia" w:ascii="宋体" w:hAnsi="宋体" w:eastAsia="宋体" w:cs="宋体"/>
          <w:bCs/>
          <w:color w:val="000000"/>
          <w:sz w:val="21"/>
          <w:szCs w:val="21"/>
          <w:highlight w:val="white"/>
        </w:rPr>
        <w:t>合同履行过程中发生的任何争议，如双方未能通过友好协商解决，应向</w:t>
      </w:r>
      <w:r>
        <w:rPr>
          <w:rFonts w:hint="eastAsia" w:ascii="宋体" w:hAnsi="宋体" w:cs="宋体"/>
          <w:bCs/>
          <w:color w:val="000000"/>
          <w:sz w:val="21"/>
          <w:szCs w:val="21"/>
          <w:highlight w:val="white"/>
          <w:lang w:val="en-US" w:eastAsia="zh-CN"/>
        </w:rPr>
        <w:t>甲方</w:t>
      </w:r>
      <w:r>
        <w:rPr>
          <w:rFonts w:hint="eastAsia" w:ascii="宋体" w:hAnsi="宋体" w:cs="宋体"/>
          <w:bCs/>
          <w:color w:val="000000"/>
          <w:sz w:val="21"/>
          <w:szCs w:val="21"/>
          <w:highlight w:val="white"/>
          <w:lang w:eastAsia="zh-CN"/>
        </w:rPr>
        <w:t>所在地</w:t>
      </w:r>
      <w:r>
        <w:rPr>
          <w:rFonts w:hint="eastAsia" w:ascii="宋体" w:hAnsi="宋体" w:eastAsia="宋体" w:cs="宋体"/>
          <w:bCs/>
          <w:color w:val="000000"/>
          <w:sz w:val="21"/>
          <w:szCs w:val="21"/>
          <w:highlight w:val="white"/>
        </w:rPr>
        <w:t>的人民法院提起诉讼。</w:t>
      </w:r>
    </w:p>
    <w:p w14:paraId="4E87D0B6">
      <w:pPr>
        <w:pStyle w:val="47"/>
        <w:numPr>
          <w:ilvl w:val="0"/>
          <w:numId w:val="51"/>
        </w:numPr>
        <w:spacing w:line="360" w:lineRule="auto"/>
        <w:ind w:left="0" w:leftChars="0" w:firstLine="420" w:firstLineChars="200"/>
        <w:rPr>
          <w:rFonts w:hint="eastAsia" w:ascii="宋体" w:hAnsi="宋体" w:eastAsia="宋体" w:cs="宋体"/>
          <w:bCs/>
          <w:color w:val="000000"/>
          <w:sz w:val="21"/>
          <w:szCs w:val="21"/>
          <w:highlight w:val="white"/>
        </w:rPr>
      </w:pPr>
      <w:r>
        <w:rPr>
          <w:rFonts w:hint="eastAsia" w:ascii="宋体" w:hAnsi="宋体" w:eastAsia="宋体" w:cs="宋体"/>
          <w:bCs/>
          <w:color w:val="000000"/>
          <w:sz w:val="21"/>
          <w:szCs w:val="21"/>
          <w:highlight w:val="white"/>
        </w:rPr>
        <w:t>法院审理期间，除提交法院审理的事项外，其它无争议的事项和条款仍应继续履行。</w:t>
      </w:r>
    </w:p>
    <w:p w14:paraId="7DDE9A23">
      <w:pPr>
        <w:pStyle w:val="47"/>
        <w:numPr>
          <w:ilvl w:val="0"/>
          <w:numId w:val="0"/>
        </w:numPr>
        <w:spacing w:line="360" w:lineRule="auto"/>
        <w:rPr>
          <w:rFonts w:hint="eastAsia" w:ascii="宋体" w:hAnsi="宋体" w:eastAsia="宋体" w:cs="宋体"/>
          <w:b/>
          <w:bCs/>
          <w:color w:val="000000"/>
          <w:sz w:val="21"/>
          <w:szCs w:val="21"/>
        </w:rPr>
      </w:pP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十</w:t>
      </w: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三</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highlight w:val="white"/>
        </w:rPr>
        <w:t>不可抗力</w:t>
      </w:r>
    </w:p>
    <w:p w14:paraId="3B0EC373">
      <w:pPr>
        <w:pStyle w:val="49"/>
        <w:spacing w:line="360" w:lineRule="auto"/>
        <w:ind w:firstLine="420"/>
        <w:rPr>
          <w:rFonts w:hint="eastAsia" w:ascii="宋体" w:hAnsi="宋体" w:eastAsia="宋体" w:cs="宋体"/>
          <w:bCs/>
          <w:color w:val="000000"/>
          <w:sz w:val="21"/>
          <w:szCs w:val="21"/>
        </w:rPr>
      </w:pPr>
      <w:r>
        <w:rPr>
          <w:rFonts w:hint="eastAsia" w:ascii="宋体" w:hAnsi="宋体" w:eastAsia="宋体" w:cs="宋体"/>
          <w:bCs/>
          <w:color w:val="000000"/>
          <w:sz w:val="21"/>
          <w:szCs w:val="21"/>
          <w:highlight w:val="whit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7646B25A">
      <w:pPr>
        <w:pStyle w:val="47"/>
        <w:numPr>
          <w:ilvl w:val="0"/>
          <w:numId w:val="0"/>
        </w:numPr>
        <w:spacing w:line="360" w:lineRule="auto"/>
        <w:rPr>
          <w:rFonts w:hint="eastAsia" w:ascii="宋体" w:hAnsi="宋体" w:eastAsia="宋体" w:cs="宋体"/>
          <w:b/>
          <w:bCs/>
          <w:color w:val="000000"/>
          <w:sz w:val="21"/>
          <w:szCs w:val="21"/>
          <w:highlight w:val="white"/>
        </w:rPr>
      </w:pP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十</w:t>
      </w: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四</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highlight w:val="white"/>
        </w:rPr>
        <w:t>税费</w:t>
      </w:r>
    </w:p>
    <w:p w14:paraId="167A9136">
      <w:pPr>
        <w:pStyle w:val="47"/>
        <w:numPr>
          <w:ilvl w:val="0"/>
          <w:numId w:val="52"/>
        </w:numPr>
        <w:spacing w:line="360" w:lineRule="auto"/>
        <w:ind w:left="0" w:leftChars="0" w:firstLine="420" w:firstLineChars="200"/>
        <w:rPr>
          <w:rFonts w:hint="eastAsia" w:ascii="宋体" w:hAnsi="宋体" w:eastAsia="宋体" w:cs="宋体"/>
          <w:bCs/>
          <w:color w:val="000000"/>
          <w:sz w:val="21"/>
          <w:szCs w:val="21"/>
          <w:highlight w:val="white"/>
        </w:rPr>
      </w:pPr>
      <w:r>
        <w:rPr>
          <w:rFonts w:hint="eastAsia" w:ascii="宋体" w:hAnsi="宋体" w:cs="宋体"/>
          <w:bCs/>
          <w:color w:val="000000"/>
          <w:sz w:val="21"/>
          <w:szCs w:val="21"/>
          <w:highlight w:val="white"/>
          <w:lang w:eastAsia="zh-CN"/>
        </w:rPr>
        <w:t>本项目合同</w:t>
      </w:r>
      <w:r>
        <w:rPr>
          <w:rFonts w:hint="eastAsia" w:ascii="宋体" w:hAnsi="宋体" w:eastAsia="宋体" w:cs="宋体"/>
          <w:bCs/>
          <w:color w:val="000000"/>
          <w:sz w:val="21"/>
          <w:szCs w:val="21"/>
          <w:highlight w:val="white"/>
        </w:rPr>
        <w:t>实施过程中所发生的一切税费及不可预见费均由乙方承担。</w:t>
      </w:r>
    </w:p>
    <w:p w14:paraId="432AA5A3">
      <w:pPr>
        <w:pStyle w:val="47"/>
        <w:numPr>
          <w:ilvl w:val="0"/>
          <w:numId w:val="52"/>
        </w:numPr>
        <w:spacing w:line="360" w:lineRule="auto"/>
        <w:ind w:left="0" w:leftChars="0" w:firstLine="420" w:firstLineChars="200"/>
        <w:rPr>
          <w:rFonts w:hint="eastAsia" w:ascii="宋体" w:hAnsi="宋体" w:eastAsia="宋体" w:cs="宋体"/>
          <w:bCs/>
          <w:color w:val="000000"/>
          <w:sz w:val="21"/>
          <w:szCs w:val="21"/>
          <w:highlight w:val="white"/>
        </w:rPr>
      </w:pPr>
      <w:r>
        <w:rPr>
          <w:rFonts w:hint="eastAsia" w:ascii="宋体" w:hAnsi="宋体" w:eastAsia="宋体" w:cs="宋体"/>
          <w:bCs/>
          <w:color w:val="000000"/>
          <w:sz w:val="21"/>
          <w:szCs w:val="21"/>
          <w:highlight w:val="white"/>
        </w:rPr>
        <w:t>乙方依照税务规章优先在合同履约地开具发票及纳税，咨询：0757-12366。</w:t>
      </w:r>
    </w:p>
    <w:p w14:paraId="7C316461">
      <w:pPr>
        <w:pStyle w:val="47"/>
        <w:numPr>
          <w:ilvl w:val="0"/>
          <w:numId w:val="0"/>
        </w:numPr>
        <w:spacing w:line="360" w:lineRule="auto"/>
        <w:rPr>
          <w:rFonts w:hint="eastAsia" w:ascii="宋体" w:hAnsi="宋体" w:eastAsia="宋体" w:cs="宋体"/>
          <w:b/>
          <w:bCs/>
          <w:color w:val="000000"/>
          <w:sz w:val="21"/>
          <w:szCs w:val="21"/>
          <w:highlight w:val="white"/>
        </w:rPr>
      </w:pP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十</w:t>
      </w: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五</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highlight w:val="white"/>
        </w:rPr>
        <w:t>合同生效</w:t>
      </w:r>
    </w:p>
    <w:p w14:paraId="068B92F2">
      <w:pPr>
        <w:pStyle w:val="47"/>
        <w:numPr>
          <w:ilvl w:val="0"/>
          <w:numId w:val="0"/>
        </w:numPr>
        <w:spacing w:line="360" w:lineRule="auto"/>
        <w:ind w:leftChars="200"/>
        <w:rPr>
          <w:rFonts w:hint="eastAsia" w:ascii="宋体" w:hAnsi="宋体" w:eastAsia="宋体" w:cs="宋体"/>
          <w:bCs/>
          <w:color w:val="000000"/>
          <w:sz w:val="21"/>
          <w:szCs w:val="21"/>
          <w:highlight w:val="white"/>
        </w:rPr>
      </w:pPr>
      <w:r>
        <w:rPr>
          <w:rFonts w:hint="eastAsia" w:ascii="宋体" w:hAnsi="宋体" w:cs="宋体"/>
          <w:bCs/>
          <w:color w:val="000000"/>
          <w:sz w:val="21"/>
          <w:szCs w:val="21"/>
          <w:highlight w:val="white"/>
          <w:lang w:eastAsia="zh-CN"/>
        </w:rPr>
        <w:t>本项目合同</w:t>
      </w:r>
      <w:r>
        <w:rPr>
          <w:rFonts w:hint="eastAsia" w:ascii="宋体" w:hAnsi="宋体" w:eastAsia="宋体" w:cs="宋体"/>
          <w:bCs/>
          <w:color w:val="000000"/>
          <w:sz w:val="21"/>
          <w:szCs w:val="21"/>
          <w:highlight w:val="white"/>
        </w:rPr>
        <w:t>在甲乙双方法人代表或其授权代表签字盖章后生效。</w:t>
      </w:r>
    </w:p>
    <w:p w14:paraId="2D4DF943">
      <w:pPr>
        <w:pStyle w:val="47"/>
        <w:numPr>
          <w:ilvl w:val="0"/>
          <w:numId w:val="0"/>
        </w:numPr>
        <w:spacing w:line="360" w:lineRule="auto"/>
        <w:rPr>
          <w:rFonts w:hint="eastAsia" w:ascii="宋体" w:hAnsi="宋体" w:eastAsia="宋体" w:cs="宋体"/>
          <w:b/>
          <w:bCs/>
          <w:color w:val="000000"/>
          <w:sz w:val="21"/>
          <w:szCs w:val="21"/>
          <w:highlight w:val="white"/>
        </w:rPr>
      </w:pP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十</w:t>
      </w:r>
      <w:r>
        <w:rPr>
          <w:rFonts w:hint="eastAsia" w:ascii="宋体" w:hAnsi="宋体" w:cs="宋体"/>
          <w:b/>
          <w:bCs/>
          <w:i w:val="0"/>
          <w:caps w:val="0"/>
          <w:outline w:val="0"/>
          <w:shadow w:val="0"/>
          <w:emboss w:val="0"/>
          <w:imprint w:val="0"/>
          <w:color w:val="000000"/>
          <w:spacing w:val="0"/>
          <w:w w:val="100"/>
          <w:kern w:val="2"/>
          <w:sz w:val="21"/>
          <w:szCs w:val="21"/>
          <w:u w:val="none"/>
          <w:lang w:val="en-US" w:eastAsia="zh-CN" w:bidi="ar-SA"/>
        </w:rPr>
        <w:t>六</w:t>
      </w:r>
      <w:r>
        <w:rPr>
          <w:rFonts w:hint="eastAsia" w:ascii="宋体" w:hAnsi="宋体" w:eastAsia="宋体" w:cs="宋体"/>
          <w:b/>
          <w:bCs/>
          <w:i w:val="0"/>
          <w:caps w:val="0"/>
          <w:outline w:val="0"/>
          <w:shadow w:val="0"/>
          <w:emboss w:val="0"/>
          <w:imprint w:val="0"/>
          <w:color w:val="000000"/>
          <w:spacing w:val="0"/>
          <w:w w:val="100"/>
          <w:kern w:val="2"/>
          <w:sz w:val="21"/>
          <w:szCs w:val="21"/>
          <w:u w:val="none"/>
          <w:lang w:val="en-US" w:eastAsia="zh-CN" w:bidi="ar-SA"/>
        </w:rPr>
        <w:t>、</w:t>
      </w:r>
      <w:r>
        <w:rPr>
          <w:rFonts w:hint="eastAsia" w:ascii="宋体" w:hAnsi="宋体" w:eastAsia="宋体" w:cs="宋体"/>
          <w:b/>
          <w:bCs/>
          <w:color w:val="000000"/>
          <w:sz w:val="21"/>
          <w:szCs w:val="21"/>
          <w:highlight w:val="white"/>
        </w:rPr>
        <w:t>其它</w:t>
      </w:r>
    </w:p>
    <w:p w14:paraId="22A9AE85">
      <w:pPr>
        <w:pStyle w:val="47"/>
        <w:numPr>
          <w:ilvl w:val="0"/>
          <w:numId w:val="53"/>
        </w:numPr>
        <w:spacing w:line="360" w:lineRule="auto"/>
        <w:ind w:left="0" w:leftChars="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highlight w:val="white"/>
        </w:rPr>
        <w:t>所有经一方或双方签署确认的文件（包括会议纪要、补充协议、往来信函）、采购文件、要约文件和响应承诺文件、合同附件及</w:t>
      </w:r>
      <w:r>
        <w:rPr>
          <w:rFonts w:hint="eastAsia" w:ascii="宋体" w:hAnsi="宋体" w:eastAsia="宋体" w:cs="宋体"/>
          <w:color w:val="000000"/>
          <w:sz w:val="21"/>
          <w:szCs w:val="21"/>
        </w:rPr>
        <w:t>中标（成交）通知书</w:t>
      </w:r>
      <w:r>
        <w:rPr>
          <w:rFonts w:hint="eastAsia" w:ascii="宋体" w:hAnsi="宋体" w:eastAsia="宋体" w:cs="宋体"/>
          <w:color w:val="000000"/>
          <w:sz w:val="21"/>
          <w:szCs w:val="21"/>
          <w:highlight w:val="white"/>
        </w:rPr>
        <w:t>均为</w:t>
      </w:r>
      <w:r>
        <w:rPr>
          <w:rFonts w:hint="eastAsia" w:ascii="宋体" w:hAnsi="宋体" w:cs="宋体"/>
          <w:color w:val="000000"/>
          <w:sz w:val="21"/>
          <w:szCs w:val="21"/>
          <w:highlight w:val="white"/>
          <w:lang w:eastAsia="zh-CN"/>
        </w:rPr>
        <w:t>本项目合同</w:t>
      </w:r>
      <w:r>
        <w:rPr>
          <w:rFonts w:hint="eastAsia" w:ascii="宋体" w:hAnsi="宋体" w:eastAsia="宋体" w:cs="宋体"/>
          <w:color w:val="000000"/>
          <w:sz w:val="21"/>
          <w:szCs w:val="21"/>
          <w:highlight w:val="white"/>
        </w:rPr>
        <w:t>不可分割的有效组成部分，与</w:t>
      </w:r>
      <w:r>
        <w:rPr>
          <w:rFonts w:hint="eastAsia" w:ascii="宋体" w:hAnsi="宋体" w:cs="宋体"/>
          <w:color w:val="000000"/>
          <w:sz w:val="21"/>
          <w:szCs w:val="21"/>
          <w:highlight w:val="white"/>
          <w:lang w:eastAsia="zh-CN"/>
        </w:rPr>
        <w:t>本项目合同</w:t>
      </w:r>
      <w:r>
        <w:rPr>
          <w:rFonts w:hint="eastAsia" w:ascii="宋体" w:hAnsi="宋体" w:eastAsia="宋体" w:cs="宋体"/>
          <w:color w:val="000000"/>
          <w:sz w:val="21"/>
          <w:szCs w:val="21"/>
          <w:highlight w:val="white"/>
        </w:rPr>
        <w:t>具有同等的法律效力和履约义务，其缔约生效日期为有效签署或盖章确认之日期。</w:t>
      </w:r>
    </w:p>
    <w:p w14:paraId="6C6E7EF4">
      <w:pPr>
        <w:pStyle w:val="47"/>
        <w:numPr>
          <w:ilvl w:val="0"/>
          <w:numId w:val="53"/>
        </w:numPr>
        <w:spacing w:line="360" w:lineRule="auto"/>
        <w:ind w:left="0" w:leftChars="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如一方（包括联系人）地址、电话、传真号码有变更，应在变更后3个工作日内书面通知对方联系人或负责人，否则，因此造成的损失由未履行通知义务方承担相应责任。</w:t>
      </w:r>
    </w:p>
    <w:p w14:paraId="13E0178C">
      <w:pPr>
        <w:pStyle w:val="47"/>
        <w:numPr>
          <w:ilvl w:val="0"/>
          <w:numId w:val="53"/>
        </w:numPr>
        <w:spacing w:line="360" w:lineRule="auto"/>
        <w:ind w:left="0" w:leftChars="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highlight w:val="white"/>
        </w:rPr>
        <w:t>未经甲方书面同意，乙方不得擅自向第三方转让其主体性和关键性合同义务。</w:t>
      </w:r>
    </w:p>
    <w:p w14:paraId="44F71385">
      <w:pPr>
        <w:pStyle w:val="47"/>
        <w:numPr>
          <w:ilvl w:val="0"/>
          <w:numId w:val="53"/>
        </w:numPr>
        <w:spacing w:line="360" w:lineRule="auto"/>
        <w:ind w:left="0" w:leftChars="0" w:firstLine="420" w:firstLineChars="200"/>
        <w:rPr>
          <w:rFonts w:hint="eastAsia" w:ascii="宋体" w:hAnsi="宋体" w:eastAsia="宋体" w:cs="宋体"/>
          <w:color w:val="000000"/>
          <w:sz w:val="21"/>
          <w:szCs w:val="21"/>
        </w:rPr>
      </w:pPr>
      <w:r>
        <w:rPr>
          <w:rFonts w:hint="eastAsia" w:ascii="宋体" w:hAnsi="宋体" w:cs="宋体"/>
          <w:bCs/>
          <w:color w:val="000000"/>
          <w:sz w:val="21"/>
          <w:szCs w:val="21"/>
          <w:highlight w:val="white"/>
          <w:lang w:eastAsia="zh-CN"/>
        </w:rPr>
        <w:t>本项目合同</w:t>
      </w:r>
      <w:r>
        <w:rPr>
          <w:rFonts w:hint="eastAsia" w:ascii="宋体" w:hAnsi="宋体" w:eastAsia="宋体" w:cs="宋体"/>
          <w:bCs/>
          <w:color w:val="000000"/>
          <w:sz w:val="21"/>
          <w:szCs w:val="21"/>
          <w:highlight w:val="white"/>
        </w:rPr>
        <w:t>一式</w:t>
      </w:r>
      <w:r>
        <w:rPr>
          <w:rFonts w:hint="eastAsia" w:ascii="宋体" w:hAnsi="宋体" w:eastAsia="宋体" w:cs="宋体"/>
          <w:bCs/>
          <w:color w:val="000000"/>
          <w:sz w:val="21"/>
          <w:szCs w:val="21"/>
          <w:highlight w:val="white"/>
          <w:u w:val="single"/>
        </w:rPr>
        <w:t xml:space="preserve">    </w:t>
      </w:r>
      <w:r>
        <w:rPr>
          <w:rFonts w:hint="eastAsia" w:ascii="宋体" w:hAnsi="宋体" w:eastAsia="宋体" w:cs="宋体"/>
          <w:bCs/>
          <w:color w:val="000000"/>
          <w:sz w:val="21"/>
          <w:szCs w:val="21"/>
          <w:highlight w:val="white"/>
        </w:rPr>
        <w:t>份，甲方执</w:t>
      </w:r>
      <w:r>
        <w:rPr>
          <w:rFonts w:hint="eastAsia" w:ascii="宋体" w:hAnsi="宋体" w:eastAsia="宋体" w:cs="宋体"/>
          <w:bCs/>
          <w:color w:val="000000"/>
          <w:sz w:val="21"/>
          <w:szCs w:val="21"/>
          <w:highlight w:val="white"/>
          <w:u w:val="single"/>
        </w:rPr>
        <w:t xml:space="preserve">   </w:t>
      </w:r>
      <w:r>
        <w:rPr>
          <w:rFonts w:hint="eastAsia" w:ascii="宋体" w:hAnsi="宋体" w:eastAsia="宋体" w:cs="宋体"/>
          <w:bCs/>
          <w:color w:val="000000"/>
          <w:sz w:val="21"/>
          <w:szCs w:val="21"/>
          <w:highlight w:val="white"/>
        </w:rPr>
        <w:t>份，乙方执</w:t>
      </w:r>
      <w:r>
        <w:rPr>
          <w:rFonts w:hint="eastAsia" w:ascii="宋体" w:hAnsi="宋体" w:eastAsia="宋体" w:cs="宋体"/>
          <w:bCs/>
          <w:color w:val="000000"/>
          <w:sz w:val="21"/>
          <w:szCs w:val="21"/>
          <w:highlight w:val="white"/>
          <w:u w:val="single"/>
        </w:rPr>
        <w:t xml:space="preserve">   </w:t>
      </w:r>
      <w:r>
        <w:rPr>
          <w:rFonts w:hint="eastAsia" w:ascii="宋体" w:hAnsi="宋体" w:eastAsia="宋体" w:cs="宋体"/>
          <w:bCs/>
          <w:color w:val="000000"/>
          <w:sz w:val="21"/>
          <w:szCs w:val="21"/>
          <w:highlight w:val="white"/>
        </w:rPr>
        <w:t>份。</w:t>
      </w:r>
    </w:p>
    <w:p w14:paraId="7CB52BB6">
      <w:pPr>
        <w:pStyle w:val="47"/>
        <w:numPr>
          <w:ilvl w:val="0"/>
          <w:numId w:val="53"/>
        </w:numPr>
        <w:spacing w:line="360" w:lineRule="auto"/>
        <w:ind w:left="0" w:leftChars="0" w:firstLine="420" w:firstLineChars="200"/>
        <w:rPr>
          <w:rFonts w:hint="eastAsia" w:ascii="宋体" w:hAnsi="宋体" w:eastAsia="宋体" w:cs="宋体"/>
          <w:color w:val="000000"/>
          <w:sz w:val="21"/>
          <w:szCs w:val="21"/>
        </w:rPr>
      </w:pPr>
      <w:r>
        <w:rPr>
          <w:rFonts w:hint="eastAsia" w:ascii="宋体" w:hAnsi="宋体" w:cs="宋体"/>
          <w:bCs/>
          <w:color w:val="000000"/>
          <w:sz w:val="21"/>
          <w:szCs w:val="21"/>
          <w:highlight w:val="white"/>
          <w:lang w:eastAsia="zh-CN"/>
        </w:rPr>
        <w:t>本项目合同</w:t>
      </w:r>
      <w:r>
        <w:rPr>
          <w:rFonts w:hint="eastAsia" w:ascii="宋体" w:hAnsi="宋体" w:eastAsia="宋体" w:cs="宋体"/>
          <w:bCs/>
          <w:color w:val="000000"/>
          <w:sz w:val="21"/>
          <w:szCs w:val="21"/>
          <w:highlight w:val="white"/>
        </w:rPr>
        <w:t>（含附件）共计</w:t>
      </w:r>
      <w:r>
        <w:rPr>
          <w:rFonts w:hint="eastAsia" w:ascii="宋体" w:hAnsi="宋体" w:eastAsia="宋体" w:cs="宋体"/>
          <w:bCs/>
          <w:color w:val="000000"/>
          <w:sz w:val="21"/>
          <w:szCs w:val="21"/>
          <w:highlight w:val="white"/>
          <w:u w:val="single"/>
        </w:rPr>
        <w:t xml:space="preserve">    </w:t>
      </w:r>
      <w:r>
        <w:rPr>
          <w:rFonts w:hint="eastAsia" w:ascii="宋体" w:hAnsi="宋体" w:eastAsia="宋体" w:cs="宋体"/>
          <w:bCs/>
          <w:color w:val="000000"/>
          <w:sz w:val="21"/>
          <w:szCs w:val="21"/>
          <w:highlight w:val="white"/>
        </w:rPr>
        <w:t>页，缺页之合同为无效合同。</w:t>
      </w:r>
    </w:p>
    <w:p w14:paraId="056F6F0A">
      <w:pPr>
        <w:pStyle w:val="47"/>
        <w:numPr>
          <w:ilvl w:val="0"/>
          <w:numId w:val="53"/>
        </w:numPr>
        <w:spacing w:line="360" w:lineRule="auto"/>
        <w:ind w:left="0" w:leftChars="0" w:firstLine="420" w:firstLineChars="200"/>
        <w:rPr>
          <w:rFonts w:hint="eastAsia" w:ascii="宋体" w:hAnsi="宋体" w:eastAsia="宋体" w:cs="宋体"/>
          <w:color w:val="000000"/>
          <w:sz w:val="21"/>
          <w:szCs w:val="21"/>
        </w:rPr>
      </w:pPr>
      <w:r>
        <w:rPr>
          <w:rFonts w:hint="eastAsia" w:ascii="宋体" w:hAnsi="宋体" w:cs="宋体"/>
          <w:color w:val="000000"/>
          <w:sz w:val="21"/>
          <w:szCs w:val="21"/>
          <w:highlight w:val="white"/>
          <w:lang w:eastAsia="zh-CN"/>
        </w:rPr>
        <w:t>本项目合同</w:t>
      </w:r>
      <w:r>
        <w:rPr>
          <w:rFonts w:hint="eastAsia" w:ascii="宋体" w:hAnsi="宋体" w:eastAsia="宋体" w:cs="宋体"/>
          <w:color w:val="000000"/>
          <w:sz w:val="21"/>
          <w:szCs w:val="21"/>
          <w:highlight w:val="white"/>
        </w:rPr>
        <w:t>签约履约地点：广东省佛山市。</w:t>
      </w:r>
    </w:p>
    <w:p w14:paraId="69F0317D">
      <w:pPr>
        <w:pStyle w:val="47"/>
        <w:numPr>
          <w:ilvl w:val="0"/>
          <w:numId w:val="53"/>
        </w:numPr>
        <w:spacing w:line="360" w:lineRule="auto"/>
        <w:ind w:left="0" w:leftChars="0" w:firstLine="420" w:firstLineChars="200"/>
        <w:rPr>
          <w:rFonts w:hint="eastAsia" w:ascii="宋体" w:hAnsi="宋体" w:eastAsia="宋体" w:cs="宋体"/>
          <w:color w:val="000000"/>
          <w:sz w:val="21"/>
          <w:szCs w:val="21"/>
        </w:rPr>
      </w:pPr>
      <w:r>
        <w:rPr>
          <w:rFonts w:hint="eastAsia" w:ascii="宋体" w:hAnsi="宋体" w:cs="宋体"/>
          <w:color w:val="000000"/>
          <w:sz w:val="21"/>
          <w:szCs w:val="21"/>
          <w:lang w:eastAsia="zh-CN"/>
        </w:rPr>
        <w:t>本项目合同</w:t>
      </w:r>
      <w:r>
        <w:rPr>
          <w:rFonts w:hint="eastAsia" w:ascii="宋体" w:hAnsi="宋体" w:eastAsia="宋体" w:cs="宋体"/>
          <w:color w:val="000000"/>
          <w:sz w:val="21"/>
          <w:szCs w:val="21"/>
        </w:rPr>
        <w:t>所指“书面通知”包括但不限于短信、电子邮件等数据电文的通知形式，到达时间以民事诉讼法的规定为准，但进行书面通知前后，通知方均有义务电话确认通知事项。</w:t>
      </w:r>
    </w:p>
    <w:p w14:paraId="6778D784">
      <w:pPr>
        <w:pStyle w:val="47"/>
        <w:numPr>
          <w:ilvl w:val="0"/>
          <w:numId w:val="53"/>
        </w:numPr>
        <w:spacing w:line="360" w:lineRule="auto"/>
        <w:ind w:left="0" w:leftChars="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highlight w:val="white"/>
        </w:rPr>
        <w:t>双方均已对以上各条款及附件作充分了解，并明确理解由此而产生的相关权责。</w:t>
      </w:r>
    </w:p>
    <w:p w14:paraId="2D18C40C">
      <w:pPr>
        <w:pStyle w:val="47"/>
        <w:spacing w:line="360" w:lineRule="auto"/>
        <w:rPr>
          <w:rFonts w:ascii="宋体" w:hAnsi="宋体"/>
          <w:color w:val="000000"/>
        </w:rPr>
      </w:pPr>
    </w:p>
    <w:tbl>
      <w:tblPr>
        <w:tblStyle w:val="19"/>
        <w:tblW w:w="10035" w:type="dxa"/>
        <w:tblInd w:w="-376" w:type="dxa"/>
        <w:tblLayout w:type="fixed"/>
        <w:tblCellMar>
          <w:top w:w="0" w:type="dxa"/>
          <w:left w:w="108" w:type="dxa"/>
          <w:bottom w:w="0" w:type="dxa"/>
          <w:right w:w="108" w:type="dxa"/>
        </w:tblCellMar>
      </w:tblPr>
      <w:tblGrid>
        <w:gridCol w:w="5017"/>
        <w:gridCol w:w="5018"/>
      </w:tblGrid>
      <w:tr w14:paraId="1C9AE323">
        <w:tblPrEx>
          <w:tblCellMar>
            <w:top w:w="0" w:type="dxa"/>
            <w:left w:w="108" w:type="dxa"/>
            <w:bottom w:w="0" w:type="dxa"/>
            <w:right w:w="108" w:type="dxa"/>
          </w:tblCellMar>
        </w:tblPrEx>
        <w:trPr>
          <w:trHeight w:val="2244" w:hRule="atLeast"/>
        </w:trPr>
        <w:tc>
          <w:tcPr>
            <w:tcW w:w="5017" w:type="dxa"/>
            <w:tcBorders>
              <w:top w:val="nil"/>
              <w:left w:val="nil"/>
              <w:bottom w:val="nil"/>
              <w:right w:val="dotDotDash" w:color="auto" w:sz="4" w:space="0"/>
            </w:tcBorders>
            <w:noWrap w:val="0"/>
            <w:vAlign w:val="top"/>
          </w:tcPr>
          <w:p w14:paraId="1CC2EC11">
            <w:pPr>
              <w:pStyle w:val="47"/>
              <w:spacing w:line="240" w:lineRule="auto"/>
              <w:rPr>
                <w:rFonts w:hint="eastAsia" w:ascii="宋体" w:hAnsi="宋体"/>
                <w:b/>
                <w:color w:val="000000"/>
                <w:sz w:val="21"/>
                <w:szCs w:val="21"/>
                <w:highlight w:val="white"/>
              </w:rPr>
            </w:pPr>
            <w:r>
              <w:rPr>
                <w:rFonts w:hint="eastAsia" w:ascii="宋体" w:hAnsi="宋体"/>
                <w:b/>
                <w:color w:val="000000"/>
                <w:sz w:val="21"/>
                <w:szCs w:val="21"/>
                <w:highlight w:val="white"/>
              </w:rPr>
              <w:t>甲方（盖章）：佛山市三水云东海创智城产业发展</w:t>
            </w:r>
          </w:p>
          <w:p w14:paraId="2BB461B7">
            <w:pPr>
              <w:pStyle w:val="47"/>
              <w:spacing w:line="240" w:lineRule="auto"/>
              <w:rPr>
                <w:rFonts w:ascii="宋体" w:hAnsi="宋体"/>
                <w:b/>
                <w:color w:val="000000"/>
                <w:sz w:val="21"/>
                <w:szCs w:val="21"/>
              </w:rPr>
            </w:pPr>
            <w:r>
              <w:rPr>
                <w:rFonts w:hint="eastAsia" w:ascii="宋体" w:hAnsi="宋体"/>
                <w:b/>
                <w:color w:val="000000"/>
                <w:sz w:val="21"/>
                <w:szCs w:val="21"/>
                <w:highlight w:val="white"/>
              </w:rPr>
              <w:t>有限公司</w:t>
            </w:r>
          </w:p>
          <w:p w14:paraId="6074DC3C">
            <w:pPr>
              <w:pStyle w:val="47"/>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ascii="宋体" w:hAnsi="宋体"/>
                <w:color w:val="000000"/>
                <w:sz w:val="21"/>
                <w:szCs w:val="21"/>
                <w:u w:val="dotted"/>
              </w:rPr>
            </w:pPr>
            <w:r>
              <w:rPr>
                <w:rFonts w:hint="eastAsia" w:ascii="宋体" w:hAnsi="宋体"/>
                <w:color w:val="000000"/>
                <w:sz w:val="21"/>
                <w:szCs w:val="21"/>
                <w:highlight w:val="white"/>
              </w:rPr>
              <w:t>代表：</w:t>
            </w:r>
            <w:r>
              <w:rPr>
                <w:rFonts w:ascii="宋体" w:hAnsi="宋体"/>
                <w:color w:val="000000"/>
                <w:sz w:val="21"/>
                <w:szCs w:val="21"/>
                <w:highlight w:val="white"/>
                <w:u w:val="dotted"/>
              </w:rPr>
              <w:t xml:space="preserve">                              </w:t>
            </w:r>
            <w:r>
              <w:rPr>
                <w:rFonts w:ascii="宋体" w:hAnsi="宋体"/>
                <w:color w:val="000000"/>
                <w:sz w:val="21"/>
                <w:szCs w:val="21"/>
                <w:highlight w:val="white"/>
              </w:rPr>
              <w:t xml:space="preserve"> </w:t>
            </w:r>
          </w:p>
          <w:p w14:paraId="7D0E79D5">
            <w:pPr>
              <w:pStyle w:val="47"/>
              <w:spacing w:line="240" w:lineRule="auto"/>
              <w:rPr>
                <w:rFonts w:ascii="宋体" w:hAnsi="宋体"/>
                <w:color w:val="000000"/>
                <w:sz w:val="21"/>
                <w:szCs w:val="21"/>
              </w:rPr>
            </w:pPr>
            <w:r>
              <w:rPr>
                <w:rFonts w:hint="eastAsia" w:ascii="宋体" w:hAnsi="宋体"/>
                <w:color w:val="000000"/>
                <w:sz w:val="21"/>
                <w:szCs w:val="21"/>
                <w:highlight w:val="white"/>
              </w:rPr>
              <w:t>地址：</w:t>
            </w:r>
          </w:p>
          <w:p w14:paraId="2C87B227">
            <w:pPr>
              <w:pStyle w:val="47"/>
              <w:spacing w:line="240" w:lineRule="auto"/>
              <w:rPr>
                <w:rFonts w:ascii="宋体" w:hAnsi="宋体"/>
                <w:color w:val="000000"/>
                <w:sz w:val="21"/>
                <w:szCs w:val="21"/>
              </w:rPr>
            </w:pPr>
            <w:r>
              <w:rPr>
                <w:rFonts w:hint="eastAsia" w:ascii="宋体" w:hAnsi="宋体"/>
                <w:color w:val="000000"/>
                <w:sz w:val="21"/>
                <w:szCs w:val="21"/>
                <w:highlight w:val="white"/>
              </w:rPr>
              <w:t>电话：</w:t>
            </w:r>
          </w:p>
          <w:p w14:paraId="2551E549">
            <w:pPr>
              <w:pStyle w:val="47"/>
              <w:spacing w:line="240" w:lineRule="auto"/>
              <w:rPr>
                <w:rFonts w:ascii="宋体" w:hAnsi="宋体"/>
                <w:b/>
                <w:color w:val="000000"/>
                <w:sz w:val="21"/>
                <w:szCs w:val="21"/>
              </w:rPr>
            </w:pPr>
            <w:r>
              <w:rPr>
                <w:rFonts w:hint="eastAsia" w:ascii="宋体" w:hAnsi="宋体"/>
                <w:color w:val="000000"/>
                <w:sz w:val="21"/>
                <w:szCs w:val="21"/>
                <w:highlight w:val="white"/>
              </w:rPr>
              <w:t>日期：</w:t>
            </w:r>
            <w:r>
              <w:rPr>
                <w:rFonts w:ascii="宋体" w:hAnsi="宋体"/>
                <w:color w:val="000000"/>
                <w:sz w:val="21"/>
                <w:szCs w:val="21"/>
                <w:highlight w:val="white"/>
              </w:rPr>
              <w:t xml:space="preserve">           </w:t>
            </w:r>
            <w:r>
              <w:rPr>
                <w:rFonts w:hint="eastAsia" w:ascii="宋体" w:hAnsi="宋体"/>
                <w:color w:val="000000"/>
                <w:sz w:val="21"/>
                <w:szCs w:val="21"/>
                <w:highlight w:val="white"/>
              </w:rPr>
              <w:t>年</w:t>
            </w:r>
            <w:r>
              <w:rPr>
                <w:rFonts w:ascii="宋体" w:hAnsi="宋体"/>
                <w:color w:val="000000"/>
                <w:sz w:val="21"/>
                <w:szCs w:val="21"/>
                <w:highlight w:val="white"/>
              </w:rPr>
              <w:t xml:space="preserve">     </w:t>
            </w:r>
            <w:r>
              <w:rPr>
                <w:rFonts w:hint="eastAsia" w:ascii="宋体" w:hAnsi="宋体"/>
                <w:color w:val="000000"/>
                <w:sz w:val="21"/>
                <w:szCs w:val="21"/>
                <w:highlight w:val="white"/>
              </w:rPr>
              <w:t>月</w:t>
            </w:r>
            <w:r>
              <w:rPr>
                <w:rFonts w:ascii="宋体" w:hAnsi="宋体"/>
                <w:color w:val="000000"/>
                <w:sz w:val="21"/>
                <w:szCs w:val="21"/>
                <w:highlight w:val="white"/>
              </w:rPr>
              <w:t xml:space="preserve">    </w:t>
            </w:r>
            <w:r>
              <w:rPr>
                <w:rFonts w:hint="eastAsia" w:ascii="宋体" w:hAnsi="宋体"/>
                <w:color w:val="000000"/>
                <w:sz w:val="21"/>
                <w:szCs w:val="21"/>
                <w:highlight w:val="white"/>
              </w:rPr>
              <w:t>日</w:t>
            </w:r>
          </w:p>
        </w:tc>
        <w:tc>
          <w:tcPr>
            <w:tcW w:w="5018" w:type="dxa"/>
            <w:tcBorders>
              <w:top w:val="nil"/>
              <w:left w:val="dotDotDash" w:color="auto" w:sz="4" w:space="0"/>
              <w:bottom w:val="nil"/>
              <w:right w:val="nil"/>
            </w:tcBorders>
            <w:noWrap w:val="0"/>
            <w:vAlign w:val="top"/>
          </w:tcPr>
          <w:p w14:paraId="24B2ACAF">
            <w:pPr>
              <w:pStyle w:val="47"/>
              <w:spacing w:line="240" w:lineRule="auto"/>
              <w:rPr>
                <w:rFonts w:hint="eastAsia" w:ascii="宋体" w:hAnsi="宋体" w:eastAsia="宋体" w:cs="Times New Roman"/>
                <w:b/>
                <w:color w:val="000000"/>
                <w:sz w:val="21"/>
                <w:szCs w:val="21"/>
                <w:highlight w:val="white"/>
              </w:rPr>
            </w:pPr>
            <w:r>
              <w:rPr>
                <w:rFonts w:hint="eastAsia" w:ascii="宋体" w:hAnsi="宋体" w:eastAsia="宋体" w:cs="Times New Roman"/>
                <w:b/>
                <w:color w:val="000000"/>
                <w:sz w:val="21"/>
                <w:szCs w:val="21"/>
                <w:highlight w:val="white"/>
                <w:lang w:val="en-US" w:eastAsia="zh-CN"/>
              </w:rPr>
              <w:t>乙</w:t>
            </w:r>
            <w:r>
              <w:rPr>
                <w:rFonts w:hint="eastAsia" w:ascii="宋体" w:hAnsi="宋体" w:eastAsia="宋体" w:cs="Times New Roman"/>
                <w:b/>
                <w:color w:val="000000"/>
                <w:sz w:val="21"/>
                <w:szCs w:val="21"/>
                <w:highlight w:val="white"/>
              </w:rPr>
              <w:t>方（盖章）：</w:t>
            </w:r>
          </w:p>
          <w:p w14:paraId="78345A7A">
            <w:pPr>
              <w:pStyle w:val="47"/>
              <w:spacing w:line="240" w:lineRule="auto"/>
              <w:rPr>
                <w:rFonts w:hint="eastAsia" w:ascii="宋体" w:hAnsi="宋体" w:eastAsia="宋体" w:cs="Times New Roman"/>
                <w:b/>
                <w:color w:val="000000"/>
                <w:sz w:val="21"/>
                <w:szCs w:val="21"/>
                <w:highlight w:val="white"/>
              </w:rPr>
            </w:pPr>
          </w:p>
          <w:p w14:paraId="4FBBFCA9">
            <w:pPr>
              <w:pStyle w:val="47"/>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Times New Roman"/>
                <w:color w:val="000000"/>
                <w:sz w:val="21"/>
                <w:szCs w:val="21"/>
                <w:highlight w:val="white"/>
              </w:rPr>
            </w:pPr>
            <w:r>
              <w:rPr>
                <w:rFonts w:hint="eastAsia" w:ascii="宋体" w:hAnsi="宋体"/>
                <w:color w:val="000000"/>
                <w:sz w:val="21"/>
                <w:szCs w:val="21"/>
                <w:highlight w:val="white"/>
              </w:rPr>
              <w:t>代表：</w:t>
            </w:r>
            <w:r>
              <w:rPr>
                <w:rFonts w:ascii="宋体" w:hAnsi="宋体"/>
                <w:color w:val="000000"/>
                <w:sz w:val="21"/>
                <w:szCs w:val="21"/>
                <w:highlight w:val="white"/>
                <w:u w:val="dotted"/>
              </w:rPr>
              <w:t xml:space="preserve">                              </w:t>
            </w:r>
            <w:r>
              <w:rPr>
                <w:rFonts w:hint="eastAsia" w:ascii="宋体" w:hAnsi="宋体" w:eastAsia="宋体" w:cs="Times New Roman"/>
                <w:color w:val="000000"/>
                <w:sz w:val="21"/>
                <w:szCs w:val="21"/>
                <w:highlight w:val="white"/>
              </w:rPr>
              <w:t xml:space="preserve">                               </w:t>
            </w:r>
          </w:p>
          <w:p w14:paraId="23AAAD07">
            <w:pPr>
              <w:pStyle w:val="47"/>
              <w:spacing w:line="240" w:lineRule="auto"/>
              <w:rPr>
                <w:rFonts w:ascii="宋体" w:hAnsi="宋体"/>
                <w:color w:val="000000"/>
                <w:sz w:val="21"/>
                <w:szCs w:val="21"/>
              </w:rPr>
            </w:pPr>
            <w:r>
              <w:rPr>
                <w:rFonts w:hint="eastAsia" w:ascii="宋体" w:hAnsi="宋体"/>
                <w:color w:val="000000"/>
                <w:sz w:val="21"/>
                <w:szCs w:val="21"/>
                <w:highlight w:val="white"/>
              </w:rPr>
              <w:t>地址：</w:t>
            </w:r>
          </w:p>
          <w:p w14:paraId="3214C293">
            <w:pPr>
              <w:pStyle w:val="47"/>
              <w:spacing w:line="240" w:lineRule="auto"/>
              <w:rPr>
                <w:rFonts w:ascii="宋体" w:hAnsi="宋体"/>
                <w:color w:val="000000"/>
                <w:sz w:val="21"/>
                <w:szCs w:val="21"/>
              </w:rPr>
            </w:pPr>
            <w:r>
              <w:rPr>
                <w:rFonts w:hint="eastAsia" w:ascii="宋体" w:hAnsi="宋体"/>
                <w:color w:val="000000"/>
                <w:sz w:val="21"/>
                <w:szCs w:val="21"/>
                <w:highlight w:val="white"/>
              </w:rPr>
              <w:t>电话：</w:t>
            </w:r>
          </w:p>
          <w:p w14:paraId="3518C02C">
            <w:pPr>
              <w:pStyle w:val="47"/>
              <w:spacing w:line="240" w:lineRule="auto"/>
              <w:rPr>
                <w:rFonts w:ascii="宋体" w:hAnsi="宋体"/>
                <w:b/>
                <w:color w:val="000000"/>
                <w:sz w:val="21"/>
                <w:szCs w:val="21"/>
              </w:rPr>
            </w:pPr>
            <w:r>
              <w:rPr>
                <w:rFonts w:hint="eastAsia" w:ascii="宋体" w:hAnsi="宋体"/>
                <w:color w:val="000000"/>
                <w:sz w:val="21"/>
                <w:szCs w:val="21"/>
                <w:highlight w:val="white"/>
              </w:rPr>
              <w:t>日期：</w:t>
            </w:r>
            <w:r>
              <w:rPr>
                <w:rFonts w:ascii="宋体" w:hAnsi="宋体"/>
                <w:color w:val="000000"/>
                <w:sz w:val="21"/>
                <w:szCs w:val="21"/>
                <w:highlight w:val="white"/>
              </w:rPr>
              <w:t xml:space="preserve">        </w:t>
            </w:r>
            <w:r>
              <w:rPr>
                <w:rFonts w:hint="eastAsia" w:ascii="宋体" w:hAnsi="宋体"/>
                <w:color w:val="000000"/>
                <w:sz w:val="21"/>
                <w:szCs w:val="21"/>
                <w:highlight w:val="white"/>
              </w:rPr>
              <w:t>年</w:t>
            </w:r>
            <w:r>
              <w:rPr>
                <w:rFonts w:ascii="宋体" w:hAnsi="宋体"/>
                <w:color w:val="000000"/>
                <w:sz w:val="21"/>
                <w:szCs w:val="21"/>
                <w:highlight w:val="white"/>
              </w:rPr>
              <w:t xml:space="preserve">     </w:t>
            </w:r>
            <w:r>
              <w:rPr>
                <w:rFonts w:hint="eastAsia" w:ascii="宋体" w:hAnsi="宋体"/>
                <w:color w:val="000000"/>
                <w:sz w:val="21"/>
                <w:szCs w:val="21"/>
                <w:highlight w:val="white"/>
              </w:rPr>
              <w:t>月</w:t>
            </w:r>
            <w:r>
              <w:rPr>
                <w:rFonts w:ascii="宋体" w:hAnsi="宋体"/>
                <w:color w:val="000000"/>
                <w:sz w:val="21"/>
                <w:szCs w:val="21"/>
                <w:highlight w:val="white"/>
              </w:rPr>
              <w:t xml:space="preserve">     </w:t>
            </w:r>
            <w:r>
              <w:rPr>
                <w:rFonts w:hint="eastAsia" w:ascii="宋体" w:hAnsi="宋体"/>
                <w:color w:val="000000"/>
                <w:sz w:val="21"/>
                <w:szCs w:val="21"/>
                <w:highlight w:val="white"/>
              </w:rPr>
              <w:t>日</w:t>
            </w:r>
          </w:p>
        </w:tc>
      </w:tr>
      <w:tr w14:paraId="3A2D5AAB">
        <w:tblPrEx>
          <w:tblCellMar>
            <w:top w:w="0" w:type="dxa"/>
            <w:left w:w="108" w:type="dxa"/>
            <w:bottom w:w="0" w:type="dxa"/>
            <w:right w:w="108" w:type="dxa"/>
          </w:tblCellMar>
        </w:tblPrEx>
        <w:trPr>
          <w:trHeight w:val="1781" w:hRule="atLeast"/>
        </w:trPr>
        <w:tc>
          <w:tcPr>
            <w:tcW w:w="5017" w:type="dxa"/>
            <w:tcBorders>
              <w:top w:val="nil"/>
              <w:left w:val="nil"/>
              <w:bottom w:val="single" w:color="FFFFFF" w:sz="4" w:space="0"/>
              <w:right w:val="dotDotDash" w:color="auto" w:sz="4" w:space="0"/>
            </w:tcBorders>
            <w:noWrap w:val="0"/>
            <w:vAlign w:val="top"/>
          </w:tcPr>
          <w:p w14:paraId="4D602652">
            <w:pPr>
              <w:pStyle w:val="50"/>
              <w:rPr>
                <w:rFonts w:ascii="宋体" w:hAnsi="宋体"/>
                <w:b/>
                <w:bCs/>
                <w:color w:val="000000"/>
                <w:szCs w:val="21"/>
              </w:rPr>
            </w:pPr>
          </w:p>
          <w:p w14:paraId="25C26836">
            <w:pPr>
              <w:pStyle w:val="50"/>
              <w:spacing w:line="360" w:lineRule="auto"/>
              <w:rPr>
                <w:rFonts w:ascii="宋体" w:hAnsi="宋体"/>
                <w:b/>
                <w:color w:val="000000"/>
                <w:szCs w:val="21"/>
              </w:rPr>
            </w:pPr>
          </w:p>
        </w:tc>
        <w:tc>
          <w:tcPr>
            <w:tcW w:w="5018" w:type="dxa"/>
            <w:tcBorders>
              <w:top w:val="nil"/>
              <w:left w:val="dotDotDash" w:color="auto" w:sz="4" w:space="0"/>
              <w:bottom w:val="single" w:color="FFFFFF" w:sz="4" w:space="0"/>
              <w:right w:val="nil"/>
            </w:tcBorders>
            <w:noWrap w:val="0"/>
            <w:vAlign w:val="top"/>
          </w:tcPr>
          <w:p w14:paraId="35C2445B">
            <w:pPr>
              <w:pStyle w:val="47"/>
              <w:rPr>
                <w:rFonts w:hint="eastAsia" w:ascii="宋体" w:hAnsi="宋体"/>
                <w:b/>
                <w:color w:val="000000"/>
                <w:sz w:val="21"/>
                <w:szCs w:val="21"/>
                <w:highlight w:val="white"/>
              </w:rPr>
            </w:pPr>
          </w:p>
          <w:p w14:paraId="6000D298">
            <w:pPr>
              <w:pStyle w:val="47"/>
              <w:rPr>
                <w:rFonts w:ascii="宋体" w:hAnsi="宋体"/>
                <w:b/>
                <w:color w:val="000000"/>
                <w:sz w:val="21"/>
                <w:szCs w:val="21"/>
              </w:rPr>
            </w:pPr>
            <w:r>
              <w:rPr>
                <w:rFonts w:hint="eastAsia" w:ascii="宋体" w:hAnsi="宋体"/>
                <w:b/>
                <w:color w:val="000000"/>
                <w:sz w:val="21"/>
                <w:szCs w:val="21"/>
                <w:highlight w:val="white"/>
              </w:rPr>
              <w:t>收款方、开票方须与乙方一致，专户为：</w:t>
            </w:r>
          </w:p>
          <w:p w14:paraId="6D1B7B04">
            <w:pPr>
              <w:pStyle w:val="47"/>
              <w:spacing w:line="240" w:lineRule="auto"/>
              <w:rPr>
                <w:rFonts w:ascii="宋体" w:hAnsi="宋体"/>
                <w:b/>
                <w:bCs/>
                <w:color w:val="000000"/>
                <w:sz w:val="21"/>
                <w:szCs w:val="21"/>
              </w:rPr>
            </w:pPr>
            <w:r>
              <w:rPr>
                <w:rFonts w:hint="eastAsia" w:ascii="宋体" w:hAnsi="宋体"/>
                <w:color w:val="000000"/>
                <w:sz w:val="21"/>
                <w:szCs w:val="21"/>
                <w:highlight w:val="white"/>
              </w:rPr>
              <w:t>开户名称：</w:t>
            </w:r>
          </w:p>
          <w:p w14:paraId="7C6228ED">
            <w:pPr>
              <w:pStyle w:val="47"/>
              <w:spacing w:line="240" w:lineRule="auto"/>
              <w:rPr>
                <w:rFonts w:ascii="宋体" w:hAnsi="宋体"/>
                <w:b/>
                <w:bCs/>
                <w:color w:val="000000"/>
                <w:sz w:val="21"/>
                <w:szCs w:val="21"/>
              </w:rPr>
            </w:pPr>
            <w:r>
              <w:rPr>
                <w:rFonts w:hint="eastAsia" w:ascii="宋体" w:hAnsi="宋体"/>
                <w:color w:val="000000"/>
                <w:sz w:val="21"/>
                <w:szCs w:val="21"/>
                <w:highlight w:val="white"/>
              </w:rPr>
              <w:t>银行账号：</w:t>
            </w:r>
          </w:p>
          <w:p w14:paraId="699BF68D">
            <w:pPr>
              <w:pStyle w:val="47"/>
              <w:spacing w:line="240" w:lineRule="auto"/>
              <w:rPr>
                <w:rFonts w:ascii="宋体" w:hAnsi="宋体"/>
                <w:b/>
                <w:color w:val="000000"/>
                <w:sz w:val="21"/>
                <w:szCs w:val="21"/>
              </w:rPr>
            </w:pPr>
            <w:r>
              <w:rPr>
                <w:rFonts w:hint="eastAsia" w:ascii="宋体" w:hAnsi="宋体"/>
                <w:color w:val="000000"/>
                <w:sz w:val="21"/>
                <w:szCs w:val="21"/>
                <w:highlight w:val="white"/>
              </w:rPr>
              <w:t>开</w:t>
            </w:r>
            <w:r>
              <w:rPr>
                <w:rFonts w:ascii="宋体" w:hAnsi="宋体"/>
                <w:color w:val="000000"/>
                <w:sz w:val="21"/>
                <w:szCs w:val="21"/>
                <w:highlight w:val="white"/>
              </w:rPr>
              <w:t xml:space="preserve"> </w:t>
            </w:r>
            <w:r>
              <w:rPr>
                <w:rFonts w:hint="eastAsia" w:ascii="宋体" w:hAnsi="宋体"/>
                <w:color w:val="000000"/>
                <w:sz w:val="21"/>
                <w:szCs w:val="21"/>
                <w:highlight w:val="white"/>
              </w:rPr>
              <w:t>户</w:t>
            </w:r>
            <w:r>
              <w:rPr>
                <w:rFonts w:ascii="宋体" w:hAnsi="宋体"/>
                <w:color w:val="000000"/>
                <w:sz w:val="21"/>
                <w:szCs w:val="21"/>
                <w:highlight w:val="white"/>
              </w:rPr>
              <w:t xml:space="preserve"> </w:t>
            </w:r>
            <w:r>
              <w:rPr>
                <w:rFonts w:hint="eastAsia" w:ascii="宋体" w:hAnsi="宋体"/>
                <w:color w:val="000000"/>
                <w:sz w:val="21"/>
                <w:szCs w:val="21"/>
                <w:highlight w:val="white"/>
              </w:rPr>
              <w:t>行：</w:t>
            </w:r>
          </w:p>
        </w:tc>
      </w:tr>
    </w:tbl>
    <w:p w14:paraId="74E92573">
      <w:pPr>
        <w:pStyle w:val="47"/>
        <w:spacing w:line="360" w:lineRule="auto"/>
        <w:rPr>
          <w:rFonts w:ascii="宋体" w:hAnsi="宋体"/>
          <w:b/>
          <w:color w:val="000000"/>
        </w:rPr>
      </w:pPr>
    </w:p>
    <w:p w14:paraId="2E3DAD7A">
      <w:pPr>
        <w:pStyle w:val="47"/>
        <w:spacing w:line="360" w:lineRule="auto"/>
        <w:rPr>
          <w:rFonts w:ascii="宋体" w:hAnsi="宋体"/>
          <w:b/>
          <w:color w:val="000000"/>
          <w:szCs w:val="22"/>
        </w:rPr>
      </w:pPr>
    </w:p>
    <w:p w14:paraId="760A31E8">
      <w:pPr>
        <w:adjustRightInd w:val="0"/>
        <w:snapToGrid w:val="0"/>
        <w:spacing w:before="156" w:beforeLines="50" w:after="156" w:afterLines="50" w:line="360" w:lineRule="auto"/>
        <w:jc w:val="both"/>
        <w:outlineLvl w:val="0"/>
        <w:rPr>
          <w:rFonts w:hint="eastAsia" w:ascii="宋体" w:hAnsi="宋体" w:eastAsia="宋体"/>
          <w:b/>
          <w:color w:val="000000"/>
          <w:sz w:val="21"/>
          <w:szCs w:val="21"/>
          <w:highlight w:val="white"/>
          <w:lang w:val="en-US" w:eastAsia="zh-CN"/>
        </w:rPr>
      </w:pPr>
    </w:p>
    <w:p w14:paraId="6F71A8BC">
      <w:pPr>
        <w:adjustRightInd w:val="0"/>
        <w:snapToGrid w:val="0"/>
        <w:spacing w:before="156" w:beforeLines="50" w:after="156" w:afterLines="50" w:line="360" w:lineRule="auto"/>
        <w:jc w:val="center"/>
        <w:outlineLvl w:val="0"/>
        <w:rPr>
          <w:rFonts w:hint="eastAsia"/>
          <w:b/>
          <w:bCs/>
          <w:color w:val="auto"/>
          <w:sz w:val="28"/>
          <w:szCs w:val="28"/>
        </w:rPr>
      </w:pPr>
      <w:r>
        <w:rPr>
          <w:rFonts w:hint="eastAsia"/>
          <w:b/>
          <w:bCs/>
          <w:color w:val="auto"/>
          <w:sz w:val="28"/>
          <w:szCs w:val="28"/>
        </w:rPr>
        <w:br w:type="page"/>
      </w:r>
      <w:r>
        <w:rPr>
          <w:rFonts w:hint="eastAsia"/>
          <w:b/>
          <w:bCs/>
          <w:color w:val="auto"/>
          <w:sz w:val="28"/>
          <w:szCs w:val="28"/>
        </w:rPr>
        <w:t>第七章  投标文件格式</w:t>
      </w:r>
      <w:bookmarkEnd w:id="192"/>
    </w:p>
    <w:p w14:paraId="7538299E">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lang w:eastAsia="zh-TW"/>
        </w:rPr>
      </w:pPr>
      <w:bookmarkStart w:id="194" w:name="_Toc20975"/>
      <w:r>
        <w:rPr>
          <w:rFonts w:hint="eastAsia" w:ascii="宋体" w:hAnsi="宋体"/>
          <w:b/>
          <w:color w:val="auto"/>
          <w:sz w:val="28"/>
          <w:szCs w:val="28"/>
          <w:lang w:eastAsia="zh-TW"/>
        </w:rPr>
        <w:t>投标文件包装封面参考</w:t>
      </w:r>
      <w:bookmarkEnd w:id="194"/>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14:paraId="345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1" w:hRule="atLeast"/>
        </w:trPr>
        <w:tc>
          <w:tcPr>
            <w:tcW w:w="9657" w:type="dxa"/>
            <w:noWrap w:val="0"/>
            <w:vAlign w:val="top"/>
          </w:tcPr>
          <w:p w14:paraId="750330E4">
            <w:pPr>
              <w:pStyle w:val="2"/>
              <w:spacing w:line="360" w:lineRule="auto"/>
              <w:ind w:firstLine="482" w:firstLineChars="150"/>
              <w:rPr>
                <w:rFonts w:hint="eastAsia" w:ascii="仿宋_GB2312" w:eastAsia="仿宋_GB2312"/>
                <w:b/>
                <w:color w:val="auto"/>
                <w:sz w:val="32"/>
              </w:rPr>
            </w:pPr>
          </w:p>
          <w:p w14:paraId="0FAF31EA">
            <w:pPr>
              <w:pStyle w:val="2"/>
              <w:spacing w:line="360" w:lineRule="auto"/>
              <w:ind w:firstLine="482" w:firstLineChars="150"/>
              <w:rPr>
                <w:rFonts w:hint="eastAsia" w:ascii="仿宋_GB2312" w:eastAsia="仿宋_GB2312"/>
                <w:b/>
                <w:color w:val="auto"/>
                <w:sz w:val="32"/>
              </w:rPr>
            </w:pPr>
          </w:p>
          <w:p w14:paraId="1FC93532">
            <w:pPr>
              <w:pStyle w:val="2"/>
              <w:spacing w:line="360" w:lineRule="auto"/>
              <w:ind w:firstLine="482" w:firstLineChars="150"/>
              <w:rPr>
                <w:rFonts w:hint="eastAsia" w:ascii="仿宋_GB2312" w:eastAsia="仿宋_GB2312"/>
                <w:b/>
                <w:color w:val="auto"/>
                <w:sz w:val="32"/>
              </w:rPr>
            </w:pPr>
          </w:p>
          <w:p w14:paraId="10BE4C49">
            <w:pPr>
              <w:pStyle w:val="2"/>
              <w:spacing w:line="360" w:lineRule="auto"/>
              <w:jc w:val="center"/>
              <w:rPr>
                <w:rFonts w:hint="eastAsia" w:ascii="黑体" w:eastAsia="黑体"/>
                <w:b/>
                <w:color w:val="auto"/>
                <w:sz w:val="72"/>
                <w:szCs w:val="72"/>
              </w:rPr>
            </w:pPr>
            <w:r>
              <w:rPr>
                <w:rFonts w:hint="eastAsia" w:ascii="黑体" w:eastAsia="黑体"/>
                <w:b/>
                <w:color w:val="auto"/>
                <w:sz w:val="72"/>
                <w:szCs w:val="72"/>
              </w:rPr>
              <w:t>投 标 文 件</w:t>
            </w:r>
          </w:p>
          <w:p w14:paraId="4AFBBD54">
            <w:pPr>
              <w:pStyle w:val="2"/>
              <w:spacing w:line="360" w:lineRule="auto"/>
              <w:jc w:val="center"/>
              <w:rPr>
                <w:rFonts w:hint="eastAsia" w:ascii="黑体" w:eastAsia="黑体"/>
                <w:b/>
                <w:color w:val="auto"/>
                <w:sz w:val="32"/>
              </w:rPr>
            </w:pPr>
            <w:r>
              <w:rPr>
                <w:rFonts w:hint="eastAsia" w:ascii="黑体" w:eastAsia="黑体"/>
                <w:b/>
                <w:color w:val="auto"/>
                <w:sz w:val="52"/>
                <w:szCs w:val="52"/>
              </w:rPr>
              <w:t xml:space="preserve">口 </w:t>
            </w:r>
            <w:r>
              <w:rPr>
                <w:rFonts w:hint="eastAsia" w:ascii="黑体" w:eastAsia="黑体"/>
                <w:b/>
                <w:color w:val="auto"/>
                <w:sz w:val="32"/>
              </w:rPr>
              <w:t>开标信封</w:t>
            </w:r>
          </w:p>
          <w:p w14:paraId="201E0091">
            <w:pPr>
              <w:pStyle w:val="2"/>
              <w:spacing w:line="360" w:lineRule="auto"/>
              <w:ind w:firstLine="3654" w:firstLineChars="700"/>
              <w:rPr>
                <w:rFonts w:hint="eastAsia" w:ascii="黑体" w:eastAsia="黑体"/>
                <w:b/>
                <w:color w:val="auto"/>
                <w:sz w:val="32"/>
              </w:rPr>
            </w:pPr>
            <w:r>
              <w:rPr>
                <w:rFonts w:hint="eastAsia" w:ascii="黑体" w:eastAsia="黑体"/>
                <w:b/>
                <w:color w:val="auto"/>
                <w:sz w:val="52"/>
                <w:szCs w:val="52"/>
              </w:rPr>
              <w:t xml:space="preserve">口 </w:t>
            </w:r>
            <w:r>
              <w:rPr>
                <w:rFonts w:hint="eastAsia" w:ascii="黑体" w:eastAsia="黑体"/>
                <w:b/>
                <w:color w:val="auto"/>
                <w:sz w:val="32"/>
              </w:rPr>
              <w:t>正本</w:t>
            </w:r>
          </w:p>
          <w:p w14:paraId="1A10EF72">
            <w:pPr>
              <w:pStyle w:val="2"/>
              <w:spacing w:line="360" w:lineRule="auto"/>
              <w:ind w:firstLine="3654" w:firstLineChars="700"/>
              <w:rPr>
                <w:rFonts w:hint="eastAsia" w:ascii="黑体" w:eastAsia="黑体"/>
                <w:b/>
                <w:color w:val="auto"/>
                <w:sz w:val="32"/>
              </w:rPr>
            </w:pPr>
            <w:r>
              <w:rPr>
                <w:rFonts w:hint="eastAsia" w:ascii="黑体" w:eastAsia="黑体"/>
                <w:b/>
                <w:color w:val="auto"/>
                <w:sz w:val="52"/>
                <w:szCs w:val="52"/>
              </w:rPr>
              <w:t xml:space="preserve">口 </w:t>
            </w:r>
            <w:r>
              <w:rPr>
                <w:rFonts w:hint="eastAsia" w:ascii="黑体" w:eastAsia="黑体"/>
                <w:b/>
                <w:color w:val="auto"/>
                <w:sz w:val="32"/>
              </w:rPr>
              <w:t>副本</w:t>
            </w:r>
          </w:p>
          <w:p w14:paraId="30AC0EEF">
            <w:pPr>
              <w:pStyle w:val="2"/>
              <w:spacing w:line="360" w:lineRule="auto"/>
              <w:rPr>
                <w:rFonts w:hint="eastAsia" w:ascii="仿宋_GB2312" w:eastAsia="仿宋_GB2312"/>
                <w:b/>
                <w:color w:val="auto"/>
                <w:sz w:val="32"/>
              </w:rPr>
            </w:pPr>
          </w:p>
          <w:p w14:paraId="54E2A5C3">
            <w:pPr>
              <w:pStyle w:val="2"/>
              <w:spacing w:line="400" w:lineRule="exact"/>
              <w:ind w:firstLine="900" w:firstLineChars="320"/>
              <w:rPr>
                <w:rFonts w:hint="eastAsia" w:ascii="仿宋_GB2312" w:eastAsia="仿宋_GB2312"/>
                <w:b/>
                <w:color w:val="auto"/>
                <w:sz w:val="28"/>
                <w:szCs w:val="28"/>
              </w:rPr>
            </w:pPr>
          </w:p>
          <w:p w14:paraId="354EFE3A">
            <w:pPr>
              <w:pStyle w:val="2"/>
              <w:spacing w:line="400" w:lineRule="exact"/>
              <w:ind w:firstLine="900" w:firstLineChars="320"/>
              <w:rPr>
                <w:rFonts w:hint="eastAsia" w:ascii="仿宋_GB2312" w:eastAsia="仿宋_GB2312"/>
                <w:b/>
                <w:color w:val="auto"/>
                <w:sz w:val="28"/>
                <w:szCs w:val="28"/>
                <w:lang w:eastAsia="zh-CN"/>
              </w:rPr>
            </w:pPr>
            <w:r>
              <w:rPr>
                <w:rFonts w:hint="eastAsia" w:ascii="仿宋_GB2312" w:eastAsia="仿宋_GB2312"/>
                <w:b/>
                <w:color w:val="auto"/>
                <w:sz w:val="28"/>
                <w:szCs w:val="28"/>
              </w:rPr>
              <w:t>项目编号：</w:t>
            </w:r>
            <w:r>
              <w:rPr>
                <w:rFonts w:hint="eastAsia" w:ascii="仿宋_GB2312" w:eastAsia="仿宋_GB2312"/>
                <w:b/>
                <w:color w:val="auto"/>
                <w:sz w:val="28"/>
                <w:szCs w:val="28"/>
                <w:lang w:eastAsia="zh-CN"/>
              </w:rPr>
              <w:t xml:space="preserve">JG2025(SS)XZ0008 </w:t>
            </w:r>
          </w:p>
          <w:p w14:paraId="08D4D85A">
            <w:pPr>
              <w:pStyle w:val="2"/>
              <w:spacing w:line="400" w:lineRule="exact"/>
              <w:ind w:firstLine="900" w:firstLineChars="320"/>
              <w:rPr>
                <w:rFonts w:hint="eastAsia" w:ascii="仿宋_GB2312" w:eastAsia="仿宋_GB2312"/>
                <w:b/>
                <w:color w:val="auto"/>
                <w:sz w:val="28"/>
                <w:szCs w:val="28"/>
              </w:rPr>
            </w:pPr>
            <w:r>
              <w:rPr>
                <w:rFonts w:hint="eastAsia" w:ascii="仿宋_GB2312" w:eastAsia="仿宋_GB2312"/>
                <w:b/>
                <w:color w:val="auto"/>
                <w:sz w:val="28"/>
                <w:szCs w:val="28"/>
              </w:rPr>
              <w:t>项目名称：</w:t>
            </w:r>
            <w:r>
              <w:rPr>
                <w:rFonts w:hint="eastAsia" w:ascii="仿宋_GB2312" w:eastAsia="仿宋_GB2312"/>
                <w:b/>
                <w:color w:val="auto"/>
                <w:sz w:val="28"/>
                <w:szCs w:val="28"/>
                <w:lang w:eastAsia="zh-CN"/>
              </w:rPr>
              <w:t>保安服务采购项目</w:t>
            </w:r>
            <w:r>
              <w:rPr>
                <w:rFonts w:hint="eastAsia" w:ascii="仿宋_GB2312" w:eastAsia="仿宋_GB2312"/>
                <w:b/>
                <w:color w:val="auto"/>
                <w:sz w:val="28"/>
                <w:szCs w:val="28"/>
              </w:rPr>
              <w:t>投标人名称：</w:t>
            </w:r>
          </w:p>
          <w:p w14:paraId="46908920">
            <w:pPr>
              <w:pStyle w:val="2"/>
              <w:spacing w:line="400" w:lineRule="exact"/>
              <w:ind w:firstLine="900" w:firstLineChars="320"/>
              <w:rPr>
                <w:rFonts w:hint="eastAsia" w:ascii="仿宋_GB2312" w:eastAsia="仿宋_GB2312"/>
                <w:b/>
                <w:color w:val="auto"/>
                <w:sz w:val="28"/>
                <w:szCs w:val="28"/>
              </w:rPr>
            </w:pPr>
            <w:r>
              <w:rPr>
                <w:rFonts w:hint="eastAsia" w:ascii="仿宋_GB2312" w:eastAsia="仿宋_GB2312"/>
                <w:b/>
                <w:color w:val="auto"/>
                <w:sz w:val="28"/>
                <w:szCs w:val="28"/>
              </w:rPr>
              <w:t>投标人地址：</w:t>
            </w:r>
          </w:p>
          <w:p w14:paraId="6A8EFEC3">
            <w:pPr>
              <w:pStyle w:val="2"/>
              <w:spacing w:line="400" w:lineRule="exact"/>
              <w:ind w:firstLine="900" w:firstLineChars="320"/>
              <w:rPr>
                <w:rFonts w:hint="eastAsia" w:ascii="仿宋_GB2312" w:eastAsia="仿宋_GB2312"/>
                <w:b/>
                <w:color w:val="auto"/>
                <w:sz w:val="28"/>
                <w:szCs w:val="28"/>
              </w:rPr>
            </w:pPr>
            <w:r>
              <w:rPr>
                <w:rFonts w:hint="eastAsia" w:ascii="仿宋_GB2312" w:eastAsia="仿宋_GB2312"/>
                <w:b/>
                <w:color w:val="auto"/>
                <w:sz w:val="28"/>
                <w:szCs w:val="28"/>
              </w:rPr>
              <w:t>递交地址：</w:t>
            </w:r>
          </w:p>
          <w:p w14:paraId="3AA746C5">
            <w:pPr>
              <w:tabs>
                <w:tab w:val="left" w:pos="851"/>
              </w:tabs>
              <w:autoSpaceDE w:val="0"/>
              <w:autoSpaceDN w:val="0"/>
              <w:adjustRightInd w:val="0"/>
              <w:snapToGrid w:val="0"/>
              <w:spacing w:line="420" w:lineRule="auto"/>
              <w:rPr>
                <w:rFonts w:hint="eastAsia" w:ascii="仿宋_GB2312" w:eastAsia="仿宋_GB2312"/>
                <w:b/>
                <w:color w:val="auto"/>
                <w:sz w:val="32"/>
              </w:rPr>
            </w:pPr>
            <w:r>
              <w:rPr>
                <w:rFonts w:ascii="仿宋_GB2312" w:eastAsia="仿宋_GB2312"/>
                <w:b/>
                <w:color w:val="auto"/>
                <w:sz w:val="28"/>
                <w:szCs w:val="28"/>
              </w:rPr>
              <w:t xml:space="preserve"> </w:t>
            </w:r>
            <w:r>
              <w:rPr>
                <w:rFonts w:hint="eastAsia" w:ascii="仿宋_GB2312" w:eastAsia="仿宋_GB2312"/>
                <w:b/>
                <w:color w:val="auto"/>
                <w:sz w:val="28"/>
                <w:szCs w:val="28"/>
              </w:rPr>
              <w:t xml:space="preserve">     </w:t>
            </w:r>
            <w:r>
              <w:rPr>
                <w:rFonts w:hint="eastAsia" w:ascii="仿宋_GB2312" w:eastAsia="仿宋_GB2312"/>
                <w:b/>
                <w:color w:val="auto"/>
                <w:sz w:val="28"/>
                <w:szCs w:val="28"/>
                <w:lang w:eastAsia="zh-CN"/>
              </w:rPr>
              <w:t>（</w:t>
            </w:r>
            <w:r>
              <w:rPr>
                <w:rFonts w:ascii="仿宋_GB2312" w:eastAsia="仿宋_GB2312"/>
                <w:b/>
                <w:color w:val="auto"/>
                <w:sz w:val="28"/>
                <w:szCs w:val="28"/>
                <w:u w:val="single"/>
              </w:rPr>
              <w:t xml:space="preserve">    </w:t>
            </w:r>
            <w:r>
              <w:rPr>
                <w:rFonts w:hint="eastAsia" w:ascii="仿宋_GB2312" w:eastAsia="仿宋_GB2312"/>
                <w:b/>
                <w:color w:val="auto"/>
                <w:sz w:val="28"/>
                <w:szCs w:val="28"/>
              </w:rPr>
              <w:t>年</w:t>
            </w:r>
            <w:r>
              <w:rPr>
                <w:rFonts w:ascii="仿宋_GB2312" w:eastAsia="仿宋_GB2312"/>
                <w:b/>
                <w:color w:val="auto"/>
                <w:sz w:val="28"/>
                <w:szCs w:val="28"/>
                <w:u w:val="single"/>
              </w:rPr>
              <w:t xml:space="preserve">    </w:t>
            </w:r>
            <w:r>
              <w:rPr>
                <w:rFonts w:hint="eastAsia" w:ascii="仿宋_GB2312" w:eastAsia="仿宋_GB2312"/>
                <w:b/>
                <w:color w:val="auto"/>
                <w:sz w:val="28"/>
                <w:szCs w:val="28"/>
              </w:rPr>
              <w:t>月</w:t>
            </w:r>
            <w:r>
              <w:rPr>
                <w:rFonts w:ascii="仿宋_GB2312" w:eastAsia="仿宋_GB2312"/>
                <w:b/>
                <w:color w:val="auto"/>
                <w:sz w:val="28"/>
                <w:szCs w:val="28"/>
                <w:u w:val="single"/>
              </w:rPr>
              <w:t xml:space="preserve">    </w:t>
            </w:r>
            <w:r>
              <w:rPr>
                <w:rFonts w:hint="eastAsia" w:ascii="仿宋_GB2312" w:eastAsia="仿宋_GB2312"/>
                <w:b/>
                <w:color w:val="auto"/>
                <w:sz w:val="28"/>
                <w:szCs w:val="28"/>
              </w:rPr>
              <w:t>日</w:t>
            </w:r>
            <w:r>
              <w:rPr>
                <w:rFonts w:ascii="仿宋_GB2312" w:eastAsia="仿宋_GB2312"/>
                <w:b/>
                <w:color w:val="auto"/>
                <w:sz w:val="28"/>
                <w:szCs w:val="28"/>
                <w:u w:val="single"/>
              </w:rPr>
              <w:t xml:space="preserve">    </w:t>
            </w:r>
            <w:r>
              <w:rPr>
                <w:rFonts w:hint="eastAsia" w:ascii="仿宋_GB2312" w:eastAsia="仿宋_GB2312"/>
                <w:b/>
                <w:color w:val="auto"/>
                <w:sz w:val="28"/>
                <w:szCs w:val="28"/>
              </w:rPr>
              <w:t>时</w:t>
            </w:r>
            <w:r>
              <w:rPr>
                <w:rFonts w:ascii="仿宋_GB2312" w:eastAsia="仿宋_GB2312"/>
                <w:b/>
                <w:color w:val="auto"/>
                <w:sz w:val="28"/>
                <w:szCs w:val="28"/>
                <w:u w:val="single"/>
              </w:rPr>
              <w:t xml:space="preserve">    </w:t>
            </w:r>
            <w:r>
              <w:rPr>
                <w:rFonts w:hint="eastAsia" w:ascii="仿宋_GB2312" w:eastAsia="仿宋_GB2312"/>
                <w:b/>
                <w:color w:val="auto"/>
                <w:sz w:val="28"/>
                <w:szCs w:val="28"/>
              </w:rPr>
              <w:t>分</w:t>
            </w:r>
            <w:r>
              <w:rPr>
                <w:rFonts w:hint="eastAsia" w:ascii="仿宋_GB2312" w:eastAsia="仿宋_GB2312"/>
                <w:b/>
                <w:color w:val="auto"/>
                <w:sz w:val="28"/>
                <w:szCs w:val="28"/>
                <w:lang w:eastAsia="zh-CN"/>
              </w:rPr>
              <w:t>）</w:t>
            </w:r>
            <w:r>
              <w:rPr>
                <w:rFonts w:hint="eastAsia" w:ascii="仿宋_GB2312" w:eastAsia="仿宋_GB2312"/>
                <w:b/>
                <w:color w:val="auto"/>
                <w:sz w:val="28"/>
                <w:szCs w:val="28"/>
              </w:rPr>
              <w:t>之前不得启封</w:t>
            </w:r>
          </w:p>
        </w:tc>
      </w:tr>
    </w:tbl>
    <w:p w14:paraId="26A80262">
      <w:p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lang w:eastAsia="zh-TW"/>
        </w:rPr>
      </w:pPr>
      <w:bookmarkStart w:id="195" w:name="_Toc29829"/>
      <w:bookmarkStart w:id="196" w:name="_Toc275865604"/>
      <w:r>
        <w:rPr>
          <w:rFonts w:hint="eastAsia" w:ascii="宋体" w:hAnsi="宋体"/>
          <w:b/>
          <w:color w:val="auto"/>
          <w:sz w:val="28"/>
          <w:szCs w:val="28"/>
          <w:lang w:eastAsia="zh-TW"/>
        </w:rPr>
        <w:t>投标文件目录表</w:t>
      </w:r>
      <w:bookmarkEnd w:id="195"/>
      <w:bookmarkEnd w:id="196"/>
    </w:p>
    <w:p w14:paraId="1F8990FE">
      <w:pPr>
        <w:numPr>
          <w:ilvl w:val="0"/>
          <w:numId w:val="54"/>
        </w:numPr>
        <w:spacing w:line="360" w:lineRule="auto"/>
        <w:rPr>
          <w:rFonts w:hint="eastAsia" w:ascii="黑体" w:hAnsi="黑体" w:eastAsia="黑体" w:cs="黑体"/>
          <w:b/>
          <w:color w:val="auto"/>
          <w:sz w:val="24"/>
        </w:rPr>
      </w:pPr>
      <w:r>
        <w:rPr>
          <w:rFonts w:hint="eastAsia" w:ascii="黑体" w:hAnsi="黑体" w:eastAsia="黑体" w:cs="黑体"/>
          <w:b/>
          <w:color w:val="auto"/>
          <w:sz w:val="24"/>
        </w:rPr>
        <w:t>自 查 表</w:t>
      </w:r>
    </w:p>
    <w:p w14:paraId="23F298B2">
      <w:pPr>
        <w:numPr>
          <w:ilvl w:val="0"/>
          <w:numId w:val="55"/>
        </w:numPr>
        <w:adjustRightInd w:val="0"/>
        <w:snapToGrid w:val="0"/>
        <w:spacing w:line="360" w:lineRule="auto"/>
        <w:rPr>
          <w:rFonts w:hint="eastAsia" w:ascii="黑体" w:hAnsi="黑体" w:eastAsia="黑体" w:cs="黑体"/>
          <w:b/>
          <w:color w:val="auto"/>
          <w:sz w:val="24"/>
        </w:rPr>
      </w:pPr>
      <w:r>
        <w:rPr>
          <w:rFonts w:hint="eastAsia" w:ascii="黑体" w:hAnsi="黑体" w:eastAsia="黑体" w:cs="黑体"/>
          <w:b/>
          <w:color w:val="auto"/>
          <w:sz w:val="24"/>
        </w:rPr>
        <w:t>资格性/符合性自查表</w:t>
      </w:r>
    </w:p>
    <w:tbl>
      <w:tblPr>
        <w:tblStyle w:val="19"/>
        <w:tblW w:w="4995"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150" w:type="dxa"/>
          <w:left w:w="150" w:type="dxa"/>
          <w:bottom w:w="150" w:type="dxa"/>
          <w:right w:w="150" w:type="dxa"/>
        </w:tblCellMar>
      </w:tblPr>
      <w:tblGrid>
        <w:gridCol w:w="1355"/>
        <w:gridCol w:w="4939"/>
        <w:gridCol w:w="1588"/>
        <w:gridCol w:w="1589"/>
      </w:tblGrid>
      <w:tr w14:paraId="17183F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429" w:hRule="atLeast"/>
          <w:jc w:val="center"/>
        </w:trPr>
        <w:tc>
          <w:tcPr>
            <w:tcW w:w="715" w:type="pct"/>
            <w:tcBorders>
              <w:tl2br w:val="nil"/>
              <w:tr2bl w:val="nil"/>
            </w:tcBorders>
            <w:noWrap w:val="0"/>
            <w:vAlign w:val="center"/>
          </w:tcPr>
          <w:p w14:paraId="1964222D">
            <w:pPr>
              <w:adjustRightInd w:val="0"/>
              <w:snapToGrid w:val="0"/>
              <w:jc w:val="center"/>
              <w:rPr>
                <w:rFonts w:ascii="宋体" w:hAnsi="宋体" w:cs="宋体"/>
                <w:color w:val="auto"/>
                <w:szCs w:val="21"/>
                <w:highlight w:val="none"/>
              </w:rPr>
            </w:pPr>
            <w:r>
              <w:rPr>
                <w:rStyle w:val="22"/>
                <w:rFonts w:hint="eastAsia" w:ascii="宋体" w:hAnsi="宋体"/>
                <w:color w:val="auto"/>
                <w:szCs w:val="21"/>
                <w:highlight w:val="none"/>
              </w:rPr>
              <w:t>评审内容</w:t>
            </w:r>
          </w:p>
        </w:tc>
        <w:tc>
          <w:tcPr>
            <w:tcW w:w="2606" w:type="pct"/>
            <w:tcBorders>
              <w:tl2br w:val="nil"/>
              <w:tr2bl w:val="nil"/>
            </w:tcBorders>
            <w:noWrap w:val="0"/>
            <w:vAlign w:val="center"/>
          </w:tcPr>
          <w:p w14:paraId="2DC09B6B">
            <w:pPr>
              <w:adjustRightInd w:val="0"/>
              <w:snapToGrid w:val="0"/>
              <w:jc w:val="center"/>
              <w:rPr>
                <w:rFonts w:ascii="宋体" w:hAnsi="宋体" w:cs="宋体"/>
                <w:color w:val="auto"/>
                <w:szCs w:val="21"/>
                <w:highlight w:val="none"/>
              </w:rPr>
            </w:pPr>
            <w:r>
              <w:rPr>
                <w:rStyle w:val="22"/>
                <w:rFonts w:hint="eastAsia" w:ascii="宋体" w:hAnsi="宋体"/>
                <w:color w:val="auto"/>
                <w:szCs w:val="21"/>
                <w:highlight w:val="none"/>
              </w:rPr>
              <w:t>招标文件要求</w:t>
            </w:r>
            <w:r>
              <w:rPr>
                <w:rFonts w:hint="eastAsia" w:ascii="宋体" w:hAnsi="宋体"/>
                <w:color w:val="auto"/>
                <w:szCs w:val="21"/>
                <w:highlight w:val="none"/>
              </w:rPr>
              <w:br w:type="textWrapping"/>
            </w:r>
            <w:r>
              <w:rPr>
                <w:rFonts w:hint="eastAsia" w:ascii="宋体" w:hAnsi="宋体"/>
                <w:color w:val="auto"/>
                <w:szCs w:val="21"/>
                <w:highlight w:val="none"/>
              </w:rPr>
              <w:t>（详见《资格性和符合性审查条款》各项）</w:t>
            </w:r>
          </w:p>
        </w:tc>
        <w:tc>
          <w:tcPr>
            <w:tcW w:w="838" w:type="pct"/>
            <w:tcBorders>
              <w:tl2br w:val="nil"/>
              <w:tr2bl w:val="nil"/>
            </w:tcBorders>
            <w:noWrap w:val="0"/>
            <w:vAlign w:val="center"/>
          </w:tcPr>
          <w:p w14:paraId="12438475">
            <w:pPr>
              <w:adjustRightInd w:val="0"/>
              <w:snapToGrid w:val="0"/>
              <w:jc w:val="center"/>
              <w:rPr>
                <w:rFonts w:ascii="宋体" w:hAnsi="宋体" w:cs="宋体"/>
                <w:color w:val="auto"/>
                <w:szCs w:val="21"/>
                <w:highlight w:val="none"/>
              </w:rPr>
            </w:pPr>
            <w:r>
              <w:rPr>
                <w:rStyle w:val="22"/>
                <w:rFonts w:hint="eastAsia" w:ascii="宋体" w:hAnsi="宋体"/>
                <w:color w:val="auto"/>
                <w:szCs w:val="21"/>
                <w:highlight w:val="none"/>
              </w:rPr>
              <w:t>自查结论</w:t>
            </w:r>
          </w:p>
        </w:tc>
        <w:tc>
          <w:tcPr>
            <w:tcW w:w="838" w:type="pct"/>
            <w:tcBorders>
              <w:tl2br w:val="nil"/>
              <w:tr2bl w:val="nil"/>
            </w:tcBorders>
            <w:noWrap w:val="0"/>
            <w:vAlign w:val="center"/>
          </w:tcPr>
          <w:p w14:paraId="461EB17D">
            <w:pPr>
              <w:adjustRightInd w:val="0"/>
              <w:snapToGrid w:val="0"/>
              <w:jc w:val="center"/>
              <w:rPr>
                <w:rFonts w:ascii="宋体" w:hAnsi="宋体" w:cs="宋体"/>
                <w:color w:val="auto"/>
                <w:szCs w:val="21"/>
                <w:highlight w:val="none"/>
              </w:rPr>
            </w:pPr>
            <w:r>
              <w:rPr>
                <w:rStyle w:val="22"/>
                <w:rFonts w:hint="eastAsia" w:ascii="宋体" w:hAnsi="宋体"/>
                <w:color w:val="auto"/>
                <w:szCs w:val="21"/>
                <w:highlight w:val="none"/>
              </w:rPr>
              <w:t>证明资料</w:t>
            </w:r>
          </w:p>
        </w:tc>
      </w:tr>
      <w:tr w14:paraId="6CE8F5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589" w:hRule="atLeast"/>
          <w:jc w:val="center"/>
        </w:trPr>
        <w:tc>
          <w:tcPr>
            <w:tcW w:w="715" w:type="pct"/>
            <w:vMerge w:val="restart"/>
            <w:tcBorders>
              <w:tl2br w:val="nil"/>
              <w:tr2bl w:val="nil"/>
            </w:tcBorders>
            <w:noWrap w:val="0"/>
            <w:vAlign w:val="center"/>
          </w:tcPr>
          <w:p w14:paraId="537096CA">
            <w:pPr>
              <w:pStyle w:val="36"/>
              <w:adjustRightInd w:val="0"/>
              <w:snapToGrid w:val="0"/>
              <w:spacing w:before="0" w:beforeAutospacing="0" w:after="0" w:afterAutospacing="0"/>
              <w:jc w:val="center"/>
              <w:rPr>
                <w:b/>
                <w:color w:val="auto"/>
                <w:sz w:val="21"/>
                <w:szCs w:val="21"/>
                <w:highlight w:val="none"/>
              </w:rPr>
            </w:pPr>
            <w:r>
              <w:rPr>
                <w:rFonts w:hint="eastAsia"/>
                <w:b/>
                <w:color w:val="auto"/>
                <w:sz w:val="21"/>
                <w:szCs w:val="21"/>
                <w:highlight w:val="none"/>
              </w:rPr>
              <w:t>资格性审查</w:t>
            </w:r>
          </w:p>
        </w:tc>
        <w:tc>
          <w:tcPr>
            <w:tcW w:w="2606" w:type="pct"/>
            <w:tcBorders>
              <w:tl2br w:val="nil"/>
              <w:tr2bl w:val="nil"/>
            </w:tcBorders>
            <w:noWrap w:val="0"/>
            <w:vAlign w:val="center"/>
          </w:tcPr>
          <w:p w14:paraId="583ACB4D">
            <w:pPr>
              <w:numPr>
                <w:ilvl w:val="0"/>
                <w:numId w:val="0"/>
              </w:numPr>
              <w:tabs>
                <w:tab w:val="left" w:pos="1276"/>
              </w:tabs>
              <w:snapToGrid w:val="0"/>
              <w:spacing w:line="276" w:lineRule="auto"/>
              <w:ind w:leftChars="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具备以下资格条件，提供下列材料</w:t>
            </w:r>
            <w:r>
              <w:rPr>
                <w:rFonts w:hint="eastAsia" w:ascii="宋体" w:hAnsi="宋体" w:cs="宋体"/>
                <w:color w:val="auto"/>
                <w:kern w:val="0"/>
                <w:szCs w:val="21"/>
                <w:highlight w:val="none"/>
              </w:rPr>
              <w:t>：</w:t>
            </w:r>
          </w:p>
          <w:p w14:paraId="69FAB2AE">
            <w:pPr>
              <w:numPr>
                <w:ilvl w:val="0"/>
                <w:numId w:val="0"/>
              </w:numPr>
              <w:tabs>
                <w:tab w:val="left" w:pos="1276"/>
              </w:tabs>
              <w:snapToGrid w:val="0"/>
              <w:spacing w:line="276" w:lineRule="auto"/>
              <w:ind w:leftChars="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在中华人民共和国境内注册的法人或其他组织或自然人，投标时提供有效的营业执照（或事业法人登记证或身份证等相关证明） 副本复印件，如投标人为自然人的需提供自然人身份证明复印件；</w:t>
            </w:r>
          </w:p>
          <w:p w14:paraId="41C12A12">
            <w:pPr>
              <w:numPr>
                <w:ilvl w:val="0"/>
                <w:numId w:val="0"/>
              </w:numPr>
              <w:tabs>
                <w:tab w:val="left" w:pos="1276"/>
              </w:tabs>
              <w:snapToGrid w:val="0"/>
              <w:spacing w:line="276" w:lineRule="auto"/>
              <w:ind w:leftChars="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财务会计制度情况，须提供下列任一项证明材料：</w:t>
            </w:r>
          </w:p>
          <w:p w14:paraId="604B5555">
            <w:pPr>
              <w:numPr>
                <w:ilvl w:val="0"/>
                <w:numId w:val="0"/>
              </w:numPr>
              <w:tabs>
                <w:tab w:val="left" w:pos="1276"/>
              </w:tabs>
              <w:snapToGrid w:val="0"/>
              <w:spacing w:line="276" w:lineRule="auto"/>
              <w:ind w:leftChars="0"/>
              <w:rPr>
                <w:rFonts w:hint="eastAsia" w:ascii="宋体" w:hAnsi="宋体" w:cs="宋体"/>
                <w:color w:val="auto"/>
                <w:kern w:val="0"/>
                <w:szCs w:val="21"/>
                <w:highlight w:val="none"/>
              </w:rPr>
            </w:pPr>
            <w:r>
              <w:rPr>
                <w:rFonts w:hint="eastAsia" w:ascii="宋体" w:hAnsi="宋体" w:cs="宋体"/>
                <w:color w:val="auto"/>
                <w:kern w:val="0"/>
                <w:szCs w:val="21"/>
                <w:highlight w:val="none"/>
              </w:rPr>
              <w:t>①提供2024年度的财务状况报告，财务状况报告须由第三方会计师事务所出具，并能清晰显示第三方会计师事务所的印章和注册会计师签字盖章，且能反映审计结论；</w:t>
            </w:r>
          </w:p>
          <w:p w14:paraId="0FABA769">
            <w:pPr>
              <w:numPr>
                <w:ilvl w:val="0"/>
                <w:numId w:val="0"/>
              </w:numPr>
              <w:tabs>
                <w:tab w:val="left" w:pos="1276"/>
              </w:tabs>
              <w:snapToGrid w:val="0"/>
              <w:spacing w:line="276" w:lineRule="auto"/>
              <w:ind w:leftChars="0"/>
              <w:rPr>
                <w:rFonts w:hint="eastAsia" w:ascii="宋体" w:hAnsi="宋体" w:cs="宋体"/>
                <w:color w:val="auto"/>
                <w:kern w:val="0"/>
                <w:szCs w:val="21"/>
                <w:highlight w:val="none"/>
              </w:rPr>
            </w:pPr>
            <w:r>
              <w:rPr>
                <w:rFonts w:hint="eastAsia" w:ascii="宋体" w:hAnsi="宋体" w:cs="宋体"/>
                <w:color w:val="auto"/>
                <w:kern w:val="0"/>
                <w:szCs w:val="21"/>
                <w:highlight w:val="none"/>
              </w:rPr>
              <w:t>②基本开户银行出具投标截止前6个月内（含投标截止当月，并往前顺推）任意1个月的资信证明，并同时提供基本开户银行的《开户许可证》或《基本存款账户信息》（公户账户主档）或其他可证明资信证明为基本开户银行出具的相关证明资料，以上文件均需加盖银行印章。</w:t>
            </w:r>
          </w:p>
          <w:p w14:paraId="5B97D38C">
            <w:pPr>
              <w:numPr>
                <w:ilvl w:val="0"/>
                <w:numId w:val="0"/>
              </w:numPr>
              <w:tabs>
                <w:tab w:val="left" w:pos="1276"/>
              </w:tabs>
              <w:snapToGrid w:val="0"/>
              <w:spacing w:line="276" w:lineRule="auto"/>
              <w:ind w:leftChars="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提供投标截止日前6个月内（含投标截止时间当月）任意1个月依法缴纳税收和社会保障资金的相关材料。如依法免税或不需要缴纳社会保障资金的，提供相应证明材料；</w:t>
            </w:r>
          </w:p>
          <w:p w14:paraId="3ABF3A7E">
            <w:pPr>
              <w:numPr>
                <w:ilvl w:val="0"/>
                <w:numId w:val="0"/>
              </w:numPr>
              <w:tabs>
                <w:tab w:val="left" w:pos="1276"/>
              </w:tabs>
              <w:snapToGrid w:val="0"/>
              <w:spacing w:line="276" w:lineRule="auto"/>
              <w:ind w:leftChars="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履行合同所必需的设备和专业技术能力的书面声明（提供《投标人资格声明函》）；</w:t>
            </w:r>
          </w:p>
          <w:p w14:paraId="44EC86B5">
            <w:pPr>
              <w:numPr>
                <w:ilvl w:val="0"/>
                <w:numId w:val="0"/>
              </w:numPr>
              <w:tabs>
                <w:tab w:val="left" w:pos="1276"/>
              </w:tabs>
              <w:snapToGrid w:val="0"/>
              <w:spacing w:line="276" w:lineRule="auto"/>
              <w:ind w:left="0" w:leftChars="0" w:firstLine="0" w:firstLineChars="0"/>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参加政府采购活动前3年内在经营活动中没有重大违法记录的书面声明（提供《投标人资格声明函》）。</w:t>
            </w:r>
          </w:p>
        </w:tc>
        <w:tc>
          <w:tcPr>
            <w:tcW w:w="838" w:type="pct"/>
            <w:tcBorders>
              <w:tl2br w:val="nil"/>
              <w:tr2bl w:val="nil"/>
            </w:tcBorders>
            <w:noWrap w:val="0"/>
            <w:vAlign w:val="center"/>
          </w:tcPr>
          <w:p w14:paraId="36F0A273">
            <w:pPr>
              <w:adjustRightInd w:val="0"/>
              <w:snapToGrid w:val="0"/>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4493E6C3">
            <w:pPr>
              <w:adjustRightInd w:val="0"/>
              <w:snapToGrid w:val="0"/>
              <w:rPr>
                <w:rFonts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838" w:type="pct"/>
            <w:tcBorders>
              <w:tl2br w:val="nil"/>
              <w:tr2bl w:val="nil"/>
            </w:tcBorders>
            <w:noWrap w:val="0"/>
            <w:vAlign w:val="center"/>
          </w:tcPr>
          <w:p w14:paraId="3AB041A1">
            <w:pPr>
              <w:adjustRightInd w:val="0"/>
              <w:snapToGrid w:val="0"/>
              <w:jc w:val="center"/>
              <w:rPr>
                <w:rFonts w:ascii="宋体" w:hAnsi="宋体" w:cs="宋体"/>
                <w:color w:val="auto"/>
                <w:szCs w:val="21"/>
                <w:highlight w:val="none"/>
              </w:rPr>
            </w:pPr>
            <w:r>
              <w:rPr>
                <w:rFonts w:hint="eastAsia" w:ascii="宋体" w:hAnsi="宋体"/>
                <w:color w:val="auto"/>
                <w:szCs w:val="21"/>
                <w:highlight w:val="none"/>
              </w:rPr>
              <w:t>第（ ）页</w:t>
            </w:r>
          </w:p>
        </w:tc>
      </w:tr>
      <w:tr w14:paraId="51347C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471" w:hRule="atLeast"/>
          <w:jc w:val="center"/>
        </w:trPr>
        <w:tc>
          <w:tcPr>
            <w:tcW w:w="715" w:type="pct"/>
            <w:vMerge w:val="continue"/>
            <w:tcBorders>
              <w:tl2br w:val="nil"/>
              <w:tr2bl w:val="nil"/>
            </w:tcBorders>
            <w:noWrap w:val="0"/>
            <w:vAlign w:val="center"/>
          </w:tcPr>
          <w:p w14:paraId="5F15365C">
            <w:pPr>
              <w:adjustRightInd w:val="0"/>
              <w:snapToGrid w:val="0"/>
              <w:rPr>
                <w:rFonts w:ascii="宋体" w:hAnsi="宋体" w:cs="宋体"/>
                <w:color w:val="auto"/>
                <w:szCs w:val="21"/>
                <w:highlight w:val="none"/>
              </w:rPr>
            </w:pPr>
          </w:p>
        </w:tc>
        <w:tc>
          <w:tcPr>
            <w:tcW w:w="2606" w:type="pct"/>
            <w:tcBorders>
              <w:tl2br w:val="nil"/>
              <w:tr2bl w:val="nil"/>
            </w:tcBorders>
            <w:noWrap w:val="0"/>
            <w:vAlign w:val="center"/>
          </w:tcPr>
          <w:p w14:paraId="2F5F3F2D">
            <w:pPr>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未被列入“信用中国”网站</w:t>
            </w:r>
            <w:r>
              <w:rPr>
                <w:rFonts w:hint="eastAsia" w:ascii="宋体" w:hAnsi="宋体" w:cs="宋体"/>
                <w:color w:val="auto"/>
                <w:highlight w:val="none"/>
                <w:lang w:eastAsia="zh-CN"/>
              </w:rPr>
              <w:t>（</w:t>
            </w:r>
            <w:r>
              <w:rPr>
                <w:rFonts w:hint="eastAsia" w:ascii="宋体" w:hAnsi="宋体" w:eastAsia="宋体" w:cs="宋体"/>
                <w:color w:val="auto"/>
                <w:highlight w:val="none"/>
              </w:rPr>
              <w:t>www.creditchina.gov.cn</w:t>
            </w:r>
            <w:r>
              <w:rPr>
                <w:rFonts w:hint="eastAsia" w:ascii="宋体" w:hAnsi="宋体" w:cs="宋体"/>
                <w:color w:val="auto"/>
                <w:highlight w:val="none"/>
                <w:lang w:eastAsia="zh-CN"/>
              </w:rPr>
              <w:t>）</w:t>
            </w:r>
            <w:r>
              <w:rPr>
                <w:rFonts w:hint="eastAsia" w:ascii="宋体" w:hAnsi="宋体" w:eastAsia="宋体" w:cs="宋体"/>
                <w:color w:val="auto"/>
                <w:highlight w:val="none"/>
              </w:rPr>
              <w:t>“记录失信被执行人或重大税收违法失信主体或政府采购严重违法失信行为”记录名单；不处于中国政府采购网</w:t>
            </w:r>
            <w:r>
              <w:rPr>
                <w:rFonts w:hint="eastAsia" w:ascii="宋体" w:hAnsi="宋体" w:cs="宋体"/>
                <w:color w:val="auto"/>
                <w:highlight w:val="none"/>
                <w:lang w:eastAsia="zh-CN"/>
              </w:rPr>
              <w:t>（</w:t>
            </w:r>
            <w:r>
              <w:rPr>
                <w:rFonts w:hint="eastAsia" w:ascii="宋体" w:hAnsi="宋体" w:eastAsia="宋体" w:cs="宋体"/>
                <w:color w:val="auto"/>
                <w:highlight w:val="none"/>
              </w:rPr>
              <w:t>www.ccgp.gov.cn</w:t>
            </w:r>
            <w:r>
              <w:rPr>
                <w:rFonts w:hint="eastAsia" w:ascii="宋体" w:hAnsi="宋体" w:cs="宋体"/>
                <w:color w:val="auto"/>
                <w:highlight w:val="none"/>
                <w:lang w:eastAsia="zh-CN"/>
              </w:rPr>
              <w:t>）</w:t>
            </w:r>
            <w:r>
              <w:rPr>
                <w:rFonts w:hint="eastAsia" w:ascii="宋体" w:hAnsi="宋体" w:eastAsia="宋体" w:cs="宋体"/>
                <w:color w:val="auto"/>
                <w:highlight w:val="none"/>
              </w:rPr>
              <w:t>“政府采购严重违法失信行为信息记录”中的禁止参加</w:t>
            </w:r>
            <w:r>
              <w:rPr>
                <w:rFonts w:hint="eastAsia" w:ascii="宋体" w:hAnsi="宋体" w:cs="宋体"/>
                <w:color w:val="auto"/>
                <w:highlight w:val="none"/>
                <w:lang w:eastAsia="zh-CN"/>
              </w:rPr>
              <w:t>政府采购活动期间【</w:t>
            </w:r>
            <w:r>
              <w:rPr>
                <w:rFonts w:hint="eastAsia" w:ascii="宋体" w:hAnsi="宋体" w:eastAsia="宋体" w:cs="宋体"/>
                <w:color w:val="auto"/>
                <w:highlight w:val="none"/>
              </w:rPr>
              <w:t>以采购代理机构于投标截止日当天在“信用中国”网站（www.creditchina.gov.cn）及中国政府采购网</w:t>
            </w:r>
            <w:r>
              <w:rPr>
                <w:rFonts w:hint="eastAsia" w:ascii="宋体" w:hAnsi="宋体" w:cs="宋体"/>
                <w:color w:val="auto"/>
                <w:highlight w:val="none"/>
                <w:lang w:eastAsia="zh-CN"/>
              </w:rPr>
              <w:t>（</w:t>
            </w:r>
            <w:r>
              <w:rPr>
                <w:rFonts w:hint="eastAsia" w:ascii="宋体" w:hAnsi="宋体" w:eastAsia="宋体" w:cs="宋体"/>
                <w:color w:val="auto"/>
                <w:highlight w:val="none"/>
              </w:rPr>
              <w:t>www.ccgp.gov.cn</w:t>
            </w:r>
            <w:r>
              <w:rPr>
                <w:rFonts w:hint="eastAsia" w:ascii="宋体" w:hAnsi="宋体" w:cs="宋体"/>
                <w:color w:val="auto"/>
                <w:highlight w:val="none"/>
                <w:lang w:eastAsia="zh-CN"/>
              </w:rPr>
              <w:t>）</w:t>
            </w:r>
            <w:r>
              <w:rPr>
                <w:rFonts w:hint="eastAsia" w:ascii="宋体" w:hAnsi="宋体" w:eastAsia="宋体" w:cs="宋体"/>
                <w:color w:val="auto"/>
                <w:highlight w:val="none"/>
              </w:rPr>
              <w:t>查询结果为准，如相关失信记录已失效，供应商需提供相关证明资料】。</w:t>
            </w:r>
          </w:p>
        </w:tc>
        <w:tc>
          <w:tcPr>
            <w:tcW w:w="838" w:type="pct"/>
            <w:tcBorders>
              <w:tl2br w:val="nil"/>
              <w:tr2bl w:val="nil"/>
            </w:tcBorders>
            <w:noWrap w:val="0"/>
            <w:vAlign w:val="center"/>
          </w:tcPr>
          <w:p w14:paraId="33A63214">
            <w:pPr>
              <w:adjustRightInd w:val="0"/>
              <w:snapToGrid w:val="0"/>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79DB04BD">
            <w:pPr>
              <w:adjustRightInd w:val="0"/>
              <w:snapToGrid w:val="0"/>
              <w:rPr>
                <w:rFonts w:ascii="宋体" w:hAnsi="宋体" w:cs="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838" w:type="pct"/>
            <w:tcBorders>
              <w:tl2br w:val="nil"/>
              <w:tr2bl w:val="nil"/>
            </w:tcBorders>
            <w:noWrap w:val="0"/>
            <w:vAlign w:val="center"/>
          </w:tcPr>
          <w:p w14:paraId="42A0E160">
            <w:pPr>
              <w:adjustRightInd w:val="0"/>
              <w:snapToGrid w:val="0"/>
              <w:jc w:val="center"/>
              <w:rPr>
                <w:rFonts w:ascii="宋体" w:hAnsi="宋体" w:cs="宋体"/>
                <w:color w:val="auto"/>
                <w:szCs w:val="21"/>
                <w:highlight w:val="none"/>
              </w:rPr>
            </w:pPr>
            <w:r>
              <w:rPr>
                <w:rFonts w:hint="eastAsia" w:ascii="宋体" w:hAnsi="宋体"/>
                <w:color w:val="auto"/>
                <w:szCs w:val="21"/>
                <w:highlight w:val="none"/>
              </w:rPr>
              <w:t>第（ ）页</w:t>
            </w:r>
          </w:p>
        </w:tc>
      </w:tr>
      <w:tr w14:paraId="138B19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471" w:hRule="atLeast"/>
          <w:jc w:val="center"/>
        </w:trPr>
        <w:tc>
          <w:tcPr>
            <w:tcW w:w="715" w:type="pct"/>
            <w:vMerge w:val="continue"/>
            <w:tcBorders>
              <w:tl2br w:val="nil"/>
              <w:tr2bl w:val="nil"/>
            </w:tcBorders>
            <w:noWrap w:val="0"/>
            <w:vAlign w:val="center"/>
          </w:tcPr>
          <w:p w14:paraId="25C7EBEC">
            <w:pPr>
              <w:adjustRightInd w:val="0"/>
              <w:snapToGrid w:val="0"/>
              <w:rPr>
                <w:rFonts w:ascii="宋体" w:hAnsi="宋体" w:cs="宋体"/>
                <w:color w:val="auto"/>
                <w:szCs w:val="21"/>
                <w:highlight w:val="none"/>
              </w:rPr>
            </w:pPr>
          </w:p>
        </w:tc>
        <w:tc>
          <w:tcPr>
            <w:tcW w:w="2606" w:type="pct"/>
            <w:tcBorders>
              <w:tl2br w:val="nil"/>
              <w:tr2bl w:val="nil"/>
            </w:tcBorders>
            <w:noWrap w:val="0"/>
            <w:vAlign w:val="center"/>
          </w:tcPr>
          <w:p w14:paraId="3C2FE4C5">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为采购项目提供整体设计、规范编制或者项目管理、监理、检测等服务的供应商，不得再参加该采购项目的其他采购活动（提供《投标人资格声明函》）。</w:t>
            </w:r>
          </w:p>
        </w:tc>
        <w:tc>
          <w:tcPr>
            <w:tcW w:w="838" w:type="pct"/>
            <w:tcBorders>
              <w:tl2br w:val="nil"/>
              <w:tr2bl w:val="nil"/>
            </w:tcBorders>
            <w:noWrap w:val="0"/>
            <w:vAlign w:val="center"/>
          </w:tcPr>
          <w:p w14:paraId="184A6516">
            <w:pPr>
              <w:adjustRightInd w:val="0"/>
              <w:snapToGrid w:val="0"/>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4616F8E2">
            <w:pPr>
              <w:adjustRightInd w:val="0"/>
              <w:snapToGrid w:val="0"/>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838" w:type="pct"/>
            <w:tcBorders>
              <w:tl2br w:val="nil"/>
              <w:tr2bl w:val="nil"/>
            </w:tcBorders>
            <w:noWrap w:val="0"/>
            <w:vAlign w:val="center"/>
          </w:tcPr>
          <w:p w14:paraId="7FE50E6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14:paraId="7F2F4A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471" w:hRule="atLeast"/>
          <w:jc w:val="center"/>
        </w:trPr>
        <w:tc>
          <w:tcPr>
            <w:tcW w:w="715" w:type="pct"/>
            <w:vMerge w:val="continue"/>
            <w:tcBorders>
              <w:tl2br w:val="nil"/>
              <w:tr2bl w:val="nil"/>
            </w:tcBorders>
            <w:noWrap w:val="0"/>
            <w:vAlign w:val="center"/>
          </w:tcPr>
          <w:p w14:paraId="4B7EAB1F">
            <w:pPr>
              <w:adjustRightInd w:val="0"/>
              <w:snapToGrid w:val="0"/>
              <w:rPr>
                <w:rFonts w:ascii="宋体" w:hAnsi="宋体" w:cs="宋体"/>
                <w:color w:val="auto"/>
                <w:szCs w:val="21"/>
                <w:highlight w:val="none"/>
              </w:rPr>
            </w:pPr>
          </w:p>
        </w:tc>
        <w:tc>
          <w:tcPr>
            <w:tcW w:w="2606" w:type="pct"/>
            <w:tcBorders>
              <w:tl2br w:val="nil"/>
              <w:tr2bl w:val="nil"/>
            </w:tcBorders>
            <w:noWrap w:val="0"/>
            <w:vAlign w:val="center"/>
          </w:tcPr>
          <w:p w14:paraId="0F473900">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单位负责人为同一人或者存在直接控股、管理关系的不同供应商，不得参加同一合同项下的政府采购活动（提供《投标人资格声明函》）。</w:t>
            </w:r>
          </w:p>
        </w:tc>
        <w:tc>
          <w:tcPr>
            <w:tcW w:w="838" w:type="pct"/>
            <w:tcBorders>
              <w:tl2br w:val="nil"/>
              <w:tr2bl w:val="nil"/>
            </w:tcBorders>
            <w:noWrap w:val="0"/>
            <w:vAlign w:val="center"/>
          </w:tcPr>
          <w:p w14:paraId="36D13864">
            <w:pPr>
              <w:adjustRightInd w:val="0"/>
              <w:snapToGrid w:val="0"/>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6FF84DDF">
            <w:pPr>
              <w:adjustRightInd w:val="0"/>
              <w:snapToGrid w:val="0"/>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838" w:type="pct"/>
            <w:tcBorders>
              <w:tl2br w:val="nil"/>
              <w:tr2bl w:val="nil"/>
            </w:tcBorders>
            <w:noWrap w:val="0"/>
            <w:vAlign w:val="center"/>
          </w:tcPr>
          <w:p w14:paraId="7186D6D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14:paraId="79FD6D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382" w:hRule="atLeast"/>
          <w:jc w:val="center"/>
        </w:trPr>
        <w:tc>
          <w:tcPr>
            <w:tcW w:w="715" w:type="pct"/>
            <w:vMerge w:val="continue"/>
            <w:tcBorders>
              <w:tl2br w:val="nil"/>
              <w:tr2bl w:val="nil"/>
            </w:tcBorders>
            <w:noWrap w:val="0"/>
            <w:vAlign w:val="center"/>
          </w:tcPr>
          <w:p w14:paraId="3D49E4ED">
            <w:pPr>
              <w:adjustRightInd w:val="0"/>
              <w:snapToGrid w:val="0"/>
              <w:rPr>
                <w:rFonts w:ascii="宋体" w:hAnsi="宋体" w:cs="宋体"/>
                <w:color w:val="auto"/>
                <w:szCs w:val="21"/>
                <w:highlight w:val="none"/>
              </w:rPr>
            </w:pPr>
          </w:p>
        </w:tc>
        <w:tc>
          <w:tcPr>
            <w:tcW w:w="2606" w:type="pct"/>
            <w:tcBorders>
              <w:tl2br w:val="nil"/>
              <w:tr2bl w:val="nil"/>
            </w:tcBorders>
            <w:noWrap w:val="0"/>
            <w:vAlign w:val="center"/>
          </w:tcPr>
          <w:p w14:paraId="6AAA3A7F">
            <w:pPr>
              <w:jc w:val="lef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须具有公安机关颁发的有效的《保安服务许可证》</w:t>
            </w:r>
            <w:r>
              <w:rPr>
                <w:rFonts w:hint="eastAsia" w:ascii="宋体" w:hAnsi="宋体" w:cs="宋体"/>
                <w:color w:val="auto"/>
                <w:lang w:eastAsia="zh-CN"/>
              </w:rPr>
              <w:t>。</w:t>
            </w:r>
            <w:r>
              <w:rPr>
                <w:rFonts w:hint="eastAsia" w:ascii="宋体" w:hAnsi="宋体" w:eastAsia="宋体" w:cs="宋体"/>
                <w:color w:val="auto"/>
              </w:rPr>
              <w:t>若供应商为佛山市外的单位，参与本项目还须承诺：如在本项目中标，在开始提供保安服务之前取得服务所在地设区的市级（或以上）公安机关的备案回执【须提供有效的《保安服务许可证》证书复印件和针对本条款内容的承诺函（格式自拟）】。</w:t>
            </w:r>
          </w:p>
        </w:tc>
        <w:tc>
          <w:tcPr>
            <w:tcW w:w="838" w:type="pct"/>
            <w:tcBorders>
              <w:tl2br w:val="nil"/>
              <w:tr2bl w:val="nil"/>
            </w:tcBorders>
            <w:noWrap w:val="0"/>
            <w:vAlign w:val="center"/>
          </w:tcPr>
          <w:p w14:paraId="5D3F2C2C">
            <w:pPr>
              <w:adjustRightInd w:val="0"/>
              <w:snapToGrid w:val="0"/>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通过</w:t>
            </w:r>
          </w:p>
          <w:p w14:paraId="0071EE19">
            <w:pPr>
              <w:adjustRightInd w:val="0"/>
              <w:snapToGrid w:val="0"/>
              <w:rPr>
                <w:rFonts w:ascii="宋体" w:hAnsi="宋体" w:cs="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838" w:type="pct"/>
            <w:tcBorders>
              <w:tl2br w:val="nil"/>
              <w:tr2bl w:val="nil"/>
            </w:tcBorders>
            <w:noWrap w:val="0"/>
            <w:vAlign w:val="center"/>
          </w:tcPr>
          <w:p w14:paraId="3CD141CA">
            <w:pPr>
              <w:adjustRightInd w:val="0"/>
              <w:snapToGrid w:val="0"/>
              <w:jc w:val="center"/>
              <w:rPr>
                <w:rFonts w:ascii="宋体" w:hAnsi="宋体" w:cs="宋体"/>
                <w:color w:val="auto"/>
                <w:szCs w:val="21"/>
                <w:highlight w:val="none"/>
              </w:rPr>
            </w:pPr>
            <w:r>
              <w:rPr>
                <w:rFonts w:hint="eastAsia" w:ascii="宋体" w:hAnsi="宋体"/>
                <w:color w:val="auto"/>
                <w:szCs w:val="21"/>
                <w:highlight w:val="none"/>
              </w:rPr>
              <w:t>第（ ）页</w:t>
            </w:r>
          </w:p>
        </w:tc>
      </w:tr>
      <w:tr w14:paraId="048ED4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382" w:hRule="atLeast"/>
          <w:jc w:val="center"/>
        </w:trPr>
        <w:tc>
          <w:tcPr>
            <w:tcW w:w="715" w:type="pct"/>
            <w:vMerge w:val="continue"/>
            <w:tcBorders>
              <w:tl2br w:val="nil"/>
              <w:tr2bl w:val="nil"/>
            </w:tcBorders>
            <w:noWrap w:val="0"/>
            <w:vAlign w:val="center"/>
          </w:tcPr>
          <w:p w14:paraId="344896B1">
            <w:pPr>
              <w:adjustRightInd w:val="0"/>
              <w:snapToGrid w:val="0"/>
              <w:rPr>
                <w:rFonts w:ascii="宋体" w:hAnsi="宋体" w:cs="宋体"/>
                <w:color w:val="auto"/>
                <w:szCs w:val="21"/>
                <w:highlight w:val="none"/>
              </w:rPr>
            </w:pPr>
          </w:p>
        </w:tc>
        <w:tc>
          <w:tcPr>
            <w:tcW w:w="2606" w:type="pct"/>
            <w:tcBorders>
              <w:tl2br w:val="nil"/>
              <w:tr2bl w:val="nil"/>
            </w:tcBorders>
            <w:noWrap w:val="0"/>
            <w:vAlign w:val="center"/>
          </w:tcPr>
          <w:p w14:paraId="585C0C0B">
            <w:pPr>
              <w:jc w:val="lef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本项目不接受联合体投标。</w:t>
            </w:r>
          </w:p>
        </w:tc>
        <w:tc>
          <w:tcPr>
            <w:tcW w:w="838" w:type="pct"/>
            <w:tcBorders>
              <w:tl2br w:val="nil"/>
              <w:tr2bl w:val="nil"/>
            </w:tcBorders>
            <w:noWrap w:val="0"/>
            <w:vAlign w:val="center"/>
          </w:tcPr>
          <w:p w14:paraId="450E1971">
            <w:pPr>
              <w:adjustRightInd w:val="0"/>
              <w:snapToGrid w:val="0"/>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通过</w:t>
            </w:r>
          </w:p>
          <w:p w14:paraId="4070B117">
            <w:pPr>
              <w:adjustRightInd w:val="0"/>
              <w:snapToGrid w:val="0"/>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838" w:type="pct"/>
            <w:tcBorders>
              <w:tl2br w:val="nil"/>
              <w:tr2bl w:val="nil"/>
            </w:tcBorders>
            <w:noWrap w:val="0"/>
            <w:vAlign w:val="center"/>
          </w:tcPr>
          <w:p w14:paraId="32192C6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14:paraId="79A975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382" w:hRule="atLeast"/>
          <w:jc w:val="center"/>
        </w:trPr>
        <w:tc>
          <w:tcPr>
            <w:tcW w:w="715" w:type="pct"/>
            <w:vMerge w:val="continue"/>
            <w:tcBorders>
              <w:tl2br w:val="nil"/>
              <w:tr2bl w:val="nil"/>
            </w:tcBorders>
            <w:noWrap w:val="0"/>
            <w:vAlign w:val="center"/>
          </w:tcPr>
          <w:p w14:paraId="2EF4FEB9">
            <w:pPr>
              <w:adjustRightInd w:val="0"/>
              <w:snapToGrid w:val="0"/>
              <w:rPr>
                <w:rFonts w:ascii="宋体" w:hAnsi="宋体" w:cs="宋体"/>
                <w:color w:val="auto"/>
                <w:szCs w:val="21"/>
                <w:highlight w:val="none"/>
              </w:rPr>
            </w:pPr>
          </w:p>
        </w:tc>
        <w:tc>
          <w:tcPr>
            <w:tcW w:w="2606" w:type="pct"/>
            <w:tcBorders>
              <w:tl2br w:val="nil"/>
              <w:tr2bl w:val="nil"/>
            </w:tcBorders>
            <w:noWrap w:val="0"/>
            <w:vAlign w:val="center"/>
          </w:tcPr>
          <w:p w14:paraId="3D7C0299">
            <w:pPr>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Cs w:val="21"/>
                <w:highlight w:val="none"/>
              </w:rPr>
              <w:t>按照投标邀请函规定的时间地点和要求登记并获取招标文件。</w:t>
            </w:r>
          </w:p>
        </w:tc>
        <w:tc>
          <w:tcPr>
            <w:tcW w:w="838" w:type="pct"/>
            <w:tcBorders>
              <w:tl2br w:val="nil"/>
              <w:tr2bl w:val="nil"/>
            </w:tcBorders>
            <w:noWrap w:val="0"/>
            <w:vAlign w:val="center"/>
          </w:tcPr>
          <w:p w14:paraId="0F0DFF26">
            <w:pPr>
              <w:adjustRightInd w:val="0"/>
              <w:snapToGrid w:val="0"/>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通过</w:t>
            </w:r>
          </w:p>
          <w:p w14:paraId="136153C7">
            <w:pPr>
              <w:adjustRightInd w:val="0"/>
              <w:snapToGrid w:val="0"/>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838" w:type="pct"/>
            <w:tcBorders>
              <w:tl2br w:val="nil"/>
              <w:tr2bl w:val="nil"/>
            </w:tcBorders>
            <w:noWrap w:val="0"/>
            <w:vAlign w:val="center"/>
          </w:tcPr>
          <w:p w14:paraId="04A35A3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14:paraId="71A29D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698" w:hRule="atLeast"/>
          <w:jc w:val="center"/>
        </w:trPr>
        <w:tc>
          <w:tcPr>
            <w:tcW w:w="715" w:type="pct"/>
            <w:vMerge w:val="restart"/>
            <w:tcBorders>
              <w:tl2br w:val="nil"/>
              <w:tr2bl w:val="nil"/>
            </w:tcBorders>
            <w:noWrap w:val="0"/>
            <w:vAlign w:val="center"/>
          </w:tcPr>
          <w:p w14:paraId="1284EE94">
            <w:pPr>
              <w:pStyle w:val="36"/>
              <w:adjustRightInd w:val="0"/>
              <w:snapToGrid w:val="0"/>
              <w:spacing w:before="0" w:beforeAutospacing="0" w:after="0" w:afterAutospacing="0"/>
              <w:jc w:val="center"/>
              <w:rPr>
                <w:color w:val="auto"/>
                <w:sz w:val="21"/>
                <w:szCs w:val="21"/>
                <w:highlight w:val="none"/>
              </w:rPr>
            </w:pPr>
            <w:r>
              <w:rPr>
                <w:rFonts w:hint="eastAsia"/>
                <w:b/>
                <w:bCs/>
                <w:color w:val="auto"/>
                <w:sz w:val="21"/>
                <w:szCs w:val="21"/>
                <w:highlight w:val="none"/>
              </w:rPr>
              <w:t>符合性审查</w:t>
            </w:r>
          </w:p>
        </w:tc>
        <w:tc>
          <w:tcPr>
            <w:tcW w:w="2606" w:type="pct"/>
            <w:tcBorders>
              <w:tl2br w:val="nil"/>
              <w:tr2bl w:val="nil"/>
            </w:tcBorders>
            <w:noWrap w:val="0"/>
            <w:vAlign w:val="center"/>
          </w:tcPr>
          <w:p w14:paraId="2DA4D36C">
            <w:pPr>
              <w:tabs>
                <w:tab w:val="left" w:pos="612"/>
              </w:tabs>
              <w:rPr>
                <w:rFonts w:ascii="宋体" w:hAnsi="宋体" w:cs="宋体"/>
                <w:color w:val="auto"/>
                <w:szCs w:val="21"/>
                <w:highlight w:val="none"/>
              </w:rPr>
            </w:pPr>
            <w:r>
              <w:rPr>
                <w:rFonts w:hint="eastAsia" w:ascii="宋体" w:hAnsi="宋体" w:cs="宋体"/>
                <w:color w:val="auto"/>
                <w:highlight w:val="none"/>
              </w:rPr>
              <w:t>按照招标文件规定要求签署、盖章且投标文件有法定代表人签字</w:t>
            </w:r>
            <w:r>
              <w:rPr>
                <w:rFonts w:hint="eastAsia" w:ascii="宋体" w:hAnsi="宋体" w:cs="宋体"/>
                <w:color w:val="auto"/>
                <w:highlight w:val="none"/>
                <w:lang w:val="en-US" w:eastAsia="zh-CN"/>
              </w:rPr>
              <w:t>或盖章</w:t>
            </w:r>
            <w:r>
              <w:rPr>
                <w:rFonts w:hint="eastAsia" w:ascii="宋体" w:hAnsi="宋体" w:cs="宋体"/>
                <w:color w:val="auto"/>
                <w:highlight w:val="none"/>
              </w:rPr>
              <w:t>，或签字人有法定代表人有效授权书的；</w:t>
            </w:r>
          </w:p>
        </w:tc>
        <w:tc>
          <w:tcPr>
            <w:tcW w:w="838" w:type="pct"/>
            <w:tcBorders>
              <w:tl2br w:val="nil"/>
              <w:tr2bl w:val="nil"/>
            </w:tcBorders>
            <w:noWrap w:val="0"/>
            <w:vAlign w:val="center"/>
          </w:tcPr>
          <w:p w14:paraId="5759692E">
            <w:pPr>
              <w:adjustRightInd w:val="0"/>
              <w:snapToGrid w:val="0"/>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09D316DA">
            <w:pPr>
              <w:adjustRightInd w:val="0"/>
              <w:snapToGrid w:val="0"/>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838" w:type="pct"/>
            <w:tcBorders>
              <w:tl2br w:val="nil"/>
              <w:tr2bl w:val="nil"/>
            </w:tcBorders>
            <w:noWrap w:val="0"/>
            <w:vAlign w:val="center"/>
          </w:tcPr>
          <w:p w14:paraId="2C21CED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14:paraId="76A03E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562" w:hRule="atLeast"/>
          <w:jc w:val="center"/>
        </w:trPr>
        <w:tc>
          <w:tcPr>
            <w:tcW w:w="715" w:type="pct"/>
            <w:vMerge w:val="continue"/>
            <w:tcBorders>
              <w:tl2br w:val="nil"/>
              <w:tr2bl w:val="nil"/>
            </w:tcBorders>
            <w:noWrap w:val="0"/>
            <w:vAlign w:val="center"/>
          </w:tcPr>
          <w:p w14:paraId="3EECEE5A">
            <w:pPr>
              <w:pStyle w:val="36"/>
              <w:adjustRightInd w:val="0"/>
              <w:snapToGrid w:val="0"/>
              <w:spacing w:before="0" w:beforeAutospacing="0" w:after="0" w:afterAutospacing="0"/>
              <w:jc w:val="center"/>
              <w:rPr>
                <w:rFonts w:hint="eastAsia"/>
                <w:b/>
                <w:bCs/>
                <w:color w:val="auto"/>
                <w:sz w:val="21"/>
                <w:szCs w:val="21"/>
                <w:highlight w:val="none"/>
              </w:rPr>
            </w:pPr>
          </w:p>
        </w:tc>
        <w:tc>
          <w:tcPr>
            <w:tcW w:w="2606" w:type="pct"/>
            <w:tcBorders>
              <w:tl2br w:val="nil"/>
              <w:tr2bl w:val="nil"/>
            </w:tcBorders>
            <w:noWrap w:val="0"/>
            <w:vAlign w:val="center"/>
          </w:tcPr>
          <w:p w14:paraId="0F98BAA6">
            <w:pPr>
              <w:jc w:val="left"/>
              <w:rPr>
                <w:rFonts w:hint="eastAsia" w:ascii="宋体" w:hAnsi="宋体" w:cs="宋体"/>
                <w:color w:val="auto"/>
                <w:highlight w:val="none"/>
              </w:rPr>
            </w:pPr>
            <w:r>
              <w:rPr>
                <w:rFonts w:hint="eastAsia" w:ascii="宋体" w:hAnsi="宋体" w:cs="宋体"/>
                <w:color w:val="auto"/>
                <w:highlight w:val="none"/>
              </w:rPr>
              <w:t>投标函已提交并符合招标文件要求的；</w:t>
            </w:r>
          </w:p>
        </w:tc>
        <w:tc>
          <w:tcPr>
            <w:tcW w:w="838" w:type="pct"/>
            <w:tcBorders>
              <w:tl2br w:val="nil"/>
              <w:tr2bl w:val="nil"/>
            </w:tcBorders>
            <w:noWrap w:val="0"/>
            <w:vAlign w:val="center"/>
          </w:tcPr>
          <w:p w14:paraId="30B3D337">
            <w:pPr>
              <w:adjustRightInd w:val="0"/>
              <w:snapToGrid w:val="0"/>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40505C5B">
            <w:pPr>
              <w:adjustRightInd w:val="0"/>
              <w:snapToGrid w:val="0"/>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838" w:type="pct"/>
            <w:tcBorders>
              <w:tl2br w:val="nil"/>
              <w:tr2bl w:val="nil"/>
            </w:tcBorders>
            <w:noWrap w:val="0"/>
            <w:vAlign w:val="center"/>
          </w:tcPr>
          <w:p w14:paraId="261D89F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14:paraId="6126CE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348" w:hRule="atLeast"/>
          <w:jc w:val="center"/>
        </w:trPr>
        <w:tc>
          <w:tcPr>
            <w:tcW w:w="715" w:type="pct"/>
            <w:vMerge w:val="continue"/>
            <w:tcBorders>
              <w:tl2br w:val="nil"/>
              <w:tr2bl w:val="nil"/>
            </w:tcBorders>
            <w:noWrap w:val="0"/>
            <w:vAlign w:val="center"/>
          </w:tcPr>
          <w:p w14:paraId="331DD111">
            <w:pPr>
              <w:pStyle w:val="36"/>
              <w:adjustRightInd w:val="0"/>
              <w:snapToGrid w:val="0"/>
              <w:spacing w:before="0" w:beforeAutospacing="0" w:after="0" w:afterAutospacing="0"/>
              <w:jc w:val="center"/>
              <w:rPr>
                <w:rFonts w:hint="eastAsia"/>
                <w:b/>
                <w:bCs/>
                <w:color w:val="auto"/>
                <w:sz w:val="21"/>
                <w:szCs w:val="21"/>
                <w:highlight w:val="none"/>
              </w:rPr>
            </w:pPr>
          </w:p>
        </w:tc>
        <w:tc>
          <w:tcPr>
            <w:tcW w:w="2606" w:type="pct"/>
            <w:tcBorders>
              <w:tl2br w:val="nil"/>
              <w:tr2bl w:val="nil"/>
            </w:tcBorders>
            <w:noWrap w:val="0"/>
            <w:vAlign w:val="center"/>
          </w:tcPr>
          <w:p w14:paraId="06E93372">
            <w:pPr>
              <w:tabs>
                <w:tab w:val="left" w:pos="612"/>
              </w:tabs>
              <w:rPr>
                <w:rFonts w:hint="eastAsia" w:ascii="宋体" w:hAnsi="宋体" w:cs="宋体"/>
                <w:color w:val="auto"/>
                <w:highlight w:val="none"/>
              </w:rPr>
            </w:pPr>
            <w:r>
              <w:rPr>
                <w:rFonts w:hint="eastAsia" w:ascii="宋体" w:hAnsi="宋体" w:cs="宋体"/>
                <w:color w:val="auto"/>
                <w:highlight w:val="none"/>
              </w:rPr>
              <w:t>投标报价未超过本项目最高限价的</w:t>
            </w:r>
            <w:r>
              <w:rPr>
                <w:rFonts w:hint="eastAsia" w:ascii="宋体" w:hAnsi="宋体" w:cs="宋体"/>
                <w:color w:val="auto"/>
                <w:highlight w:val="none"/>
                <w:lang w:eastAsia="zh-CN"/>
              </w:rPr>
              <w:t>。</w:t>
            </w:r>
            <w:r>
              <w:rPr>
                <w:rFonts w:hint="eastAsia" w:ascii="宋体" w:hAnsi="宋体"/>
                <w:bCs/>
                <w:color w:val="auto"/>
                <w:highlight w:val="none"/>
              </w:rPr>
              <w:t>评标委员会认为投标人的报价明显低于其他通过符合性审查投标人的报价，有可能影响产品质量或者不能诚信履约的，要求其在评标现场规定的时间内提供书面说明，必要时提交相关证明材料；</w:t>
            </w:r>
          </w:p>
        </w:tc>
        <w:tc>
          <w:tcPr>
            <w:tcW w:w="838" w:type="pct"/>
            <w:tcBorders>
              <w:tl2br w:val="nil"/>
              <w:tr2bl w:val="nil"/>
            </w:tcBorders>
            <w:noWrap w:val="0"/>
            <w:vAlign w:val="center"/>
          </w:tcPr>
          <w:p w14:paraId="7D0A6068">
            <w:pPr>
              <w:adjustRightInd w:val="0"/>
              <w:snapToGrid w:val="0"/>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29FEA21A">
            <w:pPr>
              <w:adjustRightInd w:val="0"/>
              <w:snapToGrid w:val="0"/>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838" w:type="pct"/>
            <w:tcBorders>
              <w:tl2br w:val="nil"/>
              <w:tr2bl w:val="nil"/>
            </w:tcBorders>
            <w:noWrap w:val="0"/>
            <w:vAlign w:val="center"/>
          </w:tcPr>
          <w:p w14:paraId="4AEB4B6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14:paraId="24B07A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646" w:hRule="atLeast"/>
          <w:jc w:val="center"/>
        </w:trPr>
        <w:tc>
          <w:tcPr>
            <w:tcW w:w="715" w:type="pct"/>
            <w:vMerge w:val="continue"/>
            <w:tcBorders>
              <w:tl2br w:val="nil"/>
              <w:tr2bl w:val="nil"/>
            </w:tcBorders>
            <w:noWrap w:val="0"/>
            <w:vAlign w:val="center"/>
          </w:tcPr>
          <w:p w14:paraId="0D103557">
            <w:pPr>
              <w:pStyle w:val="36"/>
              <w:adjustRightInd w:val="0"/>
              <w:snapToGrid w:val="0"/>
              <w:spacing w:before="0" w:beforeAutospacing="0" w:after="0" w:afterAutospacing="0"/>
              <w:jc w:val="center"/>
              <w:rPr>
                <w:rFonts w:hint="eastAsia"/>
                <w:color w:val="auto"/>
                <w:sz w:val="21"/>
                <w:szCs w:val="21"/>
                <w:highlight w:val="none"/>
              </w:rPr>
            </w:pPr>
          </w:p>
        </w:tc>
        <w:tc>
          <w:tcPr>
            <w:tcW w:w="2606" w:type="pct"/>
            <w:tcBorders>
              <w:tl2br w:val="nil"/>
              <w:tr2bl w:val="nil"/>
            </w:tcBorders>
            <w:noWrap w:val="0"/>
            <w:vAlign w:val="center"/>
          </w:tcPr>
          <w:p w14:paraId="658A3A03">
            <w:pPr>
              <w:adjustRightInd w:val="0"/>
              <w:snapToGrid w:val="0"/>
              <w:rPr>
                <w:rFonts w:hint="eastAsia" w:ascii="宋体" w:hAnsi="宋体" w:cs="宋体"/>
                <w:color w:val="auto"/>
                <w:szCs w:val="21"/>
                <w:highlight w:val="none"/>
              </w:rPr>
            </w:pPr>
            <w:r>
              <w:rPr>
                <w:rFonts w:hint="eastAsia" w:ascii="宋体" w:hAnsi="宋体" w:cs="宋体"/>
                <w:color w:val="auto"/>
              </w:rPr>
              <w:t>投标文件完全满足招标文件的实质性条款【即标注★号条款（如有）及商务要求】无负偏离的</w:t>
            </w:r>
            <w:r>
              <w:rPr>
                <w:rFonts w:hint="eastAsia" w:ascii="宋体" w:hAnsi="宋体" w:cs="Courier New"/>
                <w:color w:val="auto"/>
                <w:szCs w:val="21"/>
                <w:highlight w:val="none"/>
              </w:rPr>
              <w:t>；</w:t>
            </w:r>
          </w:p>
        </w:tc>
        <w:tc>
          <w:tcPr>
            <w:tcW w:w="838" w:type="pct"/>
            <w:tcBorders>
              <w:tl2br w:val="nil"/>
              <w:tr2bl w:val="nil"/>
            </w:tcBorders>
            <w:noWrap w:val="0"/>
            <w:vAlign w:val="center"/>
          </w:tcPr>
          <w:p w14:paraId="3242FE1A">
            <w:pPr>
              <w:adjustRightInd w:val="0"/>
              <w:snapToGrid w:val="0"/>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09BB04D6">
            <w:pPr>
              <w:adjustRightInd w:val="0"/>
              <w:snapToGrid w:val="0"/>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838" w:type="pct"/>
            <w:tcBorders>
              <w:tl2br w:val="nil"/>
              <w:tr2bl w:val="nil"/>
            </w:tcBorders>
            <w:noWrap w:val="0"/>
            <w:vAlign w:val="center"/>
          </w:tcPr>
          <w:p w14:paraId="65CAB22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14:paraId="125464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673" w:hRule="atLeast"/>
          <w:jc w:val="center"/>
        </w:trPr>
        <w:tc>
          <w:tcPr>
            <w:tcW w:w="715" w:type="pct"/>
            <w:vMerge w:val="continue"/>
            <w:tcBorders>
              <w:tl2br w:val="nil"/>
              <w:tr2bl w:val="nil"/>
            </w:tcBorders>
            <w:noWrap w:val="0"/>
            <w:vAlign w:val="center"/>
          </w:tcPr>
          <w:p w14:paraId="0D3DE817">
            <w:pPr>
              <w:pStyle w:val="36"/>
              <w:adjustRightInd w:val="0"/>
              <w:snapToGrid w:val="0"/>
              <w:spacing w:before="0" w:beforeAutospacing="0" w:after="0" w:afterAutospacing="0"/>
              <w:jc w:val="center"/>
              <w:rPr>
                <w:rFonts w:hint="eastAsia"/>
                <w:color w:val="auto"/>
                <w:sz w:val="21"/>
                <w:szCs w:val="21"/>
                <w:highlight w:val="none"/>
              </w:rPr>
            </w:pPr>
          </w:p>
        </w:tc>
        <w:tc>
          <w:tcPr>
            <w:tcW w:w="2606" w:type="pct"/>
            <w:tcBorders>
              <w:tl2br w:val="nil"/>
              <w:tr2bl w:val="nil"/>
            </w:tcBorders>
            <w:noWrap w:val="0"/>
            <w:vAlign w:val="center"/>
          </w:tcPr>
          <w:p w14:paraId="045419FC">
            <w:pPr>
              <w:rPr>
                <w:rFonts w:hint="eastAsia" w:ascii="宋体" w:hAnsi="宋体"/>
                <w:color w:val="auto"/>
                <w:szCs w:val="21"/>
                <w:highlight w:val="none"/>
              </w:rPr>
            </w:pPr>
            <w:r>
              <w:rPr>
                <w:rFonts w:hint="eastAsia" w:ascii="宋体" w:hAnsi="宋体" w:cs="宋体"/>
                <w:color w:val="auto"/>
                <w:highlight w:val="none"/>
              </w:rPr>
              <w:t>投标文件未含有</w:t>
            </w:r>
            <w:r>
              <w:rPr>
                <w:rFonts w:hint="eastAsia" w:ascii="宋体" w:hAnsi="宋体" w:cs="宋体"/>
                <w:color w:val="auto"/>
                <w:highlight w:val="none"/>
                <w:lang w:eastAsia="zh-CN"/>
              </w:rPr>
              <w:t>招标人</w:t>
            </w:r>
            <w:r>
              <w:rPr>
                <w:rFonts w:hint="eastAsia" w:ascii="宋体" w:hAnsi="宋体" w:cs="宋体"/>
                <w:color w:val="auto"/>
                <w:highlight w:val="none"/>
              </w:rPr>
              <w:t>不能接受的附加条件的；</w:t>
            </w:r>
          </w:p>
        </w:tc>
        <w:tc>
          <w:tcPr>
            <w:tcW w:w="838" w:type="pct"/>
            <w:tcBorders>
              <w:tl2br w:val="nil"/>
              <w:tr2bl w:val="nil"/>
            </w:tcBorders>
            <w:noWrap w:val="0"/>
            <w:vAlign w:val="center"/>
          </w:tcPr>
          <w:p w14:paraId="7C84FA5F">
            <w:pPr>
              <w:adjustRightInd w:val="0"/>
              <w:snapToGrid w:val="0"/>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230D18A9">
            <w:pPr>
              <w:adjustRightInd w:val="0"/>
              <w:snapToGrid w:val="0"/>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838" w:type="pct"/>
            <w:tcBorders>
              <w:tl2br w:val="nil"/>
              <w:tr2bl w:val="nil"/>
            </w:tcBorders>
            <w:noWrap w:val="0"/>
            <w:vAlign w:val="center"/>
          </w:tcPr>
          <w:p w14:paraId="576C857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14:paraId="6AF187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673" w:hRule="atLeast"/>
          <w:jc w:val="center"/>
        </w:trPr>
        <w:tc>
          <w:tcPr>
            <w:tcW w:w="715" w:type="pct"/>
            <w:vMerge w:val="continue"/>
            <w:tcBorders>
              <w:tl2br w:val="nil"/>
              <w:tr2bl w:val="nil"/>
            </w:tcBorders>
            <w:noWrap w:val="0"/>
            <w:vAlign w:val="center"/>
          </w:tcPr>
          <w:p w14:paraId="4882A70A">
            <w:pPr>
              <w:pStyle w:val="36"/>
              <w:adjustRightInd w:val="0"/>
              <w:snapToGrid w:val="0"/>
              <w:spacing w:before="0" w:beforeAutospacing="0" w:after="0" w:afterAutospacing="0"/>
              <w:jc w:val="center"/>
              <w:rPr>
                <w:rFonts w:hint="eastAsia"/>
                <w:color w:val="auto"/>
                <w:sz w:val="21"/>
                <w:szCs w:val="21"/>
                <w:highlight w:val="none"/>
              </w:rPr>
            </w:pPr>
          </w:p>
        </w:tc>
        <w:tc>
          <w:tcPr>
            <w:tcW w:w="2606" w:type="pct"/>
            <w:tcBorders>
              <w:tl2br w:val="nil"/>
              <w:tr2bl w:val="nil"/>
            </w:tcBorders>
            <w:noWrap w:val="0"/>
            <w:vAlign w:val="center"/>
          </w:tcPr>
          <w:p w14:paraId="1CFCDCE9">
            <w:pPr>
              <w:rPr>
                <w:rFonts w:hint="eastAsia" w:ascii="宋体" w:hAnsi="宋体" w:cs="宋体"/>
                <w:color w:val="auto"/>
                <w:highlight w:val="none"/>
              </w:rPr>
            </w:pPr>
            <w:r>
              <w:rPr>
                <w:rFonts w:hint="eastAsia" w:ascii="宋体" w:hAnsi="宋体" w:cs="宋体"/>
                <w:color w:val="auto"/>
                <w:highlight w:val="none"/>
              </w:rPr>
              <w:t>投标文件没有招标文件中规定的被视为无效投标的其它条款的；</w:t>
            </w:r>
          </w:p>
        </w:tc>
        <w:tc>
          <w:tcPr>
            <w:tcW w:w="838" w:type="pct"/>
            <w:tcBorders>
              <w:tl2br w:val="nil"/>
              <w:tr2bl w:val="nil"/>
            </w:tcBorders>
            <w:noWrap w:val="0"/>
            <w:vAlign w:val="center"/>
          </w:tcPr>
          <w:p w14:paraId="0DAC348A">
            <w:pPr>
              <w:adjustRightInd w:val="0"/>
              <w:snapToGrid w:val="0"/>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37366618">
            <w:pPr>
              <w:adjustRightInd w:val="0"/>
              <w:snapToGrid w:val="0"/>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838" w:type="pct"/>
            <w:tcBorders>
              <w:tl2br w:val="nil"/>
              <w:tr2bl w:val="nil"/>
            </w:tcBorders>
            <w:noWrap w:val="0"/>
            <w:vAlign w:val="center"/>
          </w:tcPr>
          <w:p w14:paraId="0D67A1B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14:paraId="377BC0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382" w:hRule="atLeast"/>
          <w:jc w:val="center"/>
        </w:trPr>
        <w:tc>
          <w:tcPr>
            <w:tcW w:w="715" w:type="pct"/>
            <w:vMerge w:val="continue"/>
            <w:tcBorders>
              <w:tl2br w:val="nil"/>
              <w:tr2bl w:val="nil"/>
            </w:tcBorders>
            <w:noWrap w:val="0"/>
            <w:vAlign w:val="center"/>
          </w:tcPr>
          <w:p w14:paraId="16B99070">
            <w:pPr>
              <w:adjustRightInd w:val="0"/>
              <w:snapToGrid w:val="0"/>
              <w:rPr>
                <w:rFonts w:ascii="宋体" w:hAnsi="宋体" w:cs="宋体"/>
                <w:color w:val="auto"/>
                <w:szCs w:val="21"/>
                <w:highlight w:val="none"/>
              </w:rPr>
            </w:pPr>
          </w:p>
        </w:tc>
        <w:tc>
          <w:tcPr>
            <w:tcW w:w="2606" w:type="pct"/>
            <w:tcBorders>
              <w:tl2br w:val="nil"/>
              <w:tr2bl w:val="nil"/>
            </w:tcBorders>
            <w:noWrap w:val="0"/>
            <w:vAlign w:val="center"/>
          </w:tcPr>
          <w:p w14:paraId="738022C0">
            <w:pPr>
              <w:rPr>
                <w:rFonts w:ascii="宋体" w:hAnsi="宋体" w:cs="宋体"/>
                <w:color w:val="auto"/>
                <w:szCs w:val="21"/>
                <w:highlight w:val="none"/>
              </w:rPr>
            </w:pPr>
            <w:r>
              <w:rPr>
                <w:rFonts w:hint="eastAsia" w:ascii="宋体" w:hAnsi="宋体" w:cs="宋体"/>
                <w:color w:val="auto"/>
                <w:highlight w:val="none"/>
              </w:rPr>
              <w:t>没有违反有关法律、法规、规章要求，被视为投标无效的其他情况。</w:t>
            </w:r>
          </w:p>
        </w:tc>
        <w:tc>
          <w:tcPr>
            <w:tcW w:w="838" w:type="pct"/>
            <w:tcBorders>
              <w:tl2br w:val="nil"/>
              <w:tr2bl w:val="nil"/>
            </w:tcBorders>
            <w:noWrap w:val="0"/>
            <w:vAlign w:val="center"/>
          </w:tcPr>
          <w:p w14:paraId="24E45F8C">
            <w:pPr>
              <w:adjustRightInd w:val="0"/>
              <w:snapToGrid w:val="0"/>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1B06A389">
            <w:pPr>
              <w:adjustRightInd w:val="0"/>
              <w:snapToGrid w:val="0"/>
              <w:rPr>
                <w:rFonts w:ascii="宋体" w:hAnsi="宋体" w:cs="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838" w:type="pct"/>
            <w:tcBorders>
              <w:tl2br w:val="nil"/>
              <w:tr2bl w:val="nil"/>
            </w:tcBorders>
            <w:noWrap w:val="0"/>
            <w:vAlign w:val="center"/>
          </w:tcPr>
          <w:p w14:paraId="738CC483">
            <w:pPr>
              <w:adjustRightInd w:val="0"/>
              <w:snapToGrid w:val="0"/>
              <w:jc w:val="center"/>
              <w:rPr>
                <w:rFonts w:ascii="宋体" w:hAnsi="宋体" w:cs="宋体"/>
                <w:color w:val="auto"/>
                <w:szCs w:val="21"/>
                <w:highlight w:val="none"/>
              </w:rPr>
            </w:pPr>
            <w:r>
              <w:rPr>
                <w:rFonts w:hint="eastAsia" w:ascii="宋体" w:hAnsi="宋体"/>
                <w:color w:val="auto"/>
                <w:szCs w:val="21"/>
                <w:highlight w:val="none"/>
              </w:rPr>
              <w:t>第（ ）页</w:t>
            </w:r>
          </w:p>
        </w:tc>
      </w:tr>
    </w:tbl>
    <w:p w14:paraId="0EDD1DAA">
      <w:pPr>
        <w:ind w:firstLine="422" w:firstLineChars="200"/>
        <w:rPr>
          <w:rFonts w:ascii="宋体" w:hAnsi="宋体"/>
          <w:b/>
          <w:color w:val="auto"/>
          <w:szCs w:val="21"/>
          <w:highlight w:val="none"/>
        </w:rPr>
      </w:pPr>
      <w:r>
        <w:rPr>
          <w:rFonts w:hint="eastAsia" w:ascii="宋体" w:hAnsi="宋体"/>
          <w:b/>
          <w:color w:val="auto"/>
          <w:szCs w:val="21"/>
        </w:rPr>
        <w:t>备注：以上材料将作为</w:t>
      </w:r>
      <w:r>
        <w:rPr>
          <w:rFonts w:hint="eastAsia" w:ascii="宋体" w:hAnsi="宋体"/>
          <w:b/>
          <w:color w:val="auto"/>
          <w:szCs w:val="21"/>
          <w:lang w:eastAsia="zh-CN"/>
        </w:rPr>
        <w:t>投标人</w:t>
      </w:r>
      <w:r>
        <w:rPr>
          <w:rFonts w:hint="eastAsia" w:ascii="宋体" w:hAnsi="宋体"/>
          <w:b/>
          <w:color w:val="auto"/>
          <w:szCs w:val="21"/>
          <w:highlight w:val="none"/>
        </w:rPr>
        <w:t>有效性审查的重要内容之一，</w:t>
      </w:r>
      <w:r>
        <w:rPr>
          <w:rFonts w:hint="eastAsia" w:ascii="宋体" w:hAnsi="宋体"/>
          <w:b/>
          <w:color w:val="auto"/>
          <w:szCs w:val="21"/>
          <w:highlight w:val="none"/>
          <w:lang w:eastAsia="zh-CN"/>
        </w:rPr>
        <w:t>投标人</w:t>
      </w:r>
      <w:r>
        <w:rPr>
          <w:rFonts w:hint="eastAsia" w:ascii="宋体" w:hAnsi="宋体"/>
          <w:b/>
          <w:color w:val="auto"/>
          <w:szCs w:val="21"/>
          <w:highlight w:val="none"/>
        </w:rPr>
        <w:t xml:space="preserve">必须严格按照其内容及序列要求在投标文件中对应如实提供并应加盖投标人公章，对资格性和符合性证明文件的任何缺漏和不符合项将会直接导致投标无效！ </w:t>
      </w:r>
    </w:p>
    <w:p w14:paraId="05E02A87">
      <w:pPr>
        <w:spacing w:line="440" w:lineRule="exact"/>
        <w:rPr>
          <w:rFonts w:ascii="黑体" w:eastAsia="黑体"/>
          <w:bCs/>
          <w:color w:val="auto"/>
          <w:sz w:val="28"/>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46B8B9F">
      <w:pPr>
        <w:numPr>
          <w:ilvl w:val="0"/>
          <w:numId w:val="55"/>
        </w:numPr>
        <w:adjustRightInd w:val="0"/>
        <w:snapToGrid w:val="0"/>
        <w:rPr>
          <w:rFonts w:hint="eastAsia" w:ascii="黑体" w:hAnsi="黑体" w:eastAsia="黑体" w:cs="黑体"/>
          <w:b/>
          <w:color w:val="auto"/>
          <w:sz w:val="24"/>
        </w:rPr>
      </w:pPr>
      <w:r>
        <w:rPr>
          <w:rFonts w:hint="eastAsia" w:ascii="黑体" w:hAnsi="黑体" w:eastAsia="黑体" w:cs="黑体"/>
          <w:b/>
          <w:color w:val="auto"/>
          <w:sz w:val="24"/>
        </w:rPr>
        <w:t xml:space="preserve"> 技术评审自查表</w:t>
      </w:r>
    </w:p>
    <w:p w14:paraId="10E2B6CE">
      <w:pPr>
        <w:widowControl/>
        <w:wordWrap w:val="0"/>
        <w:jc w:val="left"/>
        <w:rPr>
          <w:rFonts w:hint="eastAsia" w:ascii="黑体" w:hAnsi="黑体" w:eastAsia="黑体" w:cs="黑体"/>
          <w:b/>
          <w:color w:val="auto"/>
          <w:sz w:val="24"/>
        </w:rPr>
      </w:pPr>
      <w:r>
        <w:rPr>
          <w:rFonts w:hint="eastAsia" w:ascii="宋体" w:hAnsi="宋体"/>
          <w:color w:val="auto"/>
        </w:rPr>
        <w:t>投标人名称：                                           项目编号：</w:t>
      </w:r>
      <w:r>
        <w:rPr>
          <w:rFonts w:hint="eastAsia" w:ascii="宋体" w:hAnsi="宋体"/>
          <w:color w:val="auto"/>
          <w:lang w:eastAsia="zh-CN"/>
        </w:rPr>
        <w:t xml:space="preserve">JG2025(SS)XZ0008 </w:t>
      </w:r>
      <w:r>
        <w:rPr>
          <w:rFonts w:ascii="ˎ̥" w:hAnsi="ˎ̥" w:cs="宋体"/>
          <w:color w:val="auto"/>
          <w:kern w:val="0"/>
          <w:sz w:val="18"/>
          <w:szCs w:val="18"/>
        </w:rPr>
        <w:t> </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989"/>
        <w:gridCol w:w="4371"/>
        <w:gridCol w:w="2182"/>
      </w:tblGrid>
      <w:tr w14:paraId="4D2B0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noWrap w:val="0"/>
            <w:vAlign w:val="center"/>
          </w:tcPr>
          <w:p w14:paraId="3DA0E0BB">
            <w:pPr>
              <w:adjustRightInd w:val="0"/>
              <w:snapToGrid w:val="0"/>
              <w:jc w:val="center"/>
              <w:rPr>
                <w:rFonts w:ascii="宋体" w:hAnsi="宋体"/>
                <w:b/>
                <w:color w:val="auto"/>
                <w:szCs w:val="21"/>
              </w:rPr>
            </w:pPr>
            <w:r>
              <w:rPr>
                <w:rFonts w:hint="eastAsia" w:ascii="宋体" w:hAnsi="宋体"/>
                <w:b/>
                <w:color w:val="auto"/>
                <w:szCs w:val="21"/>
              </w:rPr>
              <w:t>序号</w:t>
            </w:r>
          </w:p>
        </w:tc>
        <w:tc>
          <w:tcPr>
            <w:tcW w:w="1989" w:type="dxa"/>
            <w:noWrap w:val="0"/>
            <w:vAlign w:val="center"/>
          </w:tcPr>
          <w:p w14:paraId="5DF96AEE">
            <w:pPr>
              <w:adjustRightInd w:val="0"/>
              <w:snapToGrid w:val="0"/>
              <w:jc w:val="center"/>
              <w:rPr>
                <w:rFonts w:ascii="宋体" w:hAnsi="宋体"/>
                <w:b/>
                <w:color w:val="auto"/>
                <w:szCs w:val="21"/>
              </w:rPr>
            </w:pPr>
            <w:r>
              <w:rPr>
                <w:rFonts w:hint="eastAsia" w:ascii="宋体" w:hAnsi="宋体"/>
                <w:b/>
                <w:color w:val="auto"/>
                <w:szCs w:val="21"/>
              </w:rPr>
              <w:t>评审分项</w:t>
            </w:r>
          </w:p>
        </w:tc>
        <w:tc>
          <w:tcPr>
            <w:tcW w:w="4371" w:type="dxa"/>
            <w:noWrap w:val="0"/>
            <w:vAlign w:val="center"/>
          </w:tcPr>
          <w:p w14:paraId="4345E029">
            <w:pPr>
              <w:adjustRightInd w:val="0"/>
              <w:snapToGrid w:val="0"/>
              <w:jc w:val="center"/>
              <w:rPr>
                <w:rFonts w:ascii="宋体" w:hAnsi="宋体"/>
                <w:b/>
                <w:color w:val="auto"/>
                <w:szCs w:val="21"/>
              </w:rPr>
            </w:pPr>
            <w:r>
              <w:rPr>
                <w:rFonts w:hint="eastAsia" w:ascii="宋体" w:hAnsi="宋体"/>
                <w:b/>
                <w:color w:val="auto"/>
                <w:szCs w:val="21"/>
              </w:rPr>
              <w:t>内容</w:t>
            </w:r>
          </w:p>
        </w:tc>
        <w:tc>
          <w:tcPr>
            <w:tcW w:w="2182" w:type="dxa"/>
            <w:noWrap w:val="0"/>
            <w:vAlign w:val="center"/>
          </w:tcPr>
          <w:p w14:paraId="00C7C561">
            <w:pPr>
              <w:adjustRightInd w:val="0"/>
              <w:snapToGrid w:val="0"/>
              <w:jc w:val="center"/>
              <w:rPr>
                <w:rFonts w:ascii="宋体" w:hAnsi="宋体"/>
                <w:b/>
                <w:color w:val="auto"/>
                <w:szCs w:val="21"/>
              </w:rPr>
            </w:pPr>
            <w:r>
              <w:rPr>
                <w:rFonts w:hint="eastAsia" w:ascii="宋体" w:hAnsi="宋体"/>
                <w:b/>
                <w:color w:val="auto"/>
                <w:szCs w:val="21"/>
              </w:rPr>
              <w:t>证明文件</w:t>
            </w:r>
          </w:p>
        </w:tc>
      </w:tr>
      <w:tr w14:paraId="6434F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6" w:type="dxa"/>
            <w:noWrap w:val="0"/>
            <w:vAlign w:val="center"/>
          </w:tcPr>
          <w:p w14:paraId="171235A7">
            <w:pPr>
              <w:numPr>
                <w:ilvl w:val="0"/>
                <w:numId w:val="56"/>
              </w:numPr>
              <w:adjustRightInd w:val="0"/>
              <w:snapToGrid w:val="0"/>
              <w:rPr>
                <w:rFonts w:ascii="宋体" w:hAnsi="宋体"/>
                <w:color w:val="auto"/>
                <w:szCs w:val="21"/>
              </w:rPr>
            </w:pPr>
          </w:p>
        </w:tc>
        <w:tc>
          <w:tcPr>
            <w:tcW w:w="1989" w:type="dxa"/>
            <w:noWrap w:val="0"/>
            <w:vAlign w:val="center"/>
          </w:tcPr>
          <w:p w14:paraId="09741AFB">
            <w:pPr>
              <w:snapToGrid w:val="0"/>
              <w:jc w:val="center"/>
              <w:rPr>
                <w:rFonts w:ascii="宋体" w:hAnsi="宋体" w:cs="Arial"/>
                <w:color w:val="auto"/>
                <w:szCs w:val="21"/>
              </w:rPr>
            </w:pPr>
          </w:p>
        </w:tc>
        <w:tc>
          <w:tcPr>
            <w:tcW w:w="4371" w:type="dxa"/>
            <w:noWrap w:val="0"/>
            <w:vAlign w:val="center"/>
          </w:tcPr>
          <w:p w14:paraId="12B6EA29">
            <w:pPr>
              <w:adjustRightInd w:val="0"/>
              <w:snapToGrid w:val="0"/>
              <w:jc w:val="left"/>
              <w:rPr>
                <w:rFonts w:ascii="宋体" w:hAnsi="宋体" w:cs="Arial"/>
                <w:color w:val="auto"/>
                <w:szCs w:val="21"/>
              </w:rPr>
            </w:pPr>
          </w:p>
        </w:tc>
        <w:tc>
          <w:tcPr>
            <w:tcW w:w="2182" w:type="dxa"/>
            <w:noWrap w:val="0"/>
            <w:vAlign w:val="center"/>
          </w:tcPr>
          <w:p w14:paraId="4C345B32">
            <w:pPr>
              <w:adjustRightInd w:val="0"/>
              <w:snapToGrid w:val="0"/>
              <w:jc w:val="center"/>
              <w:rPr>
                <w:rFonts w:ascii="宋体" w:hAnsi="宋体"/>
                <w:color w:val="auto"/>
                <w:szCs w:val="21"/>
              </w:rPr>
            </w:pPr>
            <w:r>
              <w:rPr>
                <w:rFonts w:hint="eastAsia" w:ascii="宋体" w:hAnsi="宋体"/>
                <w:color w:val="auto"/>
                <w:szCs w:val="21"/>
              </w:rPr>
              <w:t>第（ ）页</w:t>
            </w:r>
          </w:p>
        </w:tc>
      </w:tr>
      <w:tr w14:paraId="56D73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noWrap w:val="0"/>
            <w:vAlign w:val="center"/>
          </w:tcPr>
          <w:p w14:paraId="255B2D7D">
            <w:pPr>
              <w:numPr>
                <w:ilvl w:val="0"/>
                <w:numId w:val="56"/>
              </w:numPr>
              <w:adjustRightInd w:val="0"/>
              <w:snapToGrid w:val="0"/>
              <w:rPr>
                <w:rFonts w:ascii="宋体" w:hAnsi="宋体"/>
                <w:color w:val="auto"/>
                <w:szCs w:val="21"/>
              </w:rPr>
            </w:pPr>
          </w:p>
        </w:tc>
        <w:tc>
          <w:tcPr>
            <w:tcW w:w="1989" w:type="dxa"/>
            <w:noWrap w:val="0"/>
            <w:vAlign w:val="center"/>
          </w:tcPr>
          <w:p w14:paraId="4FF149B2">
            <w:pPr>
              <w:snapToGrid w:val="0"/>
              <w:jc w:val="center"/>
              <w:rPr>
                <w:rFonts w:ascii="宋体" w:hAnsi="宋体"/>
                <w:color w:val="auto"/>
                <w:szCs w:val="21"/>
              </w:rPr>
            </w:pPr>
          </w:p>
        </w:tc>
        <w:tc>
          <w:tcPr>
            <w:tcW w:w="4371" w:type="dxa"/>
            <w:noWrap w:val="0"/>
            <w:vAlign w:val="center"/>
          </w:tcPr>
          <w:p w14:paraId="21A8B1EA">
            <w:pPr>
              <w:adjustRightInd w:val="0"/>
              <w:snapToGrid w:val="0"/>
              <w:jc w:val="left"/>
              <w:rPr>
                <w:rFonts w:ascii="宋体" w:hAnsi="宋体"/>
                <w:color w:val="auto"/>
                <w:szCs w:val="21"/>
              </w:rPr>
            </w:pPr>
          </w:p>
        </w:tc>
        <w:tc>
          <w:tcPr>
            <w:tcW w:w="2182" w:type="dxa"/>
            <w:noWrap w:val="0"/>
            <w:vAlign w:val="center"/>
          </w:tcPr>
          <w:p w14:paraId="3E12160A">
            <w:pPr>
              <w:adjustRightInd w:val="0"/>
              <w:snapToGrid w:val="0"/>
              <w:jc w:val="center"/>
              <w:rPr>
                <w:rFonts w:ascii="宋体" w:hAnsi="宋体"/>
                <w:color w:val="auto"/>
                <w:szCs w:val="21"/>
              </w:rPr>
            </w:pPr>
            <w:r>
              <w:rPr>
                <w:rFonts w:hint="eastAsia" w:ascii="宋体" w:hAnsi="宋体"/>
                <w:color w:val="auto"/>
                <w:szCs w:val="21"/>
              </w:rPr>
              <w:t>第（ ）页</w:t>
            </w:r>
          </w:p>
        </w:tc>
      </w:tr>
      <w:tr w14:paraId="5B806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noWrap w:val="0"/>
            <w:vAlign w:val="center"/>
          </w:tcPr>
          <w:p w14:paraId="3B75949D">
            <w:pPr>
              <w:numPr>
                <w:ilvl w:val="0"/>
                <w:numId w:val="56"/>
              </w:numPr>
              <w:adjustRightInd w:val="0"/>
              <w:snapToGrid w:val="0"/>
              <w:rPr>
                <w:rFonts w:ascii="宋体" w:hAnsi="宋体"/>
                <w:color w:val="auto"/>
                <w:szCs w:val="21"/>
              </w:rPr>
            </w:pPr>
          </w:p>
        </w:tc>
        <w:tc>
          <w:tcPr>
            <w:tcW w:w="1989" w:type="dxa"/>
            <w:noWrap w:val="0"/>
            <w:vAlign w:val="center"/>
          </w:tcPr>
          <w:p w14:paraId="78014C54">
            <w:pPr>
              <w:adjustRightInd w:val="0"/>
              <w:snapToGrid w:val="0"/>
              <w:jc w:val="center"/>
              <w:rPr>
                <w:rFonts w:ascii="宋体" w:hAnsi="宋体"/>
                <w:color w:val="auto"/>
                <w:szCs w:val="21"/>
              </w:rPr>
            </w:pPr>
          </w:p>
        </w:tc>
        <w:tc>
          <w:tcPr>
            <w:tcW w:w="4371" w:type="dxa"/>
            <w:noWrap w:val="0"/>
            <w:vAlign w:val="center"/>
          </w:tcPr>
          <w:p w14:paraId="5D92D0EA">
            <w:pPr>
              <w:adjustRightInd w:val="0"/>
              <w:snapToGrid w:val="0"/>
              <w:jc w:val="left"/>
              <w:rPr>
                <w:rFonts w:ascii="宋体" w:hAnsi="宋体"/>
                <w:color w:val="auto"/>
                <w:szCs w:val="21"/>
              </w:rPr>
            </w:pPr>
          </w:p>
        </w:tc>
        <w:tc>
          <w:tcPr>
            <w:tcW w:w="2182" w:type="dxa"/>
            <w:noWrap w:val="0"/>
            <w:vAlign w:val="center"/>
          </w:tcPr>
          <w:p w14:paraId="3DAB9C48">
            <w:pPr>
              <w:adjustRightInd w:val="0"/>
              <w:snapToGrid w:val="0"/>
              <w:jc w:val="center"/>
              <w:rPr>
                <w:rFonts w:ascii="宋体" w:hAnsi="宋体"/>
                <w:color w:val="auto"/>
                <w:szCs w:val="21"/>
              </w:rPr>
            </w:pPr>
            <w:r>
              <w:rPr>
                <w:rFonts w:hint="eastAsia" w:ascii="宋体" w:hAnsi="宋体"/>
                <w:color w:val="auto"/>
                <w:szCs w:val="21"/>
              </w:rPr>
              <w:t>第（ ）页</w:t>
            </w:r>
          </w:p>
        </w:tc>
      </w:tr>
    </w:tbl>
    <w:p w14:paraId="5B9E6924">
      <w:pPr>
        <w:adjustRightInd w:val="0"/>
        <w:snapToGrid w:val="0"/>
        <w:spacing w:line="360" w:lineRule="auto"/>
        <w:rPr>
          <w:rFonts w:hint="eastAsia" w:ascii="宋体" w:hAnsi="宋体"/>
          <w:color w:val="auto"/>
          <w:szCs w:val="21"/>
        </w:rPr>
      </w:pPr>
      <w:r>
        <w:rPr>
          <w:rFonts w:hint="eastAsia" w:ascii="宋体" w:hAnsi="宋体"/>
          <w:color w:val="auto"/>
          <w:szCs w:val="21"/>
        </w:rPr>
        <w:t>备注：根据《技术部分评分表》的填写。</w:t>
      </w:r>
    </w:p>
    <w:p w14:paraId="41265A86">
      <w:pPr>
        <w:adjustRightInd w:val="0"/>
        <w:snapToGrid w:val="0"/>
        <w:spacing w:line="360" w:lineRule="auto"/>
        <w:rPr>
          <w:rFonts w:hint="eastAsia" w:ascii="宋体" w:hAnsi="宋体"/>
          <w:color w:val="auto"/>
          <w:szCs w:val="21"/>
        </w:rPr>
      </w:pPr>
    </w:p>
    <w:p w14:paraId="25977B2B">
      <w:pPr>
        <w:numPr>
          <w:ilvl w:val="0"/>
          <w:numId w:val="55"/>
        </w:numPr>
        <w:adjustRightInd w:val="0"/>
        <w:snapToGrid w:val="0"/>
        <w:rPr>
          <w:rFonts w:hint="eastAsia" w:ascii="黑体" w:hAnsi="黑体" w:eastAsia="黑体" w:cs="黑体"/>
          <w:b/>
          <w:color w:val="auto"/>
          <w:szCs w:val="21"/>
        </w:rPr>
      </w:pPr>
      <w:r>
        <w:rPr>
          <w:rFonts w:hint="eastAsia" w:ascii="黑体" w:hAnsi="黑体" w:eastAsia="黑体" w:cs="黑体"/>
          <w:b/>
          <w:color w:val="auto"/>
          <w:sz w:val="24"/>
        </w:rPr>
        <w:t>商务评审自查表</w:t>
      </w:r>
    </w:p>
    <w:p w14:paraId="21E0BD03">
      <w:pPr>
        <w:widowControl/>
        <w:wordWrap w:val="0"/>
        <w:jc w:val="left"/>
        <w:rPr>
          <w:rFonts w:hint="eastAsia" w:ascii="黑体" w:hAnsi="黑体" w:eastAsia="黑体" w:cs="黑体"/>
          <w:b/>
          <w:color w:val="auto"/>
          <w:szCs w:val="21"/>
        </w:rPr>
      </w:pPr>
      <w:r>
        <w:rPr>
          <w:rFonts w:hint="eastAsia" w:ascii="宋体" w:hAnsi="宋体"/>
          <w:color w:val="auto"/>
        </w:rPr>
        <w:t>投标人名称：                                           项目编号：</w:t>
      </w:r>
      <w:r>
        <w:rPr>
          <w:rFonts w:hint="eastAsia" w:ascii="宋体" w:hAnsi="宋体"/>
          <w:color w:val="auto"/>
          <w:lang w:eastAsia="zh-CN"/>
        </w:rPr>
        <w:t xml:space="preserve">JG2025(SS)XZ0008 </w:t>
      </w:r>
      <w:r>
        <w:rPr>
          <w:rFonts w:ascii="ˎ̥" w:hAnsi="ˎ̥" w:cs="宋体"/>
          <w:color w:val="auto"/>
          <w:kern w:val="0"/>
          <w:sz w:val="18"/>
          <w:szCs w:val="18"/>
        </w:rPr>
        <w:t> </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989"/>
        <w:gridCol w:w="4371"/>
        <w:gridCol w:w="2182"/>
      </w:tblGrid>
      <w:tr w14:paraId="5EDA6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noWrap w:val="0"/>
            <w:vAlign w:val="center"/>
          </w:tcPr>
          <w:p w14:paraId="2E4DA2CB">
            <w:pPr>
              <w:adjustRightInd w:val="0"/>
              <w:snapToGrid w:val="0"/>
              <w:jc w:val="center"/>
              <w:rPr>
                <w:rFonts w:ascii="宋体" w:hAnsi="宋体"/>
                <w:b/>
                <w:color w:val="auto"/>
                <w:szCs w:val="21"/>
              </w:rPr>
            </w:pPr>
            <w:r>
              <w:rPr>
                <w:rFonts w:hint="eastAsia" w:ascii="宋体" w:hAnsi="宋体"/>
                <w:b/>
                <w:color w:val="auto"/>
                <w:szCs w:val="21"/>
              </w:rPr>
              <w:t>序号</w:t>
            </w:r>
          </w:p>
        </w:tc>
        <w:tc>
          <w:tcPr>
            <w:tcW w:w="1989" w:type="dxa"/>
            <w:noWrap w:val="0"/>
            <w:vAlign w:val="center"/>
          </w:tcPr>
          <w:p w14:paraId="2C5DE783">
            <w:pPr>
              <w:adjustRightInd w:val="0"/>
              <w:snapToGrid w:val="0"/>
              <w:jc w:val="center"/>
              <w:rPr>
                <w:rFonts w:ascii="宋体" w:hAnsi="宋体"/>
                <w:b/>
                <w:color w:val="auto"/>
                <w:szCs w:val="21"/>
              </w:rPr>
            </w:pPr>
            <w:r>
              <w:rPr>
                <w:rFonts w:hint="eastAsia" w:ascii="宋体" w:hAnsi="宋体"/>
                <w:b/>
                <w:color w:val="auto"/>
                <w:szCs w:val="21"/>
              </w:rPr>
              <w:t>评审分项</w:t>
            </w:r>
          </w:p>
        </w:tc>
        <w:tc>
          <w:tcPr>
            <w:tcW w:w="4371" w:type="dxa"/>
            <w:noWrap w:val="0"/>
            <w:vAlign w:val="center"/>
          </w:tcPr>
          <w:p w14:paraId="3B827A44">
            <w:pPr>
              <w:adjustRightInd w:val="0"/>
              <w:snapToGrid w:val="0"/>
              <w:jc w:val="center"/>
              <w:rPr>
                <w:rFonts w:ascii="宋体" w:hAnsi="宋体"/>
                <w:b/>
                <w:color w:val="auto"/>
                <w:szCs w:val="21"/>
              </w:rPr>
            </w:pPr>
            <w:r>
              <w:rPr>
                <w:rFonts w:hint="eastAsia" w:ascii="宋体" w:hAnsi="宋体"/>
                <w:b/>
                <w:color w:val="auto"/>
                <w:szCs w:val="21"/>
              </w:rPr>
              <w:t>内容</w:t>
            </w:r>
          </w:p>
        </w:tc>
        <w:tc>
          <w:tcPr>
            <w:tcW w:w="2182" w:type="dxa"/>
            <w:noWrap w:val="0"/>
            <w:vAlign w:val="center"/>
          </w:tcPr>
          <w:p w14:paraId="74CF4DBC">
            <w:pPr>
              <w:adjustRightInd w:val="0"/>
              <w:snapToGrid w:val="0"/>
              <w:jc w:val="center"/>
              <w:rPr>
                <w:rFonts w:ascii="宋体" w:hAnsi="宋体"/>
                <w:b/>
                <w:color w:val="auto"/>
                <w:szCs w:val="21"/>
              </w:rPr>
            </w:pPr>
            <w:r>
              <w:rPr>
                <w:rFonts w:hint="eastAsia" w:ascii="宋体" w:hAnsi="宋体"/>
                <w:b/>
                <w:color w:val="auto"/>
                <w:szCs w:val="21"/>
              </w:rPr>
              <w:t>证明文件</w:t>
            </w:r>
          </w:p>
        </w:tc>
      </w:tr>
      <w:tr w14:paraId="1C9E7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6" w:type="dxa"/>
            <w:noWrap w:val="0"/>
            <w:vAlign w:val="center"/>
          </w:tcPr>
          <w:p w14:paraId="71D7C1F8">
            <w:pPr>
              <w:numPr>
                <w:ilvl w:val="0"/>
                <w:numId w:val="57"/>
              </w:numPr>
              <w:adjustRightInd w:val="0"/>
              <w:snapToGrid w:val="0"/>
              <w:rPr>
                <w:rFonts w:ascii="宋体" w:hAnsi="宋体"/>
                <w:color w:val="auto"/>
                <w:szCs w:val="21"/>
              </w:rPr>
            </w:pPr>
          </w:p>
        </w:tc>
        <w:tc>
          <w:tcPr>
            <w:tcW w:w="1989" w:type="dxa"/>
            <w:noWrap w:val="0"/>
            <w:vAlign w:val="center"/>
          </w:tcPr>
          <w:p w14:paraId="019AB319">
            <w:pPr>
              <w:snapToGrid w:val="0"/>
              <w:jc w:val="center"/>
              <w:rPr>
                <w:rFonts w:ascii="宋体" w:hAnsi="宋体" w:cs="Arial"/>
                <w:color w:val="auto"/>
                <w:szCs w:val="21"/>
              </w:rPr>
            </w:pPr>
          </w:p>
        </w:tc>
        <w:tc>
          <w:tcPr>
            <w:tcW w:w="4371" w:type="dxa"/>
            <w:noWrap w:val="0"/>
            <w:vAlign w:val="center"/>
          </w:tcPr>
          <w:p w14:paraId="74D59AB0">
            <w:pPr>
              <w:adjustRightInd w:val="0"/>
              <w:snapToGrid w:val="0"/>
              <w:jc w:val="left"/>
              <w:rPr>
                <w:rFonts w:ascii="宋体" w:hAnsi="宋体" w:cs="Arial"/>
                <w:color w:val="auto"/>
                <w:szCs w:val="21"/>
              </w:rPr>
            </w:pPr>
          </w:p>
        </w:tc>
        <w:tc>
          <w:tcPr>
            <w:tcW w:w="2182" w:type="dxa"/>
            <w:noWrap w:val="0"/>
            <w:vAlign w:val="center"/>
          </w:tcPr>
          <w:p w14:paraId="7D416246">
            <w:pPr>
              <w:adjustRightInd w:val="0"/>
              <w:snapToGrid w:val="0"/>
              <w:jc w:val="center"/>
              <w:rPr>
                <w:rFonts w:ascii="宋体" w:hAnsi="宋体"/>
                <w:color w:val="auto"/>
                <w:szCs w:val="21"/>
              </w:rPr>
            </w:pPr>
            <w:r>
              <w:rPr>
                <w:rFonts w:hint="eastAsia" w:ascii="宋体" w:hAnsi="宋体"/>
                <w:color w:val="auto"/>
                <w:szCs w:val="21"/>
              </w:rPr>
              <w:t>第（ ）页</w:t>
            </w:r>
          </w:p>
        </w:tc>
      </w:tr>
      <w:tr w14:paraId="0CA1A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noWrap w:val="0"/>
            <w:vAlign w:val="center"/>
          </w:tcPr>
          <w:p w14:paraId="693F2C61">
            <w:pPr>
              <w:numPr>
                <w:ilvl w:val="0"/>
                <w:numId w:val="57"/>
              </w:numPr>
              <w:adjustRightInd w:val="0"/>
              <w:snapToGrid w:val="0"/>
              <w:rPr>
                <w:rFonts w:ascii="宋体" w:hAnsi="宋体"/>
                <w:color w:val="auto"/>
                <w:szCs w:val="21"/>
              </w:rPr>
            </w:pPr>
          </w:p>
        </w:tc>
        <w:tc>
          <w:tcPr>
            <w:tcW w:w="1989" w:type="dxa"/>
            <w:noWrap w:val="0"/>
            <w:vAlign w:val="center"/>
          </w:tcPr>
          <w:p w14:paraId="5A8A68B9">
            <w:pPr>
              <w:snapToGrid w:val="0"/>
              <w:jc w:val="center"/>
              <w:rPr>
                <w:rFonts w:ascii="宋体" w:hAnsi="宋体"/>
                <w:color w:val="auto"/>
                <w:szCs w:val="21"/>
              </w:rPr>
            </w:pPr>
          </w:p>
        </w:tc>
        <w:tc>
          <w:tcPr>
            <w:tcW w:w="4371" w:type="dxa"/>
            <w:noWrap w:val="0"/>
            <w:vAlign w:val="center"/>
          </w:tcPr>
          <w:p w14:paraId="7F0513A9">
            <w:pPr>
              <w:adjustRightInd w:val="0"/>
              <w:snapToGrid w:val="0"/>
              <w:jc w:val="left"/>
              <w:rPr>
                <w:rFonts w:ascii="宋体" w:hAnsi="宋体"/>
                <w:color w:val="auto"/>
                <w:szCs w:val="21"/>
              </w:rPr>
            </w:pPr>
          </w:p>
        </w:tc>
        <w:tc>
          <w:tcPr>
            <w:tcW w:w="2182" w:type="dxa"/>
            <w:noWrap w:val="0"/>
            <w:vAlign w:val="center"/>
          </w:tcPr>
          <w:p w14:paraId="71BB7513">
            <w:pPr>
              <w:adjustRightInd w:val="0"/>
              <w:snapToGrid w:val="0"/>
              <w:jc w:val="center"/>
              <w:rPr>
                <w:rFonts w:ascii="宋体" w:hAnsi="宋体"/>
                <w:color w:val="auto"/>
                <w:szCs w:val="21"/>
              </w:rPr>
            </w:pPr>
            <w:r>
              <w:rPr>
                <w:rFonts w:hint="eastAsia" w:ascii="宋体" w:hAnsi="宋体"/>
                <w:color w:val="auto"/>
                <w:szCs w:val="21"/>
              </w:rPr>
              <w:t>第（ ）页</w:t>
            </w:r>
          </w:p>
        </w:tc>
      </w:tr>
      <w:tr w14:paraId="3DA98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noWrap w:val="0"/>
            <w:vAlign w:val="center"/>
          </w:tcPr>
          <w:p w14:paraId="198C79E3">
            <w:pPr>
              <w:numPr>
                <w:ilvl w:val="0"/>
                <w:numId w:val="57"/>
              </w:numPr>
              <w:adjustRightInd w:val="0"/>
              <w:snapToGrid w:val="0"/>
              <w:rPr>
                <w:rFonts w:ascii="宋体" w:hAnsi="宋体"/>
                <w:color w:val="auto"/>
                <w:szCs w:val="21"/>
              </w:rPr>
            </w:pPr>
          </w:p>
        </w:tc>
        <w:tc>
          <w:tcPr>
            <w:tcW w:w="1989" w:type="dxa"/>
            <w:noWrap w:val="0"/>
            <w:vAlign w:val="center"/>
          </w:tcPr>
          <w:p w14:paraId="25535345">
            <w:pPr>
              <w:adjustRightInd w:val="0"/>
              <w:snapToGrid w:val="0"/>
              <w:jc w:val="center"/>
              <w:rPr>
                <w:rFonts w:ascii="宋体" w:hAnsi="宋体"/>
                <w:color w:val="auto"/>
                <w:szCs w:val="21"/>
              </w:rPr>
            </w:pPr>
          </w:p>
        </w:tc>
        <w:tc>
          <w:tcPr>
            <w:tcW w:w="4371" w:type="dxa"/>
            <w:noWrap w:val="0"/>
            <w:vAlign w:val="center"/>
          </w:tcPr>
          <w:p w14:paraId="4F283DC7">
            <w:pPr>
              <w:adjustRightInd w:val="0"/>
              <w:snapToGrid w:val="0"/>
              <w:jc w:val="left"/>
              <w:rPr>
                <w:rFonts w:ascii="宋体" w:hAnsi="宋体"/>
                <w:color w:val="auto"/>
                <w:szCs w:val="21"/>
              </w:rPr>
            </w:pPr>
          </w:p>
        </w:tc>
        <w:tc>
          <w:tcPr>
            <w:tcW w:w="2182" w:type="dxa"/>
            <w:noWrap w:val="0"/>
            <w:vAlign w:val="center"/>
          </w:tcPr>
          <w:p w14:paraId="6F69D72D">
            <w:pPr>
              <w:adjustRightInd w:val="0"/>
              <w:snapToGrid w:val="0"/>
              <w:jc w:val="center"/>
              <w:rPr>
                <w:rFonts w:ascii="宋体" w:hAnsi="宋体"/>
                <w:color w:val="auto"/>
                <w:szCs w:val="21"/>
              </w:rPr>
            </w:pPr>
            <w:r>
              <w:rPr>
                <w:rFonts w:hint="eastAsia" w:ascii="宋体" w:hAnsi="宋体"/>
                <w:color w:val="auto"/>
                <w:szCs w:val="21"/>
              </w:rPr>
              <w:t>第（ ）页</w:t>
            </w:r>
          </w:p>
        </w:tc>
      </w:tr>
    </w:tbl>
    <w:p w14:paraId="063BB7F3">
      <w:pPr>
        <w:adjustRightInd w:val="0"/>
        <w:snapToGrid w:val="0"/>
        <w:spacing w:line="360" w:lineRule="auto"/>
        <w:rPr>
          <w:rFonts w:hint="eastAsia" w:ascii="宋体" w:hAnsi="宋体"/>
          <w:color w:val="auto"/>
          <w:szCs w:val="21"/>
        </w:rPr>
      </w:pPr>
      <w:r>
        <w:rPr>
          <w:rFonts w:hint="eastAsia" w:ascii="宋体" w:hAnsi="宋体"/>
          <w:color w:val="auto"/>
          <w:szCs w:val="21"/>
        </w:rPr>
        <w:t xml:space="preserve">备注：根据《商务部分评分表》的填写。  </w:t>
      </w:r>
    </w:p>
    <w:p w14:paraId="0BD3297D">
      <w:pPr>
        <w:adjustRightInd w:val="0"/>
        <w:snapToGrid w:val="0"/>
        <w:spacing w:line="360" w:lineRule="auto"/>
        <w:rPr>
          <w:rFonts w:hint="eastAsia" w:ascii="宋体" w:hAnsi="宋体"/>
          <w:color w:val="auto"/>
          <w:szCs w:val="21"/>
        </w:rPr>
      </w:pPr>
    </w:p>
    <w:p w14:paraId="10B07273">
      <w:pPr>
        <w:numPr>
          <w:ilvl w:val="0"/>
          <w:numId w:val="55"/>
        </w:numPr>
        <w:adjustRightInd w:val="0"/>
        <w:snapToGrid w:val="0"/>
        <w:rPr>
          <w:rFonts w:hint="eastAsia" w:ascii="黑体" w:hAnsi="黑体" w:eastAsia="黑体" w:cs="黑体"/>
          <w:b/>
          <w:color w:val="auto"/>
          <w:sz w:val="24"/>
        </w:rPr>
      </w:pPr>
      <w:r>
        <w:rPr>
          <w:rFonts w:hint="eastAsia" w:ascii="黑体" w:hAnsi="黑体" w:eastAsia="黑体" w:cs="黑体"/>
          <w:b/>
          <w:color w:val="auto"/>
          <w:sz w:val="24"/>
        </w:rPr>
        <w:t>价格评审自查表</w:t>
      </w:r>
    </w:p>
    <w:p w14:paraId="7F30081A">
      <w:pPr>
        <w:widowControl/>
        <w:wordWrap w:val="0"/>
        <w:jc w:val="left"/>
        <w:rPr>
          <w:rFonts w:hint="eastAsia" w:ascii="黑体" w:hAnsi="黑体" w:eastAsia="黑体" w:cs="黑体"/>
          <w:b/>
          <w:color w:val="auto"/>
          <w:sz w:val="24"/>
        </w:rPr>
      </w:pPr>
      <w:r>
        <w:rPr>
          <w:rFonts w:hint="eastAsia" w:ascii="宋体" w:hAnsi="宋体"/>
          <w:color w:val="auto"/>
        </w:rPr>
        <w:t>投标人名称：                                           项目编号：</w:t>
      </w:r>
      <w:r>
        <w:rPr>
          <w:rFonts w:hint="eastAsia" w:ascii="宋体" w:hAnsi="宋体"/>
          <w:color w:val="auto"/>
          <w:lang w:eastAsia="zh-CN"/>
        </w:rPr>
        <w:t xml:space="preserve">JG2025(SS)XZ0008 </w:t>
      </w:r>
      <w:r>
        <w:rPr>
          <w:rFonts w:ascii="ˎ̥" w:hAnsi="ˎ̥" w:cs="宋体"/>
          <w:color w:val="auto"/>
          <w:kern w:val="0"/>
          <w:sz w:val="18"/>
          <w:szCs w:val="18"/>
        </w:rPr>
        <w:t> </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418"/>
        <w:gridCol w:w="3124"/>
      </w:tblGrid>
      <w:tr w14:paraId="14DF0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l2br w:val="nil"/>
              <w:tr2bl w:val="nil"/>
            </w:tcBorders>
            <w:noWrap w:val="0"/>
            <w:vAlign w:val="center"/>
          </w:tcPr>
          <w:p w14:paraId="59F972F1">
            <w:pPr>
              <w:adjustRightInd w:val="0"/>
              <w:snapToGrid w:val="0"/>
              <w:jc w:val="center"/>
              <w:rPr>
                <w:rFonts w:ascii="宋体" w:hAnsi="宋体"/>
                <w:b/>
                <w:color w:val="auto"/>
                <w:szCs w:val="21"/>
              </w:rPr>
            </w:pPr>
            <w:r>
              <w:rPr>
                <w:rFonts w:hint="eastAsia" w:ascii="宋体" w:hAnsi="宋体"/>
                <w:b/>
                <w:color w:val="auto"/>
                <w:szCs w:val="21"/>
              </w:rPr>
              <w:t>序号</w:t>
            </w:r>
          </w:p>
        </w:tc>
        <w:tc>
          <w:tcPr>
            <w:tcW w:w="5418" w:type="dxa"/>
            <w:tcBorders>
              <w:tl2br w:val="nil"/>
              <w:tr2bl w:val="nil"/>
            </w:tcBorders>
            <w:noWrap w:val="0"/>
            <w:vAlign w:val="center"/>
          </w:tcPr>
          <w:p w14:paraId="42300C24">
            <w:pPr>
              <w:adjustRightInd w:val="0"/>
              <w:snapToGrid w:val="0"/>
              <w:jc w:val="center"/>
              <w:rPr>
                <w:rFonts w:ascii="宋体" w:hAnsi="宋体"/>
                <w:b/>
                <w:color w:val="auto"/>
                <w:szCs w:val="21"/>
              </w:rPr>
            </w:pPr>
            <w:r>
              <w:rPr>
                <w:rFonts w:hint="eastAsia" w:ascii="宋体" w:hAnsi="宋体"/>
                <w:b/>
                <w:color w:val="auto"/>
                <w:szCs w:val="21"/>
              </w:rPr>
              <w:t>评审分项</w:t>
            </w:r>
          </w:p>
        </w:tc>
        <w:tc>
          <w:tcPr>
            <w:tcW w:w="3124" w:type="dxa"/>
            <w:tcBorders>
              <w:tl2br w:val="nil"/>
              <w:tr2bl w:val="nil"/>
            </w:tcBorders>
            <w:noWrap w:val="0"/>
            <w:vAlign w:val="center"/>
          </w:tcPr>
          <w:p w14:paraId="1623AE43">
            <w:pPr>
              <w:adjustRightInd w:val="0"/>
              <w:snapToGrid w:val="0"/>
              <w:jc w:val="center"/>
              <w:rPr>
                <w:rFonts w:ascii="宋体" w:hAnsi="宋体"/>
                <w:b/>
                <w:color w:val="auto"/>
                <w:szCs w:val="21"/>
              </w:rPr>
            </w:pPr>
            <w:r>
              <w:rPr>
                <w:rFonts w:hint="eastAsia" w:ascii="宋体" w:hAnsi="宋体"/>
                <w:b/>
                <w:color w:val="auto"/>
                <w:szCs w:val="21"/>
              </w:rPr>
              <w:t>证明文件</w:t>
            </w:r>
          </w:p>
        </w:tc>
      </w:tr>
      <w:tr w14:paraId="47EC1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46" w:type="dxa"/>
            <w:tcBorders>
              <w:tl2br w:val="nil"/>
              <w:tr2bl w:val="nil"/>
            </w:tcBorders>
            <w:noWrap w:val="0"/>
            <w:vAlign w:val="center"/>
          </w:tcPr>
          <w:p w14:paraId="1566C47C">
            <w:pPr>
              <w:numPr>
                <w:ilvl w:val="0"/>
                <w:numId w:val="58"/>
              </w:numPr>
              <w:adjustRightInd w:val="0"/>
              <w:snapToGrid w:val="0"/>
              <w:rPr>
                <w:rFonts w:ascii="宋体" w:hAnsi="宋体"/>
                <w:color w:val="auto"/>
                <w:szCs w:val="21"/>
              </w:rPr>
            </w:pPr>
          </w:p>
        </w:tc>
        <w:tc>
          <w:tcPr>
            <w:tcW w:w="5418" w:type="dxa"/>
            <w:tcBorders>
              <w:tl2br w:val="nil"/>
              <w:tr2bl w:val="nil"/>
            </w:tcBorders>
            <w:noWrap w:val="0"/>
            <w:vAlign w:val="center"/>
          </w:tcPr>
          <w:p w14:paraId="71C27856">
            <w:pPr>
              <w:adjustRightInd w:val="0"/>
              <w:snapToGrid w:val="0"/>
              <w:jc w:val="center"/>
              <w:rPr>
                <w:rFonts w:hint="eastAsia" w:ascii="宋体" w:hAnsi="宋体" w:eastAsia="宋体"/>
                <w:color w:val="auto"/>
                <w:szCs w:val="21"/>
                <w:lang w:eastAsia="zh-CN"/>
              </w:rPr>
            </w:pPr>
            <w:r>
              <w:rPr>
                <w:rFonts w:hint="eastAsia" w:hAnsi="宋体" w:cs="Courier New"/>
                <w:color w:val="auto"/>
              </w:rPr>
              <w:t>开标一览表</w:t>
            </w:r>
            <w:r>
              <w:rPr>
                <w:rFonts w:hint="eastAsia" w:hAnsi="宋体" w:cs="Courier New"/>
                <w:color w:val="auto"/>
                <w:lang w:eastAsia="zh-CN"/>
              </w:rPr>
              <w:t>（</w:t>
            </w:r>
            <w:r>
              <w:rPr>
                <w:rFonts w:hint="eastAsia" w:hAnsi="宋体" w:cs="Courier New"/>
                <w:color w:val="auto"/>
              </w:rPr>
              <w:t>报价表</w:t>
            </w:r>
            <w:r>
              <w:rPr>
                <w:rFonts w:hint="eastAsia" w:hAnsi="宋体" w:cs="Courier New"/>
                <w:color w:val="auto"/>
                <w:lang w:eastAsia="zh-CN"/>
              </w:rPr>
              <w:t>）</w:t>
            </w:r>
          </w:p>
        </w:tc>
        <w:tc>
          <w:tcPr>
            <w:tcW w:w="3124" w:type="dxa"/>
            <w:tcBorders>
              <w:tl2br w:val="nil"/>
              <w:tr2bl w:val="nil"/>
            </w:tcBorders>
            <w:noWrap w:val="0"/>
            <w:vAlign w:val="center"/>
          </w:tcPr>
          <w:p w14:paraId="42709B4E">
            <w:pPr>
              <w:adjustRightInd w:val="0"/>
              <w:snapToGrid w:val="0"/>
              <w:jc w:val="center"/>
              <w:rPr>
                <w:rFonts w:ascii="宋体" w:hAnsi="宋体"/>
                <w:color w:val="auto"/>
                <w:szCs w:val="21"/>
              </w:rPr>
            </w:pPr>
            <w:r>
              <w:rPr>
                <w:rFonts w:hint="eastAsia" w:ascii="宋体" w:hAnsi="宋体"/>
                <w:color w:val="auto"/>
                <w:szCs w:val="21"/>
              </w:rPr>
              <w:t>第（ ）页</w:t>
            </w:r>
          </w:p>
        </w:tc>
      </w:tr>
      <w:tr w14:paraId="02CAC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6" w:type="dxa"/>
            <w:tcBorders>
              <w:tl2br w:val="nil"/>
              <w:tr2bl w:val="nil"/>
            </w:tcBorders>
            <w:noWrap w:val="0"/>
            <w:vAlign w:val="center"/>
          </w:tcPr>
          <w:p w14:paraId="4A164A2B">
            <w:pPr>
              <w:numPr>
                <w:ilvl w:val="0"/>
                <w:numId w:val="58"/>
              </w:numPr>
              <w:adjustRightInd w:val="0"/>
              <w:snapToGrid w:val="0"/>
              <w:rPr>
                <w:rFonts w:ascii="宋体" w:hAnsi="宋体"/>
                <w:color w:val="auto"/>
                <w:szCs w:val="21"/>
              </w:rPr>
            </w:pPr>
          </w:p>
        </w:tc>
        <w:tc>
          <w:tcPr>
            <w:tcW w:w="5418" w:type="dxa"/>
            <w:tcBorders>
              <w:tl2br w:val="nil"/>
              <w:tr2bl w:val="nil"/>
            </w:tcBorders>
            <w:noWrap w:val="0"/>
            <w:vAlign w:val="center"/>
          </w:tcPr>
          <w:p w14:paraId="662A0C4E">
            <w:pPr>
              <w:adjustRightInd w:val="0"/>
              <w:snapToGrid w:val="0"/>
              <w:jc w:val="center"/>
              <w:rPr>
                <w:rFonts w:ascii="宋体" w:hAnsi="宋体"/>
                <w:color w:val="auto"/>
                <w:szCs w:val="21"/>
              </w:rPr>
            </w:pPr>
            <w:r>
              <w:rPr>
                <w:rFonts w:hint="eastAsia" w:ascii="宋体" w:hAnsi="宋体"/>
                <w:color w:val="auto"/>
                <w:szCs w:val="21"/>
              </w:rPr>
              <w:t>投标分项报价表</w:t>
            </w:r>
          </w:p>
        </w:tc>
        <w:tc>
          <w:tcPr>
            <w:tcW w:w="3124" w:type="dxa"/>
            <w:tcBorders>
              <w:tl2br w:val="nil"/>
              <w:tr2bl w:val="nil"/>
            </w:tcBorders>
            <w:noWrap w:val="0"/>
            <w:vAlign w:val="center"/>
          </w:tcPr>
          <w:p w14:paraId="18432335">
            <w:pPr>
              <w:adjustRightInd w:val="0"/>
              <w:snapToGrid w:val="0"/>
              <w:jc w:val="center"/>
              <w:rPr>
                <w:rFonts w:ascii="宋体" w:hAnsi="宋体"/>
                <w:color w:val="auto"/>
                <w:szCs w:val="21"/>
              </w:rPr>
            </w:pPr>
            <w:r>
              <w:rPr>
                <w:rFonts w:hint="eastAsia" w:ascii="宋体" w:hAnsi="宋体"/>
                <w:color w:val="auto"/>
                <w:szCs w:val="21"/>
              </w:rPr>
              <w:t>第（ ）页</w:t>
            </w:r>
          </w:p>
        </w:tc>
      </w:tr>
    </w:tbl>
    <w:p w14:paraId="47FC512C">
      <w:pPr>
        <w:adjustRightInd w:val="0"/>
        <w:snapToGrid w:val="0"/>
        <w:spacing w:line="360" w:lineRule="auto"/>
        <w:rPr>
          <w:rFonts w:hint="eastAsia" w:ascii="黑体" w:hAnsi="黑体" w:eastAsia="黑体" w:cs="黑体"/>
          <w:b/>
          <w:color w:val="auto"/>
          <w:sz w:val="24"/>
        </w:rPr>
      </w:pPr>
    </w:p>
    <w:p w14:paraId="25792FB8">
      <w:pPr>
        <w:numPr>
          <w:ilvl w:val="0"/>
          <w:numId w:val="54"/>
        </w:numPr>
        <w:rPr>
          <w:rFonts w:hint="eastAsia" w:ascii="黑体" w:hAnsi="黑体" w:eastAsia="黑体" w:cs="黑体"/>
          <w:b/>
          <w:color w:val="auto"/>
          <w:sz w:val="24"/>
        </w:rPr>
      </w:pPr>
      <w:r>
        <w:rPr>
          <w:rFonts w:hint="eastAsia" w:ascii="黑体" w:hAnsi="黑体" w:eastAsia="黑体" w:cs="黑体"/>
          <w:b/>
          <w:color w:val="auto"/>
          <w:sz w:val="24"/>
        </w:rPr>
        <w:t>其他内容</w:t>
      </w:r>
    </w:p>
    <w:p w14:paraId="0F955139">
      <w:pPr>
        <w:widowControl/>
        <w:wordWrap w:val="0"/>
        <w:jc w:val="left"/>
        <w:rPr>
          <w:rFonts w:hint="eastAsia" w:ascii="黑体" w:hAnsi="黑体" w:eastAsia="黑体" w:cs="黑体"/>
          <w:b/>
          <w:color w:val="auto"/>
          <w:sz w:val="24"/>
        </w:rPr>
      </w:pPr>
      <w:r>
        <w:rPr>
          <w:rFonts w:hint="eastAsia" w:ascii="宋体" w:hAnsi="宋体"/>
          <w:color w:val="auto"/>
        </w:rPr>
        <w:t>投标人名称：                                           项目编号：</w:t>
      </w:r>
      <w:r>
        <w:rPr>
          <w:rFonts w:hint="eastAsia" w:ascii="宋体" w:hAnsi="宋体"/>
          <w:color w:val="auto"/>
          <w:lang w:eastAsia="zh-CN"/>
        </w:rPr>
        <w:t xml:space="preserve">JG2025(SS)XZ0008 </w:t>
      </w:r>
      <w:r>
        <w:rPr>
          <w:rFonts w:ascii="ˎ̥" w:hAnsi="ˎ̥" w:cs="宋体"/>
          <w:color w:val="auto"/>
          <w:kern w:val="0"/>
          <w:sz w:val="18"/>
          <w:szCs w:val="18"/>
        </w:rPr>
        <w:t>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422"/>
        <w:gridCol w:w="3120"/>
      </w:tblGrid>
      <w:tr w14:paraId="24E9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12" w:space="0"/>
              <w:left w:val="single" w:color="auto" w:sz="12" w:space="0"/>
              <w:bottom w:val="single" w:color="auto" w:sz="4" w:space="0"/>
              <w:right w:val="single" w:color="auto" w:sz="4" w:space="0"/>
            </w:tcBorders>
            <w:noWrap w:val="0"/>
            <w:vAlign w:val="center"/>
          </w:tcPr>
          <w:p w14:paraId="38675757">
            <w:pPr>
              <w:adjustRightInd w:val="0"/>
              <w:snapToGrid w:val="0"/>
              <w:jc w:val="center"/>
              <w:rPr>
                <w:rFonts w:ascii="宋体" w:hAnsi="宋体"/>
                <w:b/>
                <w:color w:val="auto"/>
                <w:szCs w:val="21"/>
              </w:rPr>
            </w:pPr>
            <w:r>
              <w:rPr>
                <w:rFonts w:hint="eastAsia" w:ascii="宋体" w:hAnsi="宋体"/>
                <w:b/>
                <w:color w:val="auto"/>
                <w:szCs w:val="21"/>
              </w:rPr>
              <w:t>序号</w:t>
            </w:r>
          </w:p>
        </w:tc>
        <w:tc>
          <w:tcPr>
            <w:tcW w:w="5422" w:type="dxa"/>
            <w:tcBorders>
              <w:top w:val="single" w:color="auto" w:sz="12" w:space="0"/>
              <w:left w:val="single" w:color="auto" w:sz="4" w:space="0"/>
              <w:bottom w:val="single" w:color="auto" w:sz="4" w:space="0"/>
              <w:right w:val="single" w:color="auto" w:sz="4" w:space="0"/>
            </w:tcBorders>
            <w:noWrap w:val="0"/>
            <w:vAlign w:val="center"/>
          </w:tcPr>
          <w:p w14:paraId="5257F509">
            <w:pPr>
              <w:adjustRightInd w:val="0"/>
              <w:snapToGrid w:val="0"/>
              <w:jc w:val="center"/>
              <w:rPr>
                <w:rFonts w:ascii="宋体" w:hAnsi="宋体"/>
                <w:b/>
                <w:color w:val="auto"/>
                <w:szCs w:val="21"/>
              </w:rPr>
            </w:pPr>
            <w:r>
              <w:rPr>
                <w:rFonts w:hint="eastAsia" w:ascii="宋体" w:hAnsi="宋体"/>
                <w:b/>
                <w:color w:val="auto"/>
                <w:szCs w:val="21"/>
              </w:rPr>
              <w:t>其他内容资料</w:t>
            </w:r>
          </w:p>
        </w:tc>
        <w:tc>
          <w:tcPr>
            <w:tcW w:w="3120" w:type="dxa"/>
            <w:tcBorders>
              <w:top w:val="single" w:color="auto" w:sz="12" w:space="0"/>
              <w:left w:val="single" w:color="auto" w:sz="4" w:space="0"/>
              <w:bottom w:val="single" w:color="auto" w:sz="4" w:space="0"/>
              <w:right w:val="single" w:color="auto" w:sz="12" w:space="0"/>
            </w:tcBorders>
            <w:noWrap w:val="0"/>
            <w:vAlign w:val="center"/>
          </w:tcPr>
          <w:p w14:paraId="0A744E82">
            <w:pPr>
              <w:adjustRightInd w:val="0"/>
              <w:snapToGrid w:val="0"/>
              <w:jc w:val="center"/>
              <w:rPr>
                <w:rFonts w:ascii="宋体" w:hAnsi="宋体"/>
                <w:b/>
                <w:color w:val="auto"/>
                <w:szCs w:val="21"/>
              </w:rPr>
            </w:pPr>
            <w:r>
              <w:rPr>
                <w:rFonts w:hint="eastAsia" w:ascii="宋体" w:hAnsi="宋体"/>
                <w:b/>
                <w:color w:val="auto"/>
                <w:szCs w:val="21"/>
              </w:rPr>
              <w:t>证明文件</w:t>
            </w:r>
          </w:p>
        </w:tc>
      </w:tr>
      <w:tr w14:paraId="7824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4" w:space="0"/>
              <w:left w:val="single" w:color="auto" w:sz="12" w:space="0"/>
              <w:bottom w:val="single" w:color="auto" w:sz="4" w:space="0"/>
              <w:right w:val="single" w:color="auto" w:sz="4" w:space="0"/>
            </w:tcBorders>
            <w:noWrap w:val="0"/>
            <w:vAlign w:val="center"/>
          </w:tcPr>
          <w:p w14:paraId="58D140CC">
            <w:pPr>
              <w:numPr>
                <w:ilvl w:val="0"/>
                <w:numId w:val="59"/>
              </w:numPr>
              <w:adjustRightInd w:val="0"/>
              <w:snapToGrid w:val="0"/>
              <w:rPr>
                <w:rFonts w:ascii="宋体" w:hAnsi="宋体"/>
                <w:color w:val="auto"/>
                <w:szCs w:val="21"/>
              </w:rPr>
            </w:pPr>
          </w:p>
        </w:tc>
        <w:tc>
          <w:tcPr>
            <w:tcW w:w="5422" w:type="dxa"/>
            <w:tcBorders>
              <w:top w:val="single" w:color="auto" w:sz="4" w:space="0"/>
              <w:left w:val="single" w:color="auto" w:sz="4" w:space="0"/>
              <w:bottom w:val="single" w:color="auto" w:sz="4" w:space="0"/>
              <w:right w:val="single" w:color="auto" w:sz="4" w:space="0"/>
            </w:tcBorders>
            <w:noWrap w:val="0"/>
            <w:vAlign w:val="center"/>
          </w:tcPr>
          <w:p w14:paraId="6B770C6C">
            <w:pPr>
              <w:adjustRightInd w:val="0"/>
              <w:snapToGrid w:val="0"/>
              <w:rPr>
                <w:rFonts w:hAnsi="宋体" w:cs="Courier New"/>
                <w:color w:val="auto"/>
                <w:kern w:val="0"/>
              </w:rPr>
            </w:pPr>
            <w:r>
              <w:rPr>
                <w:rFonts w:hint="eastAsia" w:ascii="宋体" w:hAnsi="宋体"/>
                <w:color w:val="auto"/>
                <w:szCs w:val="21"/>
              </w:rPr>
              <w:t>投标人基本情况表</w:t>
            </w:r>
          </w:p>
        </w:tc>
        <w:tc>
          <w:tcPr>
            <w:tcW w:w="3120" w:type="dxa"/>
            <w:tcBorders>
              <w:top w:val="single" w:color="auto" w:sz="4" w:space="0"/>
              <w:left w:val="single" w:color="auto" w:sz="4" w:space="0"/>
              <w:bottom w:val="single" w:color="auto" w:sz="4" w:space="0"/>
              <w:right w:val="single" w:color="auto" w:sz="12" w:space="0"/>
            </w:tcBorders>
            <w:noWrap w:val="0"/>
            <w:vAlign w:val="center"/>
          </w:tcPr>
          <w:p w14:paraId="338F0D93">
            <w:pPr>
              <w:adjustRightInd w:val="0"/>
              <w:snapToGrid w:val="0"/>
              <w:jc w:val="center"/>
              <w:rPr>
                <w:rFonts w:ascii="宋体" w:hAnsi="宋体"/>
                <w:color w:val="auto"/>
                <w:szCs w:val="21"/>
              </w:rPr>
            </w:pPr>
            <w:r>
              <w:rPr>
                <w:rFonts w:hint="eastAsia" w:ascii="宋体" w:hAnsi="宋体"/>
                <w:color w:val="auto"/>
                <w:szCs w:val="21"/>
              </w:rPr>
              <w:t>第（ ）页</w:t>
            </w:r>
          </w:p>
        </w:tc>
      </w:tr>
      <w:tr w14:paraId="0DFA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4" w:space="0"/>
              <w:left w:val="single" w:color="auto" w:sz="12" w:space="0"/>
              <w:bottom w:val="single" w:color="auto" w:sz="4" w:space="0"/>
              <w:right w:val="single" w:color="auto" w:sz="4" w:space="0"/>
            </w:tcBorders>
            <w:noWrap w:val="0"/>
            <w:vAlign w:val="center"/>
          </w:tcPr>
          <w:p w14:paraId="6CD77D2E">
            <w:pPr>
              <w:numPr>
                <w:ilvl w:val="0"/>
                <w:numId w:val="59"/>
              </w:numPr>
              <w:adjustRightInd w:val="0"/>
              <w:snapToGrid w:val="0"/>
              <w:rPr>
                <w:rFonts w:ascii="宋体" w:hAnsi="宋体"/>
                <w:color w:val="auto"/>
                <w:szCs w:val="21"/>
              </w:rPr>
            </w:pPr>
          </w:p>
        </w:tc>
        <w:tc>
          <w:tcPr>
            <w:tcW w:w="5422" w:type="dxa"/>
            <w:tcBorders>
              <w:top w:val="single" w:color="auto" w:sz="4" w:space="0"/>
              <w:left w:val="single" w:color="auto" w:sz="4" w:space="0"/>
              <w:bottom w:val="single" w:color="auto" w:sz="4" w:space="0"/>
              <w:right w:val="single" w:color="auto" w:sz="4" w:space="0"/>
            </w:tcBorders>
            <w:noWrap w:val="0"/>
            <w:vAlign w:val="center"/>
          </w:tcPr>
          <w:p w14:paraId="026C93D2">
            <w:pPr>
              <w:adjustRightInd w:val="0"/>
              <w:snapToGrid w:val="0"/>
              <w:rPr>
                <w:rFonts w:ascii="宋体" w:hAnsi="宋体"/>
                <w:color w:val="auto"/>
                <w:szCs w:val="21"/>
                <w:highlight w:val="none"/>
              </w:rPr>
            </w:pPr>
            <w:r>
              <w:rPr>
                <w:rFonts w:hint="eastAsia" w:ascii="宋体" w:hAnsi="宋体"/>
                <w:color w:val="auto"/>
                <w:szCs w:val="21"/>
                <w:highlight w:val="none"/>
              </w:rPr>
              <w:t>用户需求</w:t>
            </w:r>
            <w:r>
              <w:rPr>
                <w:rFonts w:hint="eastAsia" w:ascii="宋体" w:hAnsi="宋体"/>
                <w:color w:val="auto"/>
                <w:szCs w:val="21"/>
                <w:highlight w:val="none"/>
                <w:lang w:val="en-US" w:eastAsia="zh-CN"/>
              </w:rPr>
              <w:t>书</w:t>
            </w:r>
            <w:r>
              <w:rPr>
                <w:rFonts w:hint="eastAsia" w:ascii="宋体" w:hAnsi="宋体"/>
                <w:color w:val="auto"/>
                <w:szCs w:val="21"/>
                <w:highlight w:val="none"/>
              </w:rPr>
              <w:t>响应一览表</w:t>
            </w:r>
          </w:p>
        </w:tc>
        <w:tc>
          <w:tcPr>
            <w:tcW w:w="3120" w:type="dxa"/>
            <w:tcBorders>
              <w:top w:val="single" w:color="auto" w:sz="4" w:space="0"/>
              <w:left w:val="single" w:color="auto" w:sz="4" w:space="0"/>
              <w:bottom w:val="single" w:color="auto" w:sz="4" w:space="0"/>
              <w:right w:val="single" w:color="auto" w:sz="12" w:space="0"/>
            </w:tcBorders>
            <w:noWrap w:val="0"/>
            <w:vAlign w:val="center"/>
          </w:tcPr>
          <w:p w14:paraId="18129E63">
            <w:pPr>
              <w:adjustRightInd w:val="0"/>
              <w:snapToGrid w:val="0"/>
              <w:jc w:val="center"/>
              <w:rPr>
                <w:rFonts w:ascii="宋体" w:hAnsi="宋体"/>
                <w:color w:val="auto"/>
                <w:szCs w:val="21"/>
              </w:rPr>
            </w:pPr>
            <w:r>
              <w:rPr>
                <w:rFonts w:hint="eastAsia" w:ascii="宋体" w:hAnsi="宋体"/>
                <w:color w:val="auto"/>
                <w:szCs w:val="21"/>
              </w:rPr>
              <w:t>第（ ）页</w:t>
            </w:r>
          </w:p>
        </w:tc>
      </w:tr>
      <w:tr w14:paraId="4F6D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4" w:space="0"/>
              <w:left w:val="single" w:color="auto" w:sz="12" w:space="0"/>
              <w:bottom w:val="single" w:color="auto" w:sz="4" w:space="0"/>
              <w:right w:val="single" w:color="auto" w:sz="4" w:space="0"/>
            </w:tcBorders>
            <w:noWrap w:val="0"/>
            <w:vAlign w:val="center"/>
          </w:tcPr>
          <w:p w14:paraId="28F947D2">
            <w:pPr>
              <w:numPr>
                <w:ilvl w:val="0"/>
                <w:numId w:val="59"/>
              </w:numPr>
              <w:adjustRightInd w:val="0"/>
              <w:snapToGrid w:val="0"/>
              <w:rPr>
                <w:rFonts w:ascii="宋体" w:hAnsi="宋体"/>
                <w:color w:val="auto"/>
                <w:szCs w:val="21"/>
              </w:rPr>
            </w:pPr>
          </w:p>
        </w:tc>
        <w:tc>
          <w:tcPr>
            <w:tcW w:w="5422" w:type="dxa"/>
            <w:tcBorders>
              <w:top w:val="single" w:color="auto" w:sz="4" w:space="0"/>
              <w:left w:val="single" w:color="auto" w:sz="4" w:space="0"/>
              <w:bottom w:val="single" w:color="auto" w:sz="4" w:space="0"/>
              <w:right w:val="single" w:color="auto" w:sz="4" w:space="0"/>
            </w:tcBorders>
            <w:noWrap w:val="0"/>
            <w:vAlign w:val="center"/>
          </w:tcPr>
          <w:p w14:paraId="6DAFF93E">
            <w:pPr>
              <w:adjustRightInd w:val="0"/>
              <w:snapToGrid w:val="0"/>
              <w:rPr>
                <w:rFonts w:hAnsi="宋体" w:cs="Courier New"/>
                <w:color w:val="auto"/>
                <w:kern w:val="0"/>
              </w:rPr>
            </w:pPr>
            <w:r>
              <w:rPr>
                <w:rFonts w:hint="eastAsia" w:hAnsi="宋体" w:cs="Courier New"/>
                <w:color w:val="auto"/>
                <w:kern w:val="0"/>
              </w:rPr>
              <w:t>招标代理服务费承诺书</w:t>
            </w:r>
          </w:p>
        </w:tc>
        <w:tc>
          <w:tcPr>
            <w:tcW w:w="3120" w:type="dxa"/>
            <w:tcBorders>
              <w:top w:val="single" w:color="auto" w:sz="4" w:space="0"/>
              <w:left w:val="single" w:color="auto" w:sz="4" w:space="0"/>
              <w:bottom w:val="single" w:color="auto" w:sz="4" w:space="0"/>
              <w:right w:val="single" w:color="auto" w:sz="12" w:space="0"/>
            </w:tcBorders>
            <w:noWrap w:val="0"/>
            <w:vAlign w:val="center"/>
          </w:tcPr>
          <w:p w14:paraId="08E26BE0">
            <w:pPr>
              <w:adjustRightInd w:val="0"/>
              <w:snapToGrid w:val="0"/>
              <w:jc w:val="center"/>
              <w:rPr>
                <w:rFonts w:ascii="宋体" w:hAnsi="宋体"/>
                <w:color w:val="auto"/>
                <w:szCs w:val="21"/>
              </w:rPr>
            </w:pPr>
            <w:r>
              <w:rPr>
                <w:rFonts w:hint="eastAsia" w:ascii="宋体" w:hAnsi="宋体"/>
                <w:color w:val="auto"/>
                <w:szCs w:val="21"/>
              </w:rPr>
              <w:t>第（ ）页</w:t>
            </w:r>
          </w:p>
        </w:tc>
      </w:tr>
      <w:tr w14:paraId="6A99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4" w:space="0"/>
              <w:left w:val="single" w:color="auto" w:sz="12" w:space="0"/>
              <w:bottom w:val="single" w:color="auto" w:sz="12" w:space="0"/>
              <w:right w:val="single" w:color="auto" w:sz="4" w:space="0"/>
            </w:tcBorders>
            <w:noWrap w:val="0"/>
            <w:vAlign w:val="center"/>
          </w:tcPr>
          <w:p w14:paraId="5713CA4A">
            <w:pPr>
              <w:numPr>
                <w:ilvl w:val="0"/>
                <w:numId w:val="59"/>
              </w:numPr>
              <w:adjustRightInd w:val="0"/>
              <w:snapToGrid w:val="0"/>
              <w:rPr>
                <w:rFonts w:ascii="宋体" w:hAnsi="宋体"/>
                <w:color w:val="auto"/>
                <w:szCs w:val="21"/>
              </w:rPr>
            </w:pPr>
          </w:p>
        </w:tc>
        <w:tc>
          <w:tcPr>
            <w:tcW w:w="5422" w:type="dxa"/>
            <w:tcBorders>
              <w:top w:val="single" w:color="auto" w:sz="4" w:space="0"/>
              <w:left w:val="single" w:color="auto" w:sz="4" w:space="0"/>
              <w:bottom w:val="single" w:color="auto" w:sz="12" w:space="0"/>
              <w:right w:val="single" w:color="auto" w:sz="4" w:space="0"/>
            </w:tcBorders>
            <w:noWrap w:val="0"/>
            <w:vAlign w:val="center"/>
          </w:tcPr>
          <w:p w14:paraId="09D556B5">
            <w:pPr>
              <w:adjustRightInd w:val="0"/>
              <w:snapToGrid w:val="0"/>
              <w:rPr>
                <w:rFonts w:hint="eastAsia" w:ascii="宋体" w:hAnsi="宋体"/>
                <w:color w:val="auto"/>
                <w:szCs w:val="21"/>
              </w:rPr>
            </w:pPr>
            <w:r>
              <w:rPr>
                <w:rFonts w:hint="eastAsia" w:ascii="宋体" w:hAnsi="宋体"/>
                <w:color w:val="auto"/>
                <w:szCs w:val="21"/>
              </w:rPr>
              <w:t>投标人认为需要的其他内容</w:t>
            </w:r>
          </w:p>
        </w:tc>
        <w:tc>
          <w:tcPr>
            <w:tcW w:w="3120" w:type="dxa"/>
            <w:tcBorders>
              <w:top w:val="single" w:color="auto" w:sz="4" w:space="0"/>
              <w:left w:val="single" w:color="auto" w:sz="4" w:space="0"/>
              <w:bottom w:val="single" w:color="auto" w:sz="12" w:space="0"/>
              <w:right w:val="single" w:color="auto" w:sz="12" w:space="0"/>
            </w:tcBorders>
            <w:noWrap w:val="0"/>
            <w:vAlign w:val="center"/>
          </w:tcPr>
          <w:p w14:paraId="2BC11D87">
            <w:pPr>
              <w:adjustRightInd w:val="0"/>
              <w:snapToGrid w:val="0"/>
              <w:jc w:val="center"/>
              <w:rPr>
                <w:rFonts w:hint="eastAsia" w:ascii="宋体" w:hAnsi="宋体"/>
                <w:color w:val="auto"/>
                <w:szCs w:val="21"/>
              </w:rPr>
            </w:pPr>
            <w:r>
              <w:rPr>
                <w:rFonts w:hint="eastAsia" w:ascii="宋体" w:hAnsi="宋体"/>
                <w:color w:val="auto"/>
                <w:szCs w:val="21"/>
              </w:rPr>
              <w:t>第（ ）页</w:t>
            </w:r>
          </w:p>
        </w:tc>
      </w:tr>
    </w:tbl>
    <w:p w14:paraId="4932E70D">
      <w:pPr>
        <w:adjustRightInd w:val="0"/>
        <w:snapToGrid w:val="0"/>
        <w:spacing w:line="360" w:lineRule="auto"/>
        <w:rPr>
          <w:rFonts w:hint="eastAsia" w:ascii="黑体" w:hAnsi="黑体" w:eastAsia="黑体" w:cs="黑体"/>
          <w:b/>
          <w:color w:val="auto"/>
          <w:sz w:val="24"/>
        </w:rPr>
      </w:pPr>
    </w:p>
    <w:p w14:paraId="15CF12F8">
      <w:pPr>
        <w:numPr>
          <w:ilvl w:val="0"/>
          <w:numId w:val="60"/>
        </w:numPr>
        <w:spacing w:line="440" w:lineRule="exact"/>
        <w:rPr>
          <w:rFonts w:hint="eastAsia" w:ascii="黑体" w:eastAsia="黑体"/>
          <w:bCs/>
          <w:color w:val="auto"/>
          <w:sz w:val="28"/>
        </w:rPr>
      </w:pPr>
      <w:r>
        <w:rPr>
          <w:rFonts w:hint="eastAsia" w:ascii="黑体" w:eastAsia="黑体"/>
          <w:bCs/>
          <w:color w:val="auto"/>
          <w:sz w:val="28"/>
        </w:rPr>
        <w:br w:type="column"/>
      </w:r>
    </w:p>
    <w:p w14:paraId="60D1D671">
      <w:pPr>
        <w:pStyle w:val="4"/>
        <w:adjustRightInd w:val="0"/>
        <w:snapToGrid w:val="0"/>
        <w:spacing w:before="156" w:beforeLines="50" w:after="156" w:afterLines="50" w:line="360" w:lineRule="auto"/>
        <w:jc w:val="center"/>
        <w:rPr>
          <w:rFonts w:hint="eastAsia"/>
          <w:b w:val="0"/>
          <w:color w:val="auto"/>
        </w:rPr>
      </w:pPr>
      <w:bookmarkStart w:id="197" w:name="_Toc275865605"/>
      <w:r>
        <w:rPr>
          <w:rFonts w:hint="eastAsia"/>
          <w:b w:val="0"/>
          <w:color w:val="auto"/>
        </w:rPr>
        <w:t>投  标  函</w:t>
      </w:r>
      <w:bookmarkEnd w:id="197"/>
    </w:p>
    <w:p w14:paraId="2D3218B1">
      <w:pPr>
        <w:spacing w:line="360" w:lineRule="auto"/>
        <w:ind w:left="105" w:leftChars="50" w:firstLine="2"/>
        <w:rPr>
          <w:rFonts w:hint="eastAsia" w:ascii="宋体" w:hAnsi="宋体"/>
          <w:b/>
          <w:color w:val="auto"/>
        </w:rPr>
      </w:pPr>
      <w:r>
        <w:rPr>
          <w:rFonts w:hint="eastAsia" w:ascii="宋体" w:hAnsi="宋体"/>
          <w:b/>
          <w:color w:val="auto"/>
        </w:rPr>
        <w:t>致：广东中采招标有限公司</w:t>
      </w:r>
    </w:p>
    <w:p w14:paraId="502E845E">
      <w:pPr>
        <w:spacing w:line="360" w:lineRule="auto"/>
        <w:ind w:left="105" w:leftChars="50" w:firstLine="373" w:firstLineChars="178"/>
        <w:rPr>
          <w:rFonts w:hint="eastAsia" w:ascii="宋体" w:hAnsi="宋体"/>
          <w:color w:val="auto"/>
        </w:rPr>
      </w:pPr>
      <w:r>
        <w:rPr>
          <w:rFonts w:hint="eastAsia" w:ascii="宋体" w:hAnsi="宋体"/>
          <w:color w:val="auto"/>
        </w:rPr>
        <w:t>我方确认收到贵方</w:t>
      </w:r>
      <w:r>
        <w:rPr>
          <w:rFonts w:hint="eastAsia" w:ascii="宋体" w:hAnsi="宋体"/>
          <w:color w:val="auto"/>
          <w:kern w:val="28"/>
          <w:u w:val="single"/>
        </w:rPr>
        <w:t xml:space="preserve">           （项目名称）        </w:t>
      </w:r>
      <w:r>
        <w:rPr>
          <w:rFonts w:hint="eastAsia" w:ascii="宋体" w:hAnsi="宋体"/>
          <w:color w:val="auto"/>
          <w:kern w:val="28"/>
        </w:rPr>
        <w:t>采购</w:t>
      </w:r>
      <w:r>
        <w:rPr>
          <w:rFonts w:hint="eastAsia" w:ascii="宋体" w:hAnsi="宋体"/>
          <w:color w:val="auto"/>
        </w:rPr>
        <w:t>货物及相关服务的招标文件（项目编号：</w:t>
      </w:r>
      <w:r>
        <w:rPr>
          <w:rFonts w:hint="eastAsia" w:ascii="宋体" w:hAnsi="宋体"/>
          <w:color w:val="auto"/>
          <w:lang w:eastAsia="zh-CN"/>
        </w:rPr>
        <w:t xml:space="preserve">JG2025(SS)XZ0008 </w:t>
      </w:r>
      <w:r>
        <w:rPr>
          <w:rFonts w:hint="eastAsia" w:ascii="宋体" w:hAnsi="宋体"/>
          <w:color w:val="auto"/>
        </w:rPr>
        <w:t>），</w:t>
      </w:r>
      <w:r>
        <w:rPr>
          <w:rFonts w:hint="eastAsia" w:ascii="宋体" w:hAnsi="宋体"/>
          <w:color w:val="auto"/>
          <w:kern w:val="28"/>
          <w:u w:val="single"/>
        </w:rPr>
        <w:t xml:space="preserve">     </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投标人名称、地址</w:t>
      </w:r>
      <w:r>
        <w:rPr>
          <w:rFonts w:hint="eastAsia" w:ascii="宋体" w:hAnsi="宋体"/>
          <w:color w:val="auto"/>
          <w:u w:val="single"/>
          <w:lang w:eastAsia="zh-CN"/>
        </w:rPr>
        <w:t>）</w:t>
      </w:r>
      <w:r>
        <w:rPr>
          <w:rFonts w:hint="eastAsia" w:ascii="宋体" w:hAnsi="宋体"/>
          <w:color w:val="auto"/>
          <w:kern w:val="28"/>
          <w:u w:val="single"/>
        </w:rPr>
        <w:t xml:space="preserve">     </w:t>
      </w:r>
      <w:r>
        <w:rPr>
          <w:rFonts w:hint="eastAsia" w:ascii="宋体" w:hAnsi="宋体"/>
          <w:color w:val="auto"/>
        </w:rPr>
        <w:t>作为投标人已正式授权</w:t>
      </w:r>
      <w:r>
        <w:rPr>
          <w:rFonts w:hint="eastAsia" w:ascii="宋体" w:hAnsi="宋体"/>
          <w:color w:val="auto"/>
          <w:kern w:val="28"/>
          <w:u w:val="single"/>
        </w:rPr>
        <w:t xml:space="preserve">     </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被投标人授权代表全名、职务</w:t>
      </w:r>
      <w:r>
        <w:rPr>
          <w:rFonts w:hint="eastAsia" w:ascii="宋体" w:hAnsi="宋体"/>
          <w:color w:val="auto"/>
          <w:u w:val="single"/>
          <w:lang w:eastAsia="zh-CN"/>
        </w:rPr>
        <w:t>）</w:t>
      </w:r>
      <w:r>
        <w:rPr>
          <w:rFonts w:hint="eastAsia" w:ascii="宋体" w:hAnsi="宋体"/>
          <w:color w:val="auto"/>
          <w:kern w:val="28"/>
          <w:u w:val="single"/>
        </w:rPr>
        <w:t xml:space="preserve">     </w:t>
      </w:r>
      <w:r>
        <w:rPr>
          <w:rFonts w:hint="eastAsia" w:ascii="宋体" w:hAnsi="宋体"/>
          <w:color w:val="auto"/>
        </w:rPr>
        <w:t>为我方签名代表，签名代表在此声明并同意：</w:t>
      </w:r>
    </w:p>
    <w:p w14:paraId="14C5E3B8">
      <w:pPr>
        <w:numPr>
          <w:ilvl w:val="0"/>
          <w:numId w:val="61"/>
        </w:numPr>
        <w:snapToGrid w:val="0"/>
        <w:spacing w:line="360" w:lineRule="auto"/>
        <w:rPr>
          <w:rFonts w:hint="eastAsia" w:ascii="宋体" w:hAnsi="宋体"/>
          <w:b/>
          <w:color w:val="auto"/>
        </w:rPr>
      </w:pPr>
      <w:r>
        <w:rPr>
          <w:rFonts w:hint="eastAsia" w:ascii="宋体" w:hAnsi="宋体"/>
          <w:b/>
          <w:color w:val="auto"/>
        </w:rPr>
        <w:t>我们愿意遵守</w:t>
      </w:r>
      <w:r>
        <w:rPr>
          <w:rFonts w:hint="eastAsia" w:ascii="宋体" w:hAnsi="宋体"/>
          <w:b/>
          <w:color w:val="auto"/>
          <w:lang w:eastAsia="zh-CN"/>
        </w:rPr>
        <w:t>招标代理机构</w:t>
      </w:r>
      <w:r>
        <w:rPr>
          <w:rFonts w:hint="eastAsia" w:ascii="宋体" w:hAnsi="宋体"/>
          <w:b/>
          <w:color w:val="auto"/>
        </w:rPr>
        <w:t>招标文件的各项规定，自愿参加投标，并已清楚招标文件的要求及有关文件规定，并严格按照招标文件的规定履行全部责任和义务。</w:t>
      </w:r>
    </w:p>
    <w:p w14:paraId="3D38AEAD">
      <w:pPr>
        <w:numPr>
          <w:ilvl w:val="0"/>
          <w:numId w:val="61"/>
        </w:numPr>
        <w:snapToGrid w:val="0"/>
        <w:spacing w:line="360" w:lineRule="auto"/>
        <w:rPr>
          <w:rFonts w:hint="eastAsia" w:ascii="宋体" w:hAnsi="宋体"/>
          <w:b/>
          <w:color w:val="auto"/>
        </w:rPr>
      </w:pPr>
      <w:r>
        <w:rPr>
          <w:rFonts w:hint="eastAsia" w:ascii="宋体" w:hAnsi="宋体"/>
          <w:b/>
          <w:color w:val="auto"/>
        </w:rPr>
        <w:t>我们同意本投标自投标截止之日起</w:t>
      </w:r>
      <w:r>
        <w:rPr>
          <w:rFonts w:hint="eastAsia" w:ascii="宋体" w:hAnsi="宋体"/>
          <w:b/>
          <w:color w:val="auto"/>
          <w:u w:val="single"/>
        </w:rPr>
        <w:t>90</w:t>
      </w:r>
      <w:r>
        <w:rPr>
          <w:rFonts w:hint="eastAsia" w:ascii="宋体" w:hAnsi="宋体"/>
          <w:b/>
          <w:color w:val="auto"/>
        </w:rPr>
        <w:t>天内有效。如果我们的投标被接受，则直至合同生效时止，本投标始终有效并不撤回已递交的投标文件。</w:t>
      </w:r>
    </w:p>
    <w:p w14:paraId="029749DC">
      <w:pPr>
        <w:numPr>
          <w:ilvl w:val="0"/>
          <w:numId w:val="61"/>
        </w:numPr>
        <w:snapToGrid w:val="0"/>
        <w:spacing w:line="360" w:lineRule="auto"/>
        <w:rPr>
          <w:rFonts w:hint="eastAsia" w:ascii="宋体" w:hAnsi="宋体"/>
          <w:b/>
          <w:color w:val="auto"/>
        </w:rPr>
      </w:pPr>
      <w:r>
        <w:rPr>
          <w:rFonts w:hint="eastAsia" w:ascii="宋体" w:hAnsi="宋体"/>
          <w:b/>
          <w:color w:val="auto"/>
        </w:rPr>
        <w:t>我们已经详细地阅读并完全明白了全部招标文件及附件，包括澄清（如有）及参考文件，我们完全理解本招标文件的要求，</w:t>
      </w:r>
      <w:r>
        <w:rPr>
          <w:rFonts w:hint="eastAsia" w:ascii="宋体"/>
          <w:b/>
          <w:color w:val="auto"/>
        </w:rPr>
        <w:t>我们同意放弃对招标文件提出不明或误解的一切权力</w:t>
      </w:r>
      <w:r>
        <w:rPr>
          <w:rFonts w:hint="eastAsia" w:ascii="宋体" w:hAnsi="宋体"/>
          <w:b/>
          <w:color w:val="auto"/>
        </w:rPr>
        <w:t>。</w:t>
      </w:r>
    </w:p>
    <w:p w14:paraId="45DFC6C1">
      <w:pPr>
        <w:numPr>
          <w:ilvl w:val="0"/>
          <w:numId w:val="61"/>
        </w:numPr>
        <w:snapToGrid w:val="0"/>
        <w:spacing w:line="360" w:lineRule="auto"/>
        <w:rPr>
          <w:rFonts w:hint="eastAsia" w:ascii="宋体" w:hAnsi="宋体"/>
          <w:b/>
          <w:color w:val="auto"/>
        </w:rPr>
      </w:pPr>
      <w:r>
        <w:rPr>
          <w:rFonts w:hint="eastAsia" w:ascii="宋体" w:hAnsi="宋体"/>
          <w:b/>
          <w:color w:val="auto"/>
        </w:rPr>
        <w:t>我们同意提供招标采购单位与评标委员会要求的有关投标的一切数据或资料。</w:t>
      </w:r>
    </w:p>
    <w:p w14:paraId="62A685A4">
      <w:pPr>
        <w:numPr>
          <w:ilvl w:val="0"/>
          <w:numId w:val="61"/>
        </w:numPr>
        <w:snapToGrid w:val="0"/>
        <w:spacing w:line="360" w:lineRule="auto"/>
        <w:rPr>
          <w:rFonts w:hint="eastAsia" w:ascii="宋体" w:hAnsi="宋体"/>
          <w:b/>
          <w:color w:val="auto"/>
        </w:rPr>
      </w:pPr>
      <w:r>
        <w:rPr>
          <w:rFonts w:hint="eastAsia" w:ascii="宋体" w:hAnsi="宋体"/>
          <w:b/>
          <w:color w:val="auto"/>
        </w:rPr>
        <w:t>我们理解招标采购单位与评标委员会并无义务必须接受最低报价的投标或其它任何投标，完全理解</w:t>
      </w:r>
      <w:r>
        <w:rPr>
          <w:rFonts w:hint="eastAsia" w:ascii="宋体" w:hAnsi="宋体"/>
          <w:b/>
          <w:color w:val="auto"/>
          <w:lang w:eastAsia="zh-CN"/>
        </w:rPr>
        <w:t>招标代理机构</w:t>
      </w:r>
      <w:r>
        <w:rPr>
          <w:rFonts w:hint="eastAsia" w:ascii="宋体" w:hAnsi="宋体"/>
          <w:b/>
          <w:color w:val="auto"/>
        </w:rPr>
        <w:t>拒绝迟到的任何投标和最低投标报价不是被授予中标的唯一条件。</w:t>
      </w:r>
    </w:p>
    <w:p w14:paraId="44DCE24D">
      <w:pPr>
        <w:numPr>
          <w:ilvl w:val="0"/>
          <w:numId w:val="61"/>
        </w:numPr>
        <w:snapToGrid w:val="0"/>
        <w:spacing w:line="360" w:lineRule="auto"/>
        <w:rPr>
          <w:rFonts w:hint="eastAsia" w:ascii="宋体" w:hAnsi="宋体"/>
          <w:b/>
          <w:color w:val="auto"/>
        </w:rPr>
      </w:pPr>
      <w:r>
        <w:rPr>
          <w:rFonts w:hint="eastAsia" w:ascii="宋体" w:hAnsi="宋体"/>
          <w:b/>
          <w:color w:val="auto"/>
        </w:rPr>
        <w:t xml:space="preserve">如果我们未对招标文件全部要求作出实质性响应，则完全同意并接受按无效投标处理。 </w:t>
      </w:r>
    </w:p>
    <w:p w14:paraId="2D1621D1">
      <w:pPr>
        <w:numPr>
          <w:ilvl w:val="0"/>
          <w:numId w:val="61"/>
        </w:numPr>
        <w:snapToGrid w:val="0"/>
        <w:spacing w:line="360" w:lineRule="auto"/>
        <w:rPr>
          <w:rFonts w:hint="eastAsia" w:ascii="宋体" w:hAnsi="宋体"/>
          <w:b/>
          <w:color w:val="auto"/>
        </w:rPr>
      </w:pPr>
      <w:r>
        <w:rPr>
          <w:rFonts w:hint="eastAsia" w:ascii="宋体" w:hAnsi="宋体"/>
          <w:b/>
          <w:color w:val="auto"/>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1DA48CD6">
      <w:pPr>
        <w:numPr>
          <w:ilvl w:val="0"/>
          <w:numId w:val="61"/>
        </w:numPr>
        <w:snapToGrid w:val="0"/>
        <w:spacing w:line="360" w:lineRule="auto"/>
        <w:rPr>
          <w:rFonts w:hint="eastAsia" w:ascii="宋体" w:hAnsi="宋体"/>
          <w:b/>
          <w:color w:val="auto"/>
          <w:highlight w:val="none"/>
        </w:rPr>
      </w:pPr>
      <w:r>
        <w:rPr>
          <w:rFonts w:hint="eastAsia" w:ascii="宋体" w:hAnsi="宋体"/>
          <w:b/>
          <w:color w:val="auto"/>
        </w:rPr>
        <w:t>如果我们提供的声明或承诺不真实，则完全同意认定为我司提供虚假材料，并同意作相应处理。</w:t>
      </w:r>
    </w:p>
    <w:p w14:paraId="685E4E88">
      <w:pPr>
        <w:numPr>
          <w:ilvl w:val="0"/>
          <w:numId w:val="61"/>
        </w:numPr>
        <w:snapToGrid w:val="0"/>
        <w:spacing w:line="360" w:lineRule="auto"/>
        <w:rPr>
          <w:rFonts w:hint="eastAsia" w:ascii="宋体" w:hAnsi="宋体"/>
          <w:b/>
          <w:color w:val="auto"/>
          <w:highlight w:val="none"/>
        </w:rPr>
      </w:pPr>
      <w:r>
        <w:rPr>
          <w:rFonts w:hint="eastAsia" w:ascii="宋体" w:hAnsi="宋体"/>
          <w:b/>
          <w:color w:val="auto"/>
          <w:highlight w:val="none"/>
        </w:rPr>
        <w:t>我们是依法注册的法人，在法律、财务及运作上完全独立于</w:t>
      </w:r>
      <w:r>
        <w:rPr>
          <w:rFonts w:hint="eastAsia" w:ascii="宋体" w:hAnsi="宋体"/>
          <w:b/>
          <w:color w:val="auto"/>
          <w:highlight w:val="none"/>
          <w:lang w:eastAsia="zh-CN"/>
        </w:rPr>
        <w:t>招标人、</w:t>
      </w:r>
      <w:r>
        <w:rPr>
          <w:rFonts w:hint="eastAsia" w:ascii="宋体" w:hAnsi="宋体"/>
          <w:b/>
          <w:color w:val="auto"/>
          <w:highlight w:val="none"/>
          <w:lang w:val="en-US" w:eastAsia="zh-CN"/>
        </w:rPr>
        <w:t>用户单位（如有）</w:t>
      </w:r>
      <w:r>
        <w:rPr>
          <w:rFonts w:hint="eastAsia" w:ascii="宋体" w:hAnsi="宋体"/>
          <w:b/>
          <w:color w:val="auto"/>
          <w:highlight w:val="none"/>
        </w:rPr>
        <w:t>和</w:t>
      </w:r>
      <w:r>
        <w:rPr>
          <w:rFonts w:hint="eastAsia" w:ascii="宋体" w:hAnsi="宋体"/>
          <w:b/>
          <w:color w:val="auto"/>
          <w:highlight w:val="none"/>
          <w:lang w:eastAsia="zh-CN"/>
        </w:rPr>
        <w:t>招标代理机构</w:t>
      </w:r>
      <w:r>
        <w:rPr>
          <w:rFonts w:hint="eastAsia" w:ascii="宋体" w:hAnsi="宋体"/>
          <w:b/>
          <w:color w:val="auto"/>
          <w:highlight w:val="none"/>
        </w:rPr>
        <w:t>。</w:t>
      </w:r>
    </w:p>
    <w:p w14:paraId="5531D368">
      <w:pPr>
        <w:numPr>
          <w:ilvl w:val="0"/>
          <w:numId w:val="61"/>
        </w:numPr>
        <w:snapToGrid w:val="0"/>
        <w:spacing w:line="360" w:lineRule="auto"/>
        <w:rPr>
          <w:rFonts w:hint="eastAsia" w:ascii="宋体" w:hAnsi="宋体"/>
          <w:b/>
          <w:color w:val="auto"/>
          <w:highlight w:val="none"/>
        </w:rPr>
      </w:pPr>
      <w:r>
        <w:rPr>
          <w:rFonts w:hint="eastAsia" w:ascii="宋体" w:hAnsi="宋体"/>
          <w:b/>
          <w:color w:val="auto"/>
          <w:highlight w:val="none"/>
        </w:rPr>
        <w:t>所有有关本次投标的函电请寄：</w:t>
      </w:r>
      <w:r>
        <w:rPr>
          <w:rFonts w:hint="eastAsia" w:ascii="宋体" w:hAnsi="宋体"/>
          <w:b/>
          <w:color w:val="auto"/>
          <w:highlight w:val="none"/>
          <w:u w:val="single"/>
        </w:rPr>
        <w:t xml:space="preserve">  （投标人地址）   </w:t>
      </w:r>
      <w:r>
        <w:rPr>
          <w:rFonts w:hint="eastAsia" w:ascii="宋体" w:hAnsi="宋体"/>
          <w:b/>
          <w:color w:val="auto"/>
          <w:highlight w:val="none"/>
        </w:rPr>
        <w:t xml:space="preserve">  </w:t>
      </w:r>
    </w:p>
    <w:p w14:paraId="462A5AA9">
      <w:pPr>
        <w:autoSpaceDE w:val="0"/>
        <w:autoSpaceDN w:val="0"/>
        <w:adjustRightInd w:val="0"/>
        <w:spacing w:line="360" w:lineRule="auto"/>
        <w:ind w:left="420" w:firstLine="310"/>
        <w:rPr>
          <w:rFonts w:hint="eastAsia" w:ascii="宋体" w:hAnsi="宋体"/>
          <w:b/>
          <w:color w:val="auto"/>
          <w:highlight w:val="none"/>
        </w:rPr>
      </w:pPr>
      <w:r>
        <w:rPr>
          <w:rFonts w:hint="eastAsia" w:ascii="宋体" w:hAnsi="宋体"/>
          <w:b/>
          <w:color w:val="auto"/>
          <w:highlight w:val="none"/>
        </w:rPr>
        <w:t>备注：</w:t>
      </w:r>
      <w:r>
        <w:rPr>
          <w:rFonts w:hint="eastAsia" w:ascii="宋体" w:hAnsi="宋体"/>
          <w:b/>
          <w:color w:val="auto"/>
          <w:highlight w:val="none"/>
          <w:lang w:val="en-US" w:eastAsia="zh-CN"/>
        </w:rPr>
        <w:t>本</w:t>
      </w:r>
      <w:r>
        <w:rPr>
          <w:rFonts w:hint="eastAsia" w:ascii="宋体" w:hAnsi="宋体"/>
          <w:b/>
          <w:color w:val="auto"/>
          <w:highlight w:val="none"/>
        </w:rPr>
        <w:t>投标函中承诺的投标有效期应当不少于招标文件中载明的投标有效期，其他</w:t>
      </w:r>
    </w:p>
    <w:p w14:paraId="27D7D7FC">
      <w:pPr>
        <w:autoSpaceDE w:val="0"/>
        <w:autoSpaceDN w:val="0"/>
        <w:adjustRightInd w:val="0"/>
        <w:spacing w:line="360" w:lineRule="auto"/>
        <w:ind w:left="420" w:firstLine="310"/>
        <w:rPr>
          <w:rFonts w:hint="eastAsia" w:ascii="宋体" w:hAnsi="宋体"/>
          <w:b/>
          <w:color w:val="auto"/>
          <w:highlight w:val="none"/>
        </w:rPr>
      </w:pPr>
      <w:r>
        <w:rPr>
          <w:rFonts w:hint="eastAsia" w:ascii="宋体" w:hAnsi="宋体"/>
          <w:b/>
          <w:color w:val="auto"/>
          <w:highlight w:val="none"/>
        </w:rPr>
        <w:t xml:space="preserve">内容不得擅自删改，否则视为无效投标。 </w:t>
      </w:r>
    </w:p>
    <w:p w14:paraId="4E857A7C">
      <w:pPr>
        <w:ind w:left="480"/>
        <w:rPr>
          <w:rFonts w:hint="eastAsia" w:ascii="宋体"/>
          <w:color w:val="auto"/>
        </w:rPr>
      </w:pPr>
    </w:p>
    <w:p w14:paraId="6D4AC97A">
      <w:pPr>
        <w:adjustRightInd w:val="0"/>
        <w:snapToGrid w:val="0"/>
        <w:spacing w:line="480" w:lineRule="auto"/>
        <w:ind w:firstLine="420" w:firstLineChars="200"/>
        <w:rPr>
          <w:rFonts w:hint="eastAsia" w:ascii="宋体" w:hAnsi="宋体"/>
          <w:color w:val="auto"/>
          <w:u w:val="single"/>
        </w:rPr>
      </w:pPr>
      <w:r>
        <w:rPr>
          <w:rFonts w:hint="eastAsia"/>
          <w:color w:val="auto"/>
          <w:highlight w:val="none"/>
          <w:lang w:eastAsia="zh-CN"/>
        </w:rPr>
        <w:t>投标人</w:t>
      </w:r>
      <w:r>
        <w:rPr>
          <w:rFonts w:hint="eastAsia"/>
          <w:color w:val="auto"/>
          <w:highlight w:val="none"/>
        </w:rPr>
        <w:t>名称（加盖公章）</w:t>
      </w:r>
      <w:r>
        <w:rPr>
          <w:rFonts w:hint="eastAsia"/>
          <w:color w:val="auto"/>
          <w:spacing w:val="4"/>
        </w:rPr>
        <w:t>：</w:t>
      </w:r>
      <w:r>
        <w:rPr>
          <w:rFonts w:hint="eastAsia"/>
          <w:color w:val="auto"/>
          <w:spacing w:val="4"/>
          <w:u w:val="single"/>
        </w:rPr>
        <w:t xml:space="preserve">                             </w:t>
      </w:r>
    </w:p>
    <w:p w14:paraId="1A8F1958">
      <w:pPr>
        <w:adjustRightInd w:val="0"/>
        <w:snapToGrid w:val="0"/>
        <w:spacing w:line="480" w:lineRule="auto"/>
        <w:ind w:firstLine="432" w:firstLineChars="206"/>
        <w:rPr>
          <w:rFonts w:hint="eastAsia"/>
          <w:color w:val="auto"/>
          <w:spacing w:val="4"/>
          <w:u w:val="single"/>
        </w:rPr>
      </w:pPr>
      <w:r>
        <w:rPr>
          <w:rFonts w:hint="eastAsia" w:ascii="宋体" w:hAnsi="宋体"/>
          <w:color w:val="auto"/>
          <w:lang w:val="en-US" w:eastAsia="zh-CN"/>
        </w:rPr>
        <w:t>日期</w:t>
      </w:r>
      <w:r>
        <w:rPr>
          <w:rFonts w:hint="eastAsia" w:ascii="宋体" w:hAnsi="宋体"/>
          <w:color w:val="auto"/>
        </w:rPr>
        <w:t>：</w:t>
      </w:r>
      <w:r>
        <w:rPr>
          <w:color w:val="auto"/>
          <w:spacing w:val="4"/>
          <w:u w:val="single"/>
        </w:rPr>
        <w:t xml:space="preserve">         </w:t>
      </w:r>
    </w:p>
    <w:p w14:paraId="454A99D4">
      <w:pPr>
        <w:rPr>
          <w:rFonts w:hint="eastAsia" w:cs="Times New Roman"/>
          <w:b w:val="0"/>
          <w:color w:val="auto"/>
        </w:rPr>
      </w:pPr>
      <w:bookmarkStart w:id="198" w:name="_Toc275865606"/>
      <w:r>
        <w:rPr>
          <w:rFonts w:hint="eastAsia" w:cs="Times New Roman"/>
          <w:b w:val="0"/>
          <w:color w:val="auto"/>
        </w:rPr>
        <w:br w:type="page"/>
      </w:r>
    </w:p>
    <w:p w14:paraId="50DBB0A5">
      <w:pPr>
        <w:numPr>
          <w:ilvl w:val="0"/>
          <w:numId w:val="60"/>
        </w:numPr>
        <w:spacing w:line="440" w:lineRule="exact"/>
        <w:rPr>
          <w:rFonts w:hint="eastAsia" w:cs="Times New Roman"/>
          <w:b w:val="0"/>
          <w:color w:val="auto"/>
        </w:rPr>
      </w:pPr>
    </w:p>
    <w:p w14:paraId="483D5C44">
      <w:pPr>
        <w:pStyle w:val="4"/>
        <w:adjustRightInd w:val="0"/>
        <w:snapToGrid w:val="0"/>
        <w:spacing w:before="156" w:beforeLines="50" w:after="156" w:afterLines="50" w:line="360" w:lineRule="auto"/>
        <w:jc w:val="center"/>
        <w:rPr>
          <w:rFonts w:hint="eastAsia" w:cs="Times New Roman"/>
          <w:b w:val="0"/>
          <w:color w:val="auto"/>
        </w:rPr>
      </w:pPr>
      <w:r>
        <w:rPr>
          <w:rFonts w:hint="eastAsia" w:cs="Times New Roman"/>
          <w:b w:val="0"/>
          <w:color w:val="auto"/>
        </w:rPr>
        <w:t>投标人资格声明函</w:t>
      </w:r>
      <w:bookmarkEnd w:id="198"/>
    </w:p>
    <w:p w14:paraId="72D46285">
      <w:pPr>
        <w:keepNext w:val="0"/>
        <w:keepLines w:val="0"/>
        <w:pageBreakBefore w:val="0"/>
        <w:widowControl w:val="0"/>
        <w:kinsoku/>
        <w:wordWrap/>
        <w:overflowPunct/>
        <w:topLinePunct w:val="0"/>
        <w:autoSpaceDE/>
        <w:autoSpaceDN/>
        <w:bidi w:val="0"/>
        <w:snapToGrid/>
        <w:spacing w:line="360" w:lineRule="auto"/>
        <w:textAlignment w:val="auto"/>
        <w:rPr>
          <w:rFonts w:hint="eastAsia"/>
          <w:b/>
          <w:color w:val="auto"/>
        </w:rPr>
      </w:pPr>
      <w:r>
        <w:rPr>
          <w:rFonts w:hint="eastAsia"/>
          <w:b/>
          <w:color w:val="auto"/>
        </w:rPr>
        <w:t>广东中采招标有限公司：</w:t>
      </w:r>
    </w:p>
    <w:p w14:paraId="6403B3D1">
      <w:pPr>
        <w:keepNext w:val="0"/>
        <w:keepLines w:val="0"/>
        <w:pageBreakBefore w:val="0"/>
        <w:widowControl w:val="0"/>
        <w:kinsoku/>
        <w:wordWrap/>
        <w:overflowPunct/>
        <w:topLinePunct w:val="0"/>
        <w:autoSpaceDE/>
        <w:autoSpaceDN/>
        <w:bidi w:val="0"/>
        <w:snapToGrid/>
        <w:spacing w:line="300" w:lineRule="auto"/>
        <w:ind w:firstLine="424" w:firstLineChars="202"/>
        <w:textAlignment w:val="auto"/>
        <w:rPr>
          <w:rFonts w:hint="eastAsia" w:ascii="宋体" w:hAnsi="宋体"/>
          <w:color w:val="auto"/>
          <w:highlight w:val="none"/>
        </w:rPr>
      </w:pPr>
      <w:r>
        <w:rPr>
          <w:rFonts w:hint="eastAsia" w:ascii="宋体" w:hAnsi="宋体"/>
          <w:color w:val="auto"/>
        </w:rPr>
        <w:t>关于贵公司</w:t>
      </w:r>
      <w:r>
        <w:rPr>
          <w:rFonts w:hint="eastAsia" w:ascii="宋体" w:hAnsi="宋体"/>
          <w:color w:val="auto"/>
          <w:u w:val="single"/>
        </w:rPr>
        <w:t>　　　</w:t>
      </w:r>
      <w:r>
        <w:rPr>
          <w:rFonts w:hint="eastAsia" w:ascii="宋体" w:hAnsi="宋体"/>
          <w:color w:val="auto"/>
        </w:rPr>
        <w:t>年</w:t>
      </w:r>
      <w:r>
        <w:rPr>
          <w:rFonts w:hint="eastAsia" w:ascii="宋体" w:hAnsi="宋体"/>
          <w:color w:val="auto"/>
          <w:u w:val="single"/>
        </w:rPr>
        <w:t>　　</w:t>
      </w:r>
      <w:r>
        <w:rPr>
          <w:rFonts w:hint="eastAsia" w:ascii="宋体" w:hAnsi="宋体"/>
          <w:color w:val="auto"/>
        </w:rPr>
        <w:t>月</w:t>
      </w:r>
      <w:r>
        <w:rPr>
          <w:rFonts w:hint="eastAsia" w:ascii="宋体" w:hAnsi="宋体"/>
          <w:color w:val="auto"/>
          <w:u w:val="single"/>
        </w:rPr>
        <w:t>　　</w:t>
      </w:r>
      <w:r>
        <w:rPr>
          <w:rFonts w:hint="eastAsia" w:ascii="宋体" w:hAnsi="宋体"/>
          <w:color w:val="auto"/>
        </w:rPr>
        <w:t>日发布</w:t>
      </w:r>
      <w:r>
        <w:rPr>
          <w:rFonts w:ascii="宋体" w:hAnsi="宋体"/>
          <w:color w:val="auto"/>
          <w:u w:val="single"/>
        </w:rPr>
        <w:t xml:space="preserve">                  </w:t>
      </w:r>
      <w:r>
        <w:rPr>
          <w:rFonts w:hint="eastAsia" w:ascii="宋体" w:hAnsi="宋体"/>
          <w:color w:val="auto"/>
        </w:rPr>
        <w:t>项目（项目编号：</w:t>
      </w:r>
      <w:r>
        <w:rPr>
          <w:rFonts w:hint="eastAsia" w:ascii="宋体" w:hAnsi="宋体"/>
          <w:color w:val="auto"/>
          <w:lang w:eastAsia="zh-CN"/>
        </w:rPr>
        <w:t xml:space="preserve">JG2025(SS)XZ0008 </w:t>
      </w:r>
      <w:r>
        <w:rPr>
          <w:rFonts w:hint="eastAsia" w:ascii="宋体" w:hAnsi="宋体"/>
          <w:color w:val="auto"/>
        </w:rPr>
        <w:t>）的采购公告，本公司</w:t>
      </w:r>
      <w:r>
        <w:rPr>
          <w:rFonts w:hint="eastAsia" w:ascii="宋体" w:hAnsi="宋体"/>
          <w:color w:val="auto"/>
          <w:highlight w:val="none"/>
        </w:rPr>
        <w:t>（企业）愿意参加投标，并声明：</w:t>
      </w:r>
    </w:p>
    <w:p w14:paraId="71BC880C">
      <w:pPr>
        <w:keepNext w:val="0"/>
        <w:keepLines w:val="0"/>
        <w:pageBreakBefore w:val="0"/>
        <w:widowControl w:val="0"/>
        <w:numPr>
          <w:ilvl w:val="0"/>
          <w:numId w:val="0"/>
        </w:numPr>
        <w:kinsoku/>
        <w:wordWrap/>
        <w:overflowPunct/>
        <w:topLinePunct w:val="0"/>
        <w:autoSpaceDE/>
        <w:autoSpaceDN/>
        <w:bidi w:val="0"/>
        <w:adjustRightInd w:val="0"/>
        <w:snapToGrid/>
        <w:spacing w:line="300" w:lineRule="auto"/>
        <w:ind w:left="0" w:leftChars="0" w:firstLine="420" w:firstLineChars="200"/>
        <w:textAlignment w:val="auto"/>
        <w:rPr>
          <w:rFonts w:hint="eastAsia" w:ascii="宋体" w:hAnsi="宋体" w:cs="Arial"/>
          <w:color w:val="auto"/>
          <w:szCs w:val="21"/>
          <w:highlight w:val="none"/>
        </w:rPr>
      </w:pPr>
      <w:r>
        <w:rPr>
          <w:rFonts w:hint="eastAsia" w:ascii="宋体" w:hAnsi="宋体" w:eastAsia="宋体" w:cs="Arial"/>
          <w:color w:val="auto"/>
          <w:kern w:val="2"/>
          <w:sz w:val="21"/>
          <w:szCs w:val="21"/>
          <w:lang w:val="en-US" w:eastAsia="zh-CN" w:bidi="ar-SA"/>
        </w:rPr>
        <w:t>一、</w:t>
      </w:r>
      <w:r>
        <w:rPr>
          <w:rFonts w:hint="eastAsia" w:ascii="宋体" w:hAnsi="宋体"/>
          <w:color w:val="auto"/>
          <w:highlight w:val="none"/>
        </w:rPr>
        <w:t>本公司（企业）</w:t>
      </w:r>
      <w:r>
        <w:rPr>
          <w:rFonts w:hint="eastAsia" w:ascii="宋体" w:hAnsi="宋体" w:cs="Arial"/>
          <w:color w:val="auto"/>
          <w:szCs w:val="21"/>
          <w:highlight w:val="none"/>
        </w:rPr>
        <w:t>具备</w:t>
      </w:r>
      <w:r>
        <w:rPr>
          <w:rFonts w:hint="eastAsia" w:ascii="宋体" w:hAnsi="宋体" w:cs="Arial"/>
          <w:color w:val="auto"/>
          <w:szCs w:val="21"/>
          <w:highlight w:val="none"/>
          <w:lang w:val="en-US" w:eastAsia="zh-CN"/>
        </w:rPr>
        <w:t>以下</w:t>
      </w:r>
      <w:r>
        <w:rPr>
          <w:rFonts w:hint="eastAsia" w:ascii="宋体" w:hAnsi="宋体" w:cs="Arial"/>
          <w:color w:val="auto"/>
          <w:szCs w:val="21"/>
          <w:highlight w:val="none"/>
        </w:rPr>
        <w:t>的条件：</w:t>
      </w:r>
    </w:p>
    <w:p w14:paraId="7814B5F0">
      <w:pPr>
        <w:keepNext w:val="0"/>
        <w:keepLines w:val="0"/>
        <w:pageBreakBefore w:val="0"/>
        <w:widowControl w:val="0"/>
        <w:kinsoku/>
        <w:wordWrap/>
        <w:overflowPunct/>
        <w:topLinePunct w:val="0"/>
        <w:autoSpaceDE/>
        <w:autoSpaceDN/>
        <w:bidi w:val="0"/>
        <w:adjustRightInd w:val="0"/>
        <w:snapToGrid/>
        <w:spacing w:line="300" w:lineRule="auto"/>
        <w:ind w:left="0" w:leftChars="0" w:firstLine="420" w:firstLineChars="200"/>
        <w:textAlignment w:val="auto"/>
        <w:rPr>
          <w:rFonts w:ascii="宋体" w:hAnsi="宋体" w:cs="Arial"/>
          <w:color w:val="auto"/>
          <w:szCs w:val="21"/>
          <w:highlight w:val="none"/>
        </w:rPr>
      </w:pPr>
      <w:r>
        <w:rPr>
          <w:rFonts w:hint="eastAsia" w:ascii="宋体" w:hAnsi="宋体" w:cs="Arial"/>
          <w:color w:val="auto"/>
          <w:szCs w:val="21"/>
          <w:highlight w:val="none"/>
        </w:rPr>
        <w:t>（1）具有独立承担民事责任的能力；</w:t>
      </w:r>
    </w:p>
    <w:p w14:paraId="7FAE611C">
      <w:pPr>
        <w:keepNext w:val="0"/>
        <w:keepLines w:val="0"/>
        <w:pageBreakBefore w:val="0"/>
        <w:widowControl w:val="0"/>
        <w:kinsoku/>
        <w:wordWrap/>
        <w:overflowPunct/>
        <w:topLinePunct w:val="0"/>
        <w:autoSpaceDE/>
        <w:autoSpaceDN/>
        <w:bidi w:val="0"/>
        <w:adjustRightInd w:val="0"/>
        <w:snapToGrid/>
        <w:spacing w:line="300" w:lineRule="auto"/>
        <w:ind w:left="0" w:leftChars="0" w:firstLine="420" w:firstLineChars="200"/>
        <w:textAlignment w:val="auto"/>
        <w:rPr>
          <w:rFonts w:ascii="宋体" w:hAnsi="宋体" w:cs="Arial"/>
          <w:color w:val="auto"/>
          <w:szCs w:val="21"/>
          <w:highlight w:val="none"/>
        </w:rPr>
      </w:pPr>
      <w:r>
        <w:rPr>
          <w:rFonts w:hint="eastAsia" w:ascii="宋体" w:hAnsi="宋体" w:cs="Arial"/>
          <w:color w:val="auto"/>
          <w:szCs w:val="21"/>
          <w:highlight w:val="none"/>
        </w:rPr>
        <w:t>（2）具有良好的商业信誉和健全的财务会计制度；</w:t>
      </w:r>
    </w:p>
    <w:p w14:paraId="6E9E06B6">
      <w:pPr>
        <w:keepNext w:val="0"/>
        <w:keepLines w:val="0"/>
        <w:pageBreakBefore w:val="0"/>
        <w:widowControl w:val="0"/>
        <w:kinsoku/>
        <w:wordWrap/>
        <w:overflowPunct/>
        <w:topLinePunct w:val="0"/>
        <w:autoSpaceDE/>
        <w:autoSpaceDN/>
        <w:bidi w:val="0"/>
        <w:adjustRightInd w:val="0"/>
        <w:snapToGrid/>
        <w:spacing w:line="300" w:lineRule="auto"/>
        <w:ind w:left="0" w:leftChars="0" w:firstLine="420" w:firstLineChars="200"/>
        <w:textAlignment w:val="auto"/>
        <w:rPr>
          <w:rFonts w:ascii="宋体" w:hAnsi="宋体" w:cs="Arial"/>
          <w:color w:val="auto"/>
          <w:szCs w:val="21"/>
          <w:highlight w:val="none"/>
        </w:rPr>
      </w:pPr>
      <w:r>
        <w:rPr>
          <w:rFonts w:hint="eastAsia" w:ascii="宋体" w:hAnsi="宋体" w:cs="Arial"/>
          <w:color w:val="auto"/>
          <w:szCs w:val="21"/>
          <w:highlight w:val="none"/>
        </w:rPr>
        <w:t>（3）具有履行合同所必需的设备和专业技术能力；</w:t>
      </w:r>
    </w:p>
    <w:p w14:paraId="013E17BF">
      <w:pPr>
        <w:keepNext w:val="0"/>
        <w:keepLines w:val="0"/>
        <w:pageBreakBefore w:val="0"/>
        <w:widowControl w:val="0"/>
        <w:kinsoku/>
        <w:wordWrap/>
        <w:overflowPunct/>
        <w:topLinePunct w:val="0"/>
        <w:autoSpaceDE/>
        <w:autoSpaceDN/>
        <w:bidi w:val="0"/>
        <w:adjustRightInd w:val="0"/>
        <w:snapToGrid/>
        <w:spacing w:line="300" w:lineRule="auto"/>
        <w:ind w:left="0" w:leftChars="0" w:firstLine="420" w:firstLineChars="200"/>
        <w:textAlignment w:val="auto"/>
        <w:rPr>
          <w:rFonts w:ascii="宋体" w:hAnsi="宋体" w:cs="Arial"/>
          <w:color w:val="auto"/>
          <w:szCs w:val="21"/>
          <w:highlight w:val="none"/>
        </w:rPr>
      </w:pPr>
      <w:r>
        <w:rPr>
          <w:rFonts w:hint="eastAsia" w:ascii="宋体" w:hAnsi="宋体" w:cs="Arial"/>
          <w:color w:val="auto"/>
          <w:szCs w:val="21"/>
          <w:highlight w:val="none"/>
        </w:rPr>
        <w:t>（4）有依法缴纳税收和社会保障资金的良好记录；</w:t>
      </w:r>
    </w:p>
    <w:p w14:paraId="5AFA16E9">
      <w:pPr>
        <w:keepNext w:val="0"/>
        <w:keepLines w:val="0"/>
        <w:pageBreakBefore w:val="0"/>
        <w:widowControl w:val="0"/>
        <w:kinsoku/>
        <w:wordWrap/>
        <w:overflowPunct/>
        <w:topLinePunct w:val="0"/>
        <w:autoSpaceDE/>
        <w:autoSpaceDN/>
        <w:bidi w:val="0"/>
        <w:adjustRightInd w:val="0"/>
        <w:snapToGrid/>
        <w:spacing w:line="300" w:lineRule="auto"/>
        <w:ind w:left="0" w:leftChars="0" w:firstLine="420" w:firstLineChars="200"/>
        <w:textAlignment w:val="auto"/>
        <w:rPr>
          <w:rFonts w:ascii="宋体" w:hAnsi="宋体" w:cs="Arial"/>
          <w:color w:val="auto"/>
          <w:szCs w:val="21"/>
          <w:highlight w:val="none"/>
        </w:rPr>
      </w:pPr>
      <w:r>
        <w:rPr>
          <w:rFonts w:hint="eastAsia" w:ascii="宋体" w:hAnsi="宋体" w:cs="Arial"/>
          <w:color w:val="auto"/>
          <w:szCs w:val="21"/>
          <w:highlight w:val="none"/>
        </w:rPr>
        <w:t>（5）参加政府采购活动前三年内，在经营活动中没有重大违法记录；</w:t>
      </w:r>
    </w:p>
    <w:p w14:paraId="448A74E0">
      <w:pPr>
        <w:keepNext w:val="0"/>
        <w:keepLines w:val="0"/>
        <w:pageBreakBefore w:val="0"/>
        <w:widowControl w:val="0"/>
        <w:kinsoku/>
        <w:wordWrap/>
        <w:overflowPunct/>
        <w:topLinePunct w:val="0"/>
        <w:autoSpaceDE/>
        <w:autoSpaceDN/>
        <w:bidi w:val="0"/>
        <w:adjustRightInd w:val="0"/>
        <w:snapToGrid/>
        <w:spacing w:line="300" w:lineRule="auto"/>
        <w:ind w:left="0" w:leftChars="0" w:firstLine="420" w:firstLineChars="200"/>
        <w:textAlignment w:val="auto"/>
        <w:rPr>
          <w:rFonts w:ascii="宋体" w:hAnsi="宋体" w:cs="Arial"/>
          <w:color w:val="auto"/>
          <w:szCs w:val="21"/>
          <w:highlight w:val="none"/>
        </w:rPr>
      </w:pPr>
      <w:r>
        <w:rPr>
          <w:rFonts w:hint="eastAsia" w:ascii="宋体" w:hAnsi="宋体" w:cs="Arial"/>
          <w:color w:val="auto"/>
          <w:szCs w:val="21"/>
          <w:highlight w:val="none"/>
        </w:rPr>
        <w:t>（6）法律、行政法规规定的其他条件。</w:t>
      </w:r>
    </w:p>
    <w:p w14:paraId="6F94DF80">
      <w:pPr>
        <w:keepNext w:val="0"/>
        <w:keepLines w:val="0"/>
        <w:pageBreakBefore w:val="0"/>
        <w:widowControl w:val="0"/>
        <w:numPr>
          <w:ilvl w:val="0"/>
          <w:numId w:val="0"/>
        </w:numPr>
        <w:kinsoku/>
        <w:wordWrap/>
        <w:overflowPunct/>
        <w:topLinePunct w:val="0"/>
        <w:autoSpaceDE/>
        <w:autoSpaceDN/>
        <w:bidi w:val="0"/>
        <w:adjustRightInd w:val="0"/>
        <w:snapToGrid/>
        <w:spacing w:line="300" w:lineRule="auto"/>
        <w:ind w:left="0" w:leftChars="0" w:firstLine="420" w:firstLineChars="200"/>
        <w:textAlignment w:val="auto"/>
        <w:rPr>
          <w:rFonts w:hint="eastAsia" w:ascii="宋体" w:hAnsi="宋体" w:cs="Arial"/>
          <w:color w:val="auto"/>
          <w:szCs w:val="21"/>
          <w:highlight w:val="none"/>
        </w:rPr>
      </w:pPr>
      <w:r>
        <w:rPr>
          <w:rFonts w:hint="eastAsia" w:ascii="宋体" w:hAnsi="宋体" w:eastAsia="宋体" w:cs="Arial"/>
          <w:color w:val="auto"/>
          <w:kern w:val="2"/>
          <w:sz w:val="21"/>
          <w:szCs w:val="21"/>
          <w:lang w:val="en-US" w:eastAsia="zh-CN" w:bidi="ar-SA"/>
        </w:rPr>
        <w:t>二、</w:t>
      </w:r>
      <w:r>
        <w:rPr>
          <w:rFonts w:hint="eastAsia" w:ascii="宋体" w:hAnsi="宋体"/>
          <w:color w:val="auto"/>
          <w:szCs w:val="21"/>
          <w:highlight w:val="none"/>
          <w:lang w:val="en-US" w:eastAsia="zh-CN"/>
        </w:rPr>
        <w:t>本</w:t>
      </w:r>
      <w:r>
        <w:rPr>
          <w:rFonts w:hint="eastAsia" w:ascii="宋体" w:hAnsi="宋体"/>
          <w:color w:val="auto"/>
          <w:highlight w:val="none"/>
        </w:rPr>
        <w:t>公司（企业）</w:t>
      </w:r>
      <w:r>
        <w:rPr>
          <w:rFonts w:hint="eastAsia" w:ascii="宋体" w:hAnsi="宋体" w:eastAsia="宋体"/>
          <w:color w:val="auto"/>
          <w:szCs w:val="21"/>
          <w:highlight w:val="none"/>
        </w:rPr>
        <w:t>承诺单位负责人为同一人或者存在直接控股、管理关系的不同供应商，不得同时参加本采购项目投标</w:t>
      </w:r>
      <w:r>
        <w:rPr>
          <w:rFonts w:hint="eastAsia" w:ascii="宋体" w:hAnsi="宋体"/>
          <w:color w:val="auto"/>
          <w:highlight w:val="none"/>
        </w:rPr>
        <w:t>。</w:t>
      </w:r>
    </w:p>
    <w:p w14:paraId="40CDC2F5">
      <w:pPr>
        <w:keepNext w:val="0"/>
        <w:keepLines w:val="0"/>
        <w:pageBreakBefore w:val="0"/>
        <w:widowControl w:val="0"/>
        <w:numPr>
          <w:ilvl w:val="0"/>
          <w:numId w:val="0"/>
        </w:numPr>
        <w:kinsoku/>
        <w:wordWrap/>
        <w:overflowPunct/>
        <w:topLinePunct w:val="0"/>
        <w:autoSpaceDE/>
        <w:autoSpaceDN/>
        <w:bidi w:val="0"/>
        <w:adjustRightInd w:val="0"/>
        <w:snapToGrid/>
        <w:spacing w:line="300" w:lineRule="auto"/>
        <w:ind w:left="0" w:leftChars="0" w:firstLine="420" w:firstLineChars="200"/>
        <w:textAlignment w:val="auto"/>
        <w:rPr>
          <w:rFonts w:ascii="宋体" w:hAnsi="宋体"/>
          <w:color w:val="auto"/>
          <w:highlight w:val="none"/>
        </w:rPr>
      </w:pPr>
      <w:r>
        <w:rPr>
          <w:rFonts w:ascii="宋体" w:hAnsi="宋体" w:eastAsia="宋体" w:cs="Times New Roman"/>
          <w:color w:val="auto"/>
          <w:kern w:val="2"/>
          <w:sz w:val="21"/>
          <w:szCs w:val="24"/>
          <w:lang w:val="en-US" w:eastAsia="zh-CN" w:bidi="ar-SA"/>
        </w:rPr>
        <w:t>三、</w:t>
      </w:r>
      <w:r>
        <w:rPr>
          <w:rFonts w:hint="eastAsia" w:ascii="宋体" w:hAnsi="宋体" w:cs="Arial"/>
          <w:color w:val="auto"/>
          <w:szCs w:val="21"/>
          <w:highlight w:val="none"/>
        </w:rPr>
        <w:t>根据</w:t>
      </w:r>
      <w:r>
        <w:rPr>
          <w:rFonts w:hint="eastAsia" w:ascii="宋体" w:hAnsi="宋体" w:cs="Arial"/>
          <w:color w:val="auto"/>
          <w:szCs w:val="21"/>
          <w:highlight w:val="none"/>
          <w:lang w:val="en-US" w:eastAsia="zh-CN"/>
        </w:rPr>
        <w:t>相关</w:t>
      </w:r>
      <w:r>
        <w:rPr>
          <w:rFonts w:hint="eastAsia" w:ascii="宋体" w:hAnsi="宋体"/>
          <w:color w:val="auto"/>
          <w:highlight w:val="none"/>
        </w:rPr>
        <w:t>规定，本公司（企业）如为本采购项目提供整体设计、规范编制或者项目管理、监理、检测等服务的供应商，不得再参加该采购项目的其他采购活动。否则，由此所造成的损失、不良后果及法律责任，一律由我公司（企业）承担。</w:t>
      </w:r>
    </w:p>
    <w:p w14:paraId="379C12B9">
      <w:pPr>
        <w:keepNext w:val="0"/>
        <w:keepLines w:val="0"/>
        <w:pageBreakBefore w:val="0"/>
        <w:widowControl w:val="0"/>
        <w:numPr>
          <w:ilvl w:val="0"/>
          <w:numId w:val="0"/>
        </w:numPr>
        <w:kinsoku/>
        <w:wordWrap/>
        <w:overflowPunct/>
        <w:topLinePunct w:val="0"/>
        <w:autoSpaceDE/>
        <w:autoSpaceDN/>
        <w:bidi w:val="0"/>
        <w:adjustRightInd w:val="0"/>
        <w:snapToGrid/>
        <w:spacing w:line="300" w:lineRule="auto"/>
        <w:ind w:left="0" w:leftChars="0" w:firstLine="420" w:firstLineChars="200"/>
        <w:textAlignment w:val="auto"/>
        <w:rPr>
          <w:rFonts w:ascii="宋体" w:hAnsi="宋体"/>
          <w:color w:val="auto"/>
          <w:highlight w:val="none"/>
        </w:rPr>
      </w:pPr>
      <w:r>
        <w:rPr>
          <w:rFonts w:ascii="宋体" w:hAnsi="宋体" w:eastAsia="宋体" w:cs="Times New Roman"/>
          <w:color w:val="auto"/>
          <w:kern w:val="2"/>
          <w:sz w:val="21"/>
          <w:szCs w:val="24"/>
          <w:lang w:val="en-US" w:eastAsia="zh-CN" w:bidi="ar-SA"/>
        </w:rPr>
        <w:t>四、</w:t>
      </w:r>
      <w:r>
        <w:rPr>
          <w:rFonts w:hint="eastAsia" w:ascii="宋体" w:hAnsi="宋体"/>
          <w:color w:val="auto"/>
          <w:highlight w:val="none"/>
        </w:rPr>
        <w:t>本公司（企业）</w:t>
      </w:r>
      <w:r>
        <w:rPr>
          <w:rFonts w:ascii="宋体" w:hAnsi="宋体"/>
          <w:color w:val="auto"/>
          <w:highlight w:val="none"/>
        </w:rPr>
        <w:t>具有履行合同所必需的设备和专业技术能力</w:t>
      </w:r>
      <w:r>
        <w:rPr>
          <w:rFonts w:hint="eastAsia" w:ascii="宋体" w:hAnsi="宋体"/>
          <w:color w:val="auto"/>
          <w:highlight w:val="none"/>
        </w:rPr>
        <w:t>，且本公司（企业）参加政府采购活动前</w:t>
      </w:r>
      <w:r>
        <w:rPr>
          <w:rFonts w:ascii="宋体" w:hAnsi="宋体"/>
          <w:color w:val="auto"/>
          <w:highlight w:val="none"/>
        </w:rPr>
        <w:t>3</w:t>
      </w:r>
      <w:r>
        <w:rPr>
          <w:rFonts w:hint="eastAsia" w:ascii="宋体" w:hAnsi="宋体"/>
          <w:color w:val="auto"/>
          <w:highlight w:val="none"/>
        </w:rPr>
        <w:t>年内在经营活动中没有重大违法记录（或因违法经营被禁止参加政府采购活动的期限已届满），未被法院列为失信被执行人。否则，由此所造成的损失、不良后果及法律责任，一律由我公司（企业）承担。</w:t>
      </w:r>
    </w:p>
    <w:p w14:paraId="2539034C">
      <w:pPr>
        <w:keepNext w:val="0"/>
        <w:keepLines w:val="0"/>
        <w:pageBreakBefore w:val="0"/>
        <w:widowControl w:val="0"/>
        <w:kinsoku/>
        <w:wordWrap/>
        <w:overflowPunct/>
        <w:topLinePunct w:val="0"/>
        <w:autoSpaceDE/>
        <w:autoSpaceDN/>
        <w:bidi w:val="0"/>
        <w:adjustRightInd w:val="0"/>
        <w:snapToGrid/>
        <w:spacing w:line="300" w:lineRule="auto"/>
        <w:ind w:left="0" w:leftChars="0" w:firstLine="420" w:firstLineChars="200"/>
        <w:textAlignment w:val="auto"/>
        <w:rPr>
          <w:rFonts w:ascii="宋体" w:hAnsi="宋体"/>
          <w:color w:val="auto"/>
          <w:highlight w:val="none"/>
        </w:rPr>
      </w:pPr>
      <w:r>
        <w:rPr>
          <w:rFonts w:hint="eastAsia" w:ascii="宋体" w:hAnsi="宋体"/>
          <w:color w:val="auto"/>
          <w:highlight w:val="none"/>
        </w:rPr>
        <w:t>本次招标采购活动中，如有违法、违规、弄虚作假行为，所造成的损失、不良后果及法律责任，一律由我公司（企业）承担。</w:t>
      </w:r>
    </w:p>
    <w:p w14:paraId="27718382">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ind w:firstLine="420"/>
        <w:textAlignment w:val="auto"/>
        <w:rPr>
          <w:rFonts w:hint="eastAsia"/>
          <w:color w:val="auto"/>
          <w:highlight w:val="none"/>
        </w:rPr>
      </w:pPr>
      <w:r>
        <w:rPr>
          <w:rFonts w:hint="eastAsia"/>
          <w:color w:val="auto"/>
          <w:highlight w:val="none"/>
        </w:rPr>
        <w:t>特此声明！</w:t>
      </w:r>
    </w:p>
    <w:p w14:paraId="6FE38D01">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auto"/>
        <w:ind w:left="0" w:leftChars="0" w:firstLine="402" w:firstLineChars="200"/>
        <w:textAlignment w:val="auto"/>
        <w:rPr>
          <w:rFonts w:hint="eastAsia" w:ascii="宋体" w:hAnsi="宋体"/>
          <w:b/>
          <w:color w:val="auto"/>
          <w:sz w:val="20"/>
          <w:szCs w:val="22"/>
          <w:highlight w:val="none"/>
        </w:rPr>
      </w:pPr>
      <w:r>
        <w:rPr>
          <w:rFonts w:hint="default" w:ascii="宋体" w:hAnsi="宋体" w:eastAsia="宋体" w:cs="Times New Roman"/>
          <w:b/>
          <w:color w:val="auto"/>
          <w:kern w:val="2"/>
          <w:sz w:val="20"/>
          <w:szCs w:val="22"/>
          <w:lang w:val="en-US" w:eastAsia="zh-CN" w:bidi="ar-SA"/>
        </w:rPr>
        <w:t>备注：1.</w:t>
      </w:r>
      <w:r>
        <w:rPr>
          <w:rFonts w:hint="eastAsia" w:ascii="宋体" w:hAnsi="宋体"/>
          <w:b/>
          <w:color w:val="auto"/>
          <w:sz w:val="20"/>
          <w:szCs w:val="22"/>
          <w:highlight w:val="none"/>
        </w:rPr>
        <w:t>本投标人资格声明函内容不得擅自删改，否则视为无效投标</w:t>
      </w:r>
      <w:r>
        <w:rPr>
          <w:rFonts w:hint="eastAsia" w:ascii="宋体" w:hAnsi="宋体"/>
          <w:b/>
          <w:color w:val="auto"/>
          <w:sz w:val="20"/>
          <w:szCs w:val="22"/>
          <w:highlight w:val="none"/>
          <w:lang w:eastAsia="zh-CN"/>
        </w:rPr>
        <w:t>；</w:t>
      </w:r>
      <w:r>
        <w:rPr>
          <w:rFonts w:hint="default" w:ascii="宋体" w:hAnsi="宋体" w:eastAsia="宋体" w:cs="Times New Roman"/>
          <w:b/>
          <w:color w:val="auto"/>
          <w:kern w:val="2"/>
          <w:sz w:val="20"/>
          <w:szCs w:val="22"/>
          <w:lang w:val="en-US" w:eastAsia="zh-CN" w:bidi="ar-SA"/>
        </w:rPr>
        <w:t>2.</w:t>
      </w:r>
      <w:r>
        <w:rPr>
          <w:rFonts w:hint="eastAsia" w:ascii="宋体" w:hAnsi="宋体"/>
          <w:b/>
          <w:color w:val="auto"/>
          <w:sz w:val="20"/>
          <w:szCs w:val="22"/>
          <w:highlight w:val="none"/>
        </w:rPr>
        <w:t>重大违法记录</w:t>
      </w:r>
      <w:r>
        <w:rPr>
          <w:rFonts w:hint="eastAsia" w:ascii="宋体" w:hAnsi="宋体"/>
          <w:b/>
          <w:color w:val="auto"/>
          <w:sz w:val="20"/>
          <w:szCs w:val="22"/>
          <w:highlight w:val="none"/>
          <w:lang w:eastAsia="zh-CN"/>
        </w:rPr>
        <w:t>：</w:t>
      </w:r>
      <w:r>
        <w:rPr>
          <w:rFonts w:hint="eastAsia" w:ascii="宋体" w:hAnsi="宋体"/>
          <w:b/>
          <w:color w:val="auto"/>
          <w:sz w:val="20"/>
          <w:szCs w:val="22"/>
          <w:highlight w:val="none"/>
        </w:rPr>
        <w:t>是指报价人因违法经营受到刑事处罚或者责令停产停业、吊销许可证或者执照、较大数额罚款等行政处罚</w:t>
      </w:r>
      <w:r>
        <w:rPr>
          <w:rFonts w:hint="eastAsia" w:ascii="宋体" w:hAnsi="宋体"/>
          <w:b/>
          <w:color w:val="auto"/>
          <w:sz w:val="20"/>
          <w:szCs w:val="22"/>
          <w:highlight w:val="none"/>
          <w:lang w:eastAsia="zh-CN"/>
        </w:rPr>
        <w:t>（</w:t>
      </w:r>
      <w:r>
        <w:rPr>
          <w:rFonts w:hint="eastAsia" w:ascii="宋体" w:hAnsi="宋体"/>
          <w:b/>
          <w:color w:val="auto"/>
          <w:sz w:val="20"/>
          <w:szCs w:val="22"/>
          <w:highlight w:val="none"/>
        </w:rPr>
        <w:t>根据财库</w:t>
      </w:r>
      <w:r>
        <w:rPr>
          <w:rFonts w:hint="eastAsia" w:ascii="宋体" w:hAnsi="宋体"/>
          <w:b/>
          <w:color w:val="auto"/>
          <w:sz w:val="20"/>
          <w:szCs w:val="22"/>
          <w:highlight w:val="none"/>
          <w:lang w:eastAsia="zh-CN"/>
        </w:rPr>
        <w:t>（</w:t>
      </w:r>
      <w:r>
        <w:rPr>
          <w:rFonts w:hint="eastAsia" w:ascii="宋体" w:hAnsi="宋体"/>
          <w:b/>
          <w:color w:val="auto"/>
          <w:sz w:val="20"/>
          <w:szCs w:val="22"/>
          <w:highlight w:val="none"/>
        </w:rPr>
        <w:t>2023</w:t>
      </w:r>
      <w:r>
        <w:rPr>
          <w:rFonts w:hint="eastAsia" w:ascii="宋体" w:hAnsi="宋体"/>
          <w:b/>
          <w:color w:val="auto"/>
          <w:sz w:val="20"/>
          <w:szCs w:val="22"/>
          <w:highlight w:val="none"/>
          <w:lang w:eastAsia="zh-CN"/>
        </w:rPr>
        <w:t>）</w:t>
      </w:r>
      <w:r>
        <w:rPr>
          <w:rFonts w:hint="eastAsia" w:ascii="宋体" w:hAnsi="宋体"/>
          <w:b/>
          <w:color w:val="auto"/>
          <w:sz w:val="20"/>
          <w:szCs w:val="22"/>
          <w:highlight w:val="none"/>
        </w:rPr>
        <w:t>3号文，“较大数额罚款”认定为200万元以上的罚款，法律、行政法规以及国务院有关部门明确规定相关领域“较大数额罚款”标准高于200万元的，从其规定</w:t>
      </w:r>
      <w:r>
        <w:rPr>
          <w:rFonts w:hint="eastAsia" w:ascii="宋体" w:hAnsi="宋体"/>
          <w:b/>
          <w:color w:val="auto"/>
          <w:sz w:val="20"/>
          <w:szCs w:val="22"/>
          <w:highlight w:val="none"/>
          <w:lang w:eastAsia="zh-CN"/>
        </w:rPr>
        <w:t>）</w:t>
      </w:r>
      <w:r>
        <w:rPr>
          <w:rFonts w:hint="eastAsia" w:ascii="宋体" w:hAnsi="宋体"/>
          <w:b/>
          <w:color w:val="auto"/>
          <w:sz w:val="20"/>
          <w:szCs w:val="22"/>
          <w:highlight w:val="none"/>
        </w:rPr>
        <w:t>。</w:t>
      </w:r>
    </w:p>
    <w:p w14:paraId="7805B69E">
      <w:pPr>
        <w:spacing w:line="360" w:lineRule="auto"/>
        <w:ind w:firstLine="420"/>
        <w:rPr>
          <w:rFonts w:hint="eastAsia"/>
          <w:color w:val="auto"/>
          <w:highlight w:val="none"/>
          <w:lang w:eastAsia="zh-CN"/>
        </w:rPr>
      </w:pPr>
    </w:p>
    <w:p w14:paraId="723ABC38">
      <w:pPr>
        <w:spacing w:line="360" w:lineRule="auto"/>
        <w:ind w:firstLine="420"/>
        <w:rPr>
          <w:rFonts w:hint="eastAsia"/>
          <w:color w:val="auto"/>
          <w:highlight w:val="none"/>
        </w:rPr>
      </w:pPr>
      <w:r>
        <w:rPr>
          <w:rFonts w:hint="eastAsia"/>
          <w:color w:val="auto"/>
          <w:highlight w:val="none"/>
          <w:lang w:eastAsia="zh-CN"/>
        </w:rPr>
        <w:t>投标人</w:t>
      </w:r>
      <w:r>
        <w:rPr>
          <w:rFonts w:hint="eastAsia"/>
          <w:color w:val="auto"/>
          <w:highlight w:val="none"/>
        </w:rPr>
        <w:t>名称（加盖公章）：　　　　　　　　　　　　　　　　</w:t>
      </w:r>
    </w:p>
    <w:p w14:paraId="0AB55E2E">
      <w:pPr>
        <w:spacing w:line="360" w:lineRule="auto"/>
        <w:ind w:firstLine="420"/>
        <w:rPr>
          <w:rFonts w:hint="eastAsia"/>
          <w:color w:val="auto"/>
          <w:highlight w:val="none"/>
        </w:rPr>
      </w:pPr>
      <w:r>
        <w:rPr>
          <w:rFonts w:hint="eastAsia"/>
          <w:color w:val="auto"/>
          <w:highlight w:val="none"/>
        </w:rPr>
        <w:t>日期：</w:t>
      </w:r>
    </w:p>
    <w:p w14:paraId="6B7DBF1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p>
    <w:p w14:paraId="699113C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附件：</w:t>
      </w:r>
    </w:p>
    <w:p w14:paraId="6841218A">
      <w:pPr>
        <w:keepNext w:val="0"/>
        <w:keepLines w:val="0"/>
        <w:pageBreakBefore w:val="0"/>
        <w:numPr>
          <w:ilvl w:val="0"/>
          <w:numId w:val="6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rPr>
        <w:t>在中华人民共和国境内注册的法人或其他组织或自然人，</w:t>
      </w:r>
      <w:r>
        <w:rPr>
          <w:rFonts w:hint="eastAsia" w:ascii="宋体" w:hAnsi="宋体" w:eastAsia="宋体" w:cs="宋体"/>
          <w:bCs/>
          <w:color w:val="auto"/>
          <w:sz w:val="21"/>
          <w:szCs w:val="21"/>
          <w:highlight w:val="none"/>
          <w:lang w:eastAsia="zh-CN"/>
        </w:rPr>
        <w:t>投标时提供有效的营业执照</w:t>
      </w:r>
      <w:r>
        <w:rPr>
          <w:rFonts w:hint="eastAsia" w:ascii="宋体" w:hAnsi="宋体" w:eastAsia="宋体" w:cs="宋体"/>
          <w:bCs/>
          <w:color w:val="auto"/>
          <w:sz w:val="21"/>
          <w:szCs w:val="21"/>
          <w:highlight w:val="none"/>
        </w:rPr>
        <w:t>（或事业法人登记证或身份证等相关证明） 副本复印件，如投标人为自然人的需提供自然人身份证明复印件；</w:t>
      </w:r>
    </w:p>
    <w:p w14:paraId="1A6DE4AD">
      <w:pPr>
        <w:keepNext w:val="0"/>
        <w:keepLines w:val="0"/>
        <w:pageBreakBefore w:val="0"/>
        <w:numPr>
          <w:ilvl w:val="0"/>
          <w:numId w:val="6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财务会计制度情况，须提供下列任一项证明材料：</w:t>
      </w:r>
    </w:p>
    <w:p w14:paraId="626BFBA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①</w:t>
      </w:r>
      <w:r>
        <w:rPr>
          <w:rFonts w:hint="eastAsia" w:ascii="宋体" w:hAnsi="宋体" w:eastAsia="宋体" w:cs="宋体"/>
          <w:color w:val="auto"/>
          <w:szCs w:val="21"/>
          <w:highlight w:val="none"/>
        </w:rPr>
        <w:t>提供2024年度的财务状况报告，财务状况报告须由第三方会计师事务所出具，并能清晰显示第三方会计师事务所的印章和注册会计师签字盖章，且能反映审计结论；</w:t>
      </w:r>
    </w:p>
    <w:p w14:paraId="5F06A1A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②</w:t>
      </w:r>
      <w:r>
        <w:rPr>
          <w:rFonts w:hint="eastAsia" w:ascii="宋体" w:hAnsi="宋体" w:eastAsia="宋体" w:cs="宋体"/>
          <w:color w:val="auto"/>
          <w:szCs w:val="21"/>
          <w:highlight w:val="none"/>
        </w:rPr>
        <w:t>基本开户银行出具投标截止前6个月内（含投标截止当月，并往前顺推）任意1个月的资信证明，并同时提供基本开户银行的《开户许可证》或《基本存款账户信息》（公户账户主档）或其他可证明资信证明为基本开户银行出具的相关证明资料，以上文件均需加盖银行印章。</w:t>
      </w:r>
    </w:p>
    <w:p w14:paraId="53290CB5">
      <w:pPr>
        <w:keepNext w:val="0"/>
        <w:keepLines w:val="0"/>
        <w:pageBreakBefore w:val="0"/>
        <w:numPr>
          <w:ilvl w:val="0"/>
          <w:numId w:val="6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提供投标截止日前6个月内（含投标截止时间当月）任意1个月依法缴纳税收和社会保障资金的相关材料。如依法免税或不需要缴纳社会保障资金的，提供相应证明材料</w:t>
      </w:r>
      <w:r>
        <w:rPr>
          <w:rFonts w:hint="eastAsia" w:ascii="宋体" w:hAnsi="宋体" w:eastAsia="宋体" w:cs="宋体"/>
          <w:color w:val="auto"/>
          <w:sz w:val="21"/>
          <w:szCs w:val="21"/>
          <w:highlight w:val="none"/>
        </w:rPr>
        <w:t>；</w:t>
      </w:r>
    </w:p>
    <w:p w14:paraId="4C5CEF4D">
      <w:pPr>
        <w:keepNext w:val="0"/>
        <w:keepLines w:val="0"/>
        <w:pageBreakBefore w:val="0"/>
        <w:numPr>
          <w:ilvl w:val="0"/>
          <w:numId w:val="6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未被列入“信用中国”网站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“记录失信被执行人或重大税收违法失信主体或政府采购严重违法失信行为”记录名单；不处于中国政府采购网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“政府采购严重违法失信行为信息记录”中的禁止参加政府采购活动期间【以采购代理机构于投标截止日当天在“信用中国”网站（www.creditchina.gov.cn）及中国政府采购网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查询结果为准，如相关失信记录已失效，供应商需提供相关证明资料】。</w:t>
      </w:r>
    </w:p>
    <w:p w14:paraId="7983345D">
      <w:pPr>
        <w:keepNext w:val="0"/>
        <w:keepLines w:val="0"/>
        <w:pageBreakBefore w:val="0"/>
        <w:numPr>
          <w:ilvl w:val="0"/>
          <w:numId w:val="6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须具有公安机关颁发的有效的《保安服务许可证》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若供应商为佛山市外的单位，参与本项目还须承诺：如在本项目中标，在开始提供保安服务之前取得服务所在地设区的市级（或以上）公安机关的备案回执【须</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lang w:eastAsia="zh-CN"/>
        </w:rPr>
        <w:t>有效的《保安服务许可证》证书复印件</w:t>
      </w:r>
      <w:r>
        <w:rPr>
          <w:rFonts w:hint="eastAsia" w:ascii="宋体" w:hAnsi="宋体" w:eastAsia="宋体" w:cs="宋体"/>
          <w:color w:val="auto"/>
          <w:sz w:val="21"/>
          <w:szCs w:val="21"/>
          <w:highlight w:val="none"/>
          <w:lang w:val="en-US" w:eastAsia="zh-CN"/>
        </w:rPr>
        <w:t>和针</w:t>
      </w:r>
      <w:r>
        <w:rPr>
          <w:rFonts w:hint="eastAsia" w:ascii="宋体" w:hAnsi="宋体" w:eastAsia="宋体" w:cs="宋体"/>
          <w:color w:val="auto"/>
          <w:sz w:val="21"/>
          <w:szCs w:val="21"/>
          <w:highlight w:val="none"/>
          <w:lang w:eastAsia="zh-CN"/>
        </w:rPr>
        <w:t>对本条款内容的承诺函（格式自拟）】。</w:t>
      </w:r>
    </w:p>
    <w:p w14:paraId="56153C45">
      <w:pPr>
        <w:keepNext w:val="0"/>
        <w:keepLines w:val="0"/>
        <w:pageBreakBefore w:val="0"/>
        <w:numPr>
          <w:ilvl w:val="0"/>
          <w:numId w:val="6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Cs w:val="21"/>
          <w:highlight w:val="none"/>
        </w:rPr>
      </w:pPr>
      <w:r>
        <w:rPr>
          <w:rFonts w:hint="eastAsia" w:ascii="宋体" w:hAnsi="宋体" w:eastAsia="宋体" w:cs="宋体"/>
          <w:bCs/>
          <w:color w:val="auto"/>
          <w:szCs w:val="20"/>
          <w:highlight w:val="none"/>
        </w:rPr>
        <w:t>其他</w:t>
      </w:r>
      <w:r>
        <w:rPr>
          <w:rFonts w:hint="eastAsia" w:ascii="宋体" w:hAnsi="宋体" w:eastAsia="宋体" w:cs="宋体"/>
          <w:bCs/>
          <w:color w:val="auto"/>
          <w:kern w:val="0"/>
          <w:szCs w:val="21"/>
          <w:highlight w:val="none"/>
        </w:rPr>
        <w:t>特殊条款。</w:t>
      </w:r>
    </w:p>
    <w:p w14:paraId="1BF381B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7462D11">
      <w:pPr>
        <w:numPr>
          <w:ilvl w:val="0"/>
          <w:numId w:val="60"/>
        </w:numPr>
        <w:spacing w:line="440" w:lineRule="exact"/>
        <w:rPr>
          <w:rFonts w:hint="eastAsia" w:ascii="宋体" w:hAnsi="宋体"/>
          <w:color w:val="auto"/>
          <w:szCs w:val="21"/>
        </w:rPr>
      </w:pPr>
      <w:r>
        <w:rPr>
          <w:rFonts w:hint="eastAsia" w:ascii="宋体" w:hAnsi="宋体"/>
          <w:color w:val="auto"/>
          <w:szCs w:val="21"/>
        </w:rPr>
        <w:t xml:space="preserve">    </w:t>
      </w:r>
    </w:p>
    <w:p w14:paraId="407D5DF7">
      <w:pPr>
        <w:pStyle w:val="4"/>
        <w:adjustRightInd w:val="0"/>
        <w:snapToGrid w:val="0"/>
        <w:spacing w:before="156" w:beforeLines="50" w:after="156" w:afterLines="50" w:line="360" w:lineRule="auto"/>
        <w:jc w:val="center"/>
        <w:rPr>
          <w:rFonts w:hint="eastAsia"/>
          <w:b w:val="0"/>
          <w:color w:val="auto"/>
        </w:rPr>
      </w:pPr>
      <w:bookmarkStart w:id="199" w:name="_Toc50737297"/>
      <w:bookmarkStart w:id="200" w:name="_Toc50737329"/>
      <w:bookmarkStart w:id="201" w:name="_Toc50736477"/>
      <w:bookmarkStart w:id="202" w:name="_Toc275865607"/>
      <w:bookmarkStart w:id="203" w:name="_Toc52165081"/>
      <w:bookmarkStart w:id="204" w:name="_Toc50737296"/>
      <w:bookmarkStart w:id="205" w:name="_Toc50737328"/>
      <w:bookmarkStart w:id="206" w:name="_Toc50736476"/>
      <w:bookmarkStart w:id="207" w:name="_Toc52165080"/>
      <w:bookmarkStart w:id="208" w:name="_Toc50691034"/>
      <w:r>
        <w:rPr>
          <w:rFonts w:hint="eastAsia"/>
          <w:b w:val="0"/>
          <w:color w:val="auto"/>
        </w:rPr>
        <w:t>法定代表人授权委托书</w:t>
      </w:r>
      <w:bookmarkEnd w:id="199"/>
      <w:bookmarkEnd w:id="200"/>
      <w:bookmarkEnd w:id="201"/>
      <w:bookmarkEnd w:id="202"/>
      <w:bookmarkEnd w:id="203"/>
    </w:p>
    <w:p w14:paraId="64791710">
      <w:pPr>
        <w:spacing w:line="360" w:lineRule="auto"/>
        <w:ind w:firstLine="420" w:firstLineChars="200"/>
        <w:rPr>
          <w:rFonts w:hint="eastAsia"/>
          <w:color w:val="auto"/>
        </w:rPr>
      </w:pPr>
      <w:r>
        <w:rPr>
          <w:rFonts w:hint="eastAsia"/>
          <w:color w:val="auto"/>
        </w:rPr>
        <w:t>本授权委托书声明：注册于</w:t>
      </w:r>
      <w:r>
        <w:rPr>
          <w:rFonts w:hint="eastAsia"/>
          <w:color w:val="auto"/>
          <w:u w:val="single"/>
        </w:rPr>
        <w:t xml:space="preserve"> （投标人地址）  </w:t>
      </w:r>
      <w:r>
        <w:rPr>
          <w:rFonts w:hint="eastAsia"/>
          <w:color w:val="auto"/>
        </w:rPr>
        <w:t>的</w:t>
      </w:r>
      <w:r>
        <w:rPr>
          <w:rFonts w:hint="eastAsia"/>
          <w:color w:val="auto"/>
          <w:u w:val="single"/>
        </w:rPr>
        <w:t xml:space="preserve">  （投标人名称）    </w:t>
      </w:r>
      <w:r>
        <w:rPr>
          <w:rFonts w:hint="eastAsia"/>
          <w:color w:val="auto"/>
        </w:rPr>
        <w:t>在下面签名的</w:t>
      </w:r>
      <w:r>
        <w:rPr>
          <w:rFonts w:hint="eastAsia"/>
          <w:color w:val="auto"/>
          <w:u w:val="single"/>
        </w:rPr>
        <w:t>（法定代表人姓名、职务）</w:t>
      </w:r>
      <w:r>
        <w:rPr>
          <w:rFonts w:hint="eastAsia"/>
          <w:color w:val="auto"/>
        </w:rPr>
        <w:t>在此授权</w:t>
      </w:r>
      <w:r>
        <w:rPr>
          <w:rFonts w:hint="eastAsia"/>
          <w:color w:val="auto"/>
          <w:u w:val="single"/>
        </w:rPr>
        <w:t>（被授权人姓名、职务）</w:t>
      </w:r>
      <w:r>
        <w:rPr>
          <w:rFonts w:hint="eastAsia"/>
          <w:color w:val="auto"/>
        </w:rPr>
        <w:t>作为我公司的合法代理人，就</w:t>
      </w:r>
      <w:r>
        <w:rPr>
          <w:rFonts w:hint="eastAsia"/>
          <w:color w:val="auto"/>
          <w:u w:val="single"/>
        </w:rPr>
        <w:t>（项目名称、项目编号</w:t>
      </w:r>
      <w:r>
        <w:rPr>
          <w:rFonts w:hint="eastAsia"/>
          <w:color w:val="auto"/>
        </w:rPr>
        <w:t>）的招投标活动，提交投标文件及采购合同的签订、执行、完成和售后服务，作为投标人代表以我方的名义处理一切与之有关的事务。</w:t>
      </w:r>
    </w:p>
    <w:p w14:paraId="184C420D">
      <w:pPr>
        <w:spacing w:line="360" w:lineRule="auto"/>
        <w:ind w:firstLine="420" w:firstLineChars="200"/>
        <w:rPr>
          <w:rFonts w:hint="eastAsia"/>
          <w:color w:val="auto"/>
        </w:rPr>
      </w:pPr>
      <w:r>
        <w:rPr>
          <w:rFonts w:hint="eastAsia"/>
          <w:color w:val="auto"/>
        </w:rPr>
        <w:t>被授权人（投标人授权代表）无转委托权限。</w:t>
      </w:r>
    </w:p>
    <w:p w14:paraId="2D4C1938">
      <w:pPr>
        <w:spacing w:line="360" w:lineRule="auto"/>
        <w:ind w:firstLine="420" w:firstLineChars="200"/>
        <w:rPr>
          <w:rFonts w:hint="eastAsia" w:ascii="宋体"/>
          <w:color w:val="auto"/>
          <w:highlight w:val="none"/>
        </w:rPr>
      </w:pPr>
      <w:r>
        <w:rPr>
          <w:rFonts w:hint="eastAsia" w:ascii="宋体"/>
          <w:color w:val="auto"/>
        </w:rPr>
        <w:t>本</w:t>
      </w:r>
      <w:r>
        <w:rPr>
          <w:rFonts w:hint="eastAsia" w:ascii="宋体"/>
          <w:color w:val="auto"/>
          <w:highlight w:val="none"/>
        </w:rPr>
        <w:t>授权书自法定代表人</w:t>
      </w:r>
      <w:r>
        <w:rPr>
          <w:rFonts w:hint="eastAsia" w:ascii="宋体"/>
          <w:color w:val="auto"/>
          <w:highlight w:val="none"/>
          <w:lang w:eastAsia="zh-CN"/>
        </w:rPr>
        <w:t>签名</w:t>
      </w:r>
      <w:r>
        <w:rPr>
          <w:rFonts w:hint="eastAsia" w:ascii="宋体"/>
          <w:color w:val="auto"/>
          <w:highlight w:val="none"/>
        </w:rPr>
        <w:t>之日起生效，特此声明。</w:t>
      </w:r>
    </w:p>
    <w:p w14:paraId="7F4292CF">
      <w:pPr>
        <w:spacing w:line="480" w:lineRule="auto"/>
        <w:ind w:left="2" w:leftChars="1" w:firstLine="1365" w:firstLineChars="650"/>
        <w:rPr>
          <w:rFonts w:hint="eastAsia" w:ascii="宋体" w:hAnsi="宋体"/>
          <w:color w:val="auto"/>
          <w:highlight w:val="none"/>
        </w:rPr>
      </w:pPr>
    </w:p>
    <w:p w14:paraId="0199EF85">
      <w:pPr>
        <w:spacing w:line="360" w:lineRule="auto"/>
        <w:rPr>
          <w:rFonts w:hint="eastAsia" w:ascii="宋体"/>
          <w:b/>
          <w:color w:val="auto"/>
          <w:highlight w:val="none"/>
        </w:rPr>
      </w:pPr>
      <w:r>
        <w:rPr>
          <w:rFonts w:hint="eastAsia" w:ascii="宋体"/>
          <w:b/>
          <w:color w:val="auto"/>
          <w:highlight w:val="none"/>
        </w:rPr>
        <w:t>随附《法定代表人证明》</w:t>
      </w:r>
    </w:p>
    <w:p w14:paraId="62F72D4A">
      <w:pPr>
        <w:spacing w:line="360" w:lineRule="auto"/>
        <w:rPr>
          <w:rFonts w:hint="eastAsia" w:ascii="宋体"/>
          <w:color w:val="auto"/>
          <w:highlight w:val="none"/>
        </w:rPr>
      </w:pPr>
    </w:p>
    <w:p w14:paraId="519BAA67">
      <w:pPr>
        <w:spacing w:line="360" w:lineRule="auto"/>
        <w:rPr>
          <w:rFonts w:hint="eastAsia" w:ascii="宋体"/>
          <w:color w:val="auto"/>
          <w:highlight w:val="none"/>
        </w:rPr>
      </w:pPr>
      <w:r>
        <w:rPr>
          <w:rFonts w:hint="eastAsia" w:ascii="宋体"/>
          <w:color w:val="auto"/>
          <w:highlight w:val="none"/>
        </w:rPr>
        <w:t>投标人名称（加</w:t>
      </w:r>
      <w:r>
        <w:rPr>
          <w:rFonts w:hint="eastAsia" w:ascii="宋体" w:hAnsi="宋体"/>
          <w:color w:val="auto"/>
          <w:highlight w:val="none"/>
        </w:rPr>
        <w:t>盖</w:t>
      </w:r>
      <w:r>
        <w:rPr>
          <w:rFonts w:hint="eastAsia" w:ascii="宋体"/>
          <w:color w:val="auto"/>
          <w:highlight w:val="none"/>
        </w:rPr>
        <w:t>公章）：</w:t>
      </w:r>
    </w:p>
    <w:p w14:paraId="31A801F3">
      <w:pPr>
        <w:spacing w:line="360" w:lineRule="auto"/>
        <w:rPr>
          <w:rFonts w:ascii="宋体"/>
          <w:color w:val="auto"/>
          <w:highlight w:val="none"/>
        </w:rPr>
      </w:pPr>
      <w:r>
        <w:rPr>
          <w:rFonts w:hint="eastAsia" w:ascii="宋体"/>
          <w:color w:val="auto"/>
          <w:highlight w:val="none"/>
        </w:rPr>
        <w:t>地      址：</w:t>
      </w:r>
    </w:p>
    <w:p w14:paraId="3496EDD8">
      <w:pPr>
        <w:tabs>
          <w:tab w:val="left" w:pos="3780"/>
        </w:tabs>
        <w:spacing w:line="360" w:lineRule="auto"/>
        <w:rPr>
          <w:rFonts w:hint="eastAsia" w:ascii="宋体"/>
          <w:color w:val="auto"/>
          <w:highlight w:val="none"/>
        </w:rPr>
      </w:pPr>
      <w:r>
        <w:rPr>
          <w:rFonts w:hint="eastAsia" w:ascii="宋体"/>
          <w:color w:val="auto"/>
          <w:highlight w:val="none"/>
        </w:rPr>
        <w:t>法定代表人（</w:t>
      </w:r>
      <w:r>
        <w:rPr>
          <w:rFonts w:hint="eastAsia" w:ascii="宋体" w:hAnsi="宋体"/>
          <w:color w:val="auto"/>
          <w:highlight w:val="none"/>
        </w:rPr>
        <w:t>签名或盖章</w:t>
      </w:r>
      <w:r>
        <w:rPr>
          <w:rFonts w:hint="eastAsia" w:ascii="宋体"/>
          <w:color w:val="auto"/>
          <w:highlight w:val="none"/>
        </w:rPr>
        <w:t xml:space="preserve">）：                         </w:t>
      </w:r>
    </w:p>
    <w:p w14:paraId="228C630F">
      <w:pPr>
        <w:tabs>
          <w:tab w:val="left" w:pos="3780"/>
        </w:tabs>
        <w:spacing w:line="360" w:lineRule="auto"/>
        <w:rPr>
          <w:rFonts w:hint="eastAsia" w:ascii="宋体"/>
          <w:color w:val="auto"/>
          <w:highlight w:val="none"/>
        </w:rPr>
      </w:pPr>
      <w:r>
        <w:rPr>
          <w:rFonts w:hint="eastAsia" w:ascii="宋体"/>
          <w:color w:val="auto"/>
          <w:highlight w:val="none"/>
          <w:lang w:eastAsia="zh-CN"/>
        </w:rPr>
        <w:t>签名</w:t>
      </w:r>
      <w:r>
        <w:rPr>
          <w:rFonts w:hint="eastAsia" w:ascii="宋体"/>
          <w:color w:val="auto"/>
          <w:highlight w:val="none"/>
        </w:rPr>
        <w:t>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6D66F8E">
      <w:pPr>
        <w:spacing w:line="360" w:lineRule="auto"/>
        <w:ind w:left="1159" w:leftChars="552" w:firstLine="2261"/>
        <w:rPr>
          <w:rFonts w:hint="eastAsia" w:ascii="宋体"/>
          <w:color w:val="auto"/>
        </w:rPr>
      </w:pPr>
    </w:p>
    <w:p w14:paraId="0DD3C29F">
      <w:pPr>
        <w:spacing w:line="360" w:lineRule="auto"/>
        <w:rPr>
          <w:rFonts w:hint="eastAsia" w:ascii="宋体"/>
          <w:color w:val="auto"/>
        </w:rPr>
      </w:pPr>
      <w:r>
        <w:rPr>
          <w:rFonts w:hint="eastAsia" w:ascii="宋体"/>
          <w:color w:val="auto"/>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217170</wp:posOffset>
                </wp:positionV>
                <wp:extent cx="2781300" cy="1639570"/>
                <wp:effectExtent l="4445" t="4445" r="14605" b="13335"/>
                <wp:wrapNone/>
                <wp:docPr id="8" name="矩形 8"/>
                <wp:cNvGraphicFramePr/>
                <a:graphic xmlns:a="http://schemas.openxmlformats.org/drawingml/2006/main">
                  <a:graphicData uri="http://schemas.microsoft.com/office/word/2010/wordprocessingShape">
                    <wps:wsp>
                      <wps:cNvSpPr/>
                      <wps:spPr>
                        <a:xfrm>
                          <a:off x="0" y="0"/>
                          <a:ext cx="2781300" cy="16395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2559D1">
                            <w:pPr>
                              <w:ind w:firstLine="1260" w:firstLineChars="600"/>
                              <w:rPr>
                                <w:rFonts w:hint="eastAsia"/>
                              </w:rPr>
                            </w:pPr>
                            <w:r>
                              <w:rPr>
                                <w:rFonts w:hint="eastAsia"/>
                              </w:rPr>
                              <w:t>被授权人（授权代表）</w:t>
                            </w:r>
                          </w:p>
                          <w:p w14:paraId="69E9611E">
                            <w:pPr>
                              <w:ind w:firstLine="1050" w:firstLineChars="500"/>
                            </w:pPr>
                            <w:r>
                              <w:rPr>
                                <w:rFonts w:hint="eastAsia"/>
                              </w:rPr>
                              <w:t>居民身份证复印件粘贴处</w:t>
                            </w:r>
                          </w:p>
                          <w:p w14:paraId="3F1DB9D8">
                            <w:pPr>
                              <w:ind w:firstLine="1050" w:firstLineChars="500"/>
                            </w:pPr>
                          </w:p>
                          <w:p w14:paraId="492D43F1">
                            <w:pPr>
                              <w:ind w:firstLine="1050" w:firstLineChars="500"/>
                              <w:rPr>
                                <w:rFonts w:hint="eastAsia"/>
                              </w:rPr>
                            </w:pPr>
                            <w:r>
                              <w:rPr>
                                <w:rFonts w:hint="eastAsia"/>
                              </w:rPr>
                              <w:t xml:space="preserve">       （反面</w:t>
                            </w:r>
                            <w:r>
                              <w:t>）</w:t>
                            </w:r>
                          </w:p>
                          <w:p w14:paraId="1AB369DE"/>
                        </w:txbxContent>
                      </wps:txbx>
                      <wps:bodyPr upright="1"/>
                    </wps:wsp>
                  </a:graphicData>
                </a:graphic>
              </wp:anchor>
            </w:drawing>
          </mc:Choice>
          <mc:Fallback>
            <w:pict>
              <v:rect id="_x0000_s1026" o:spid="_x0000_s1026" o:spt="1" style="position:absolute;left:0pt;margin-left:225.2pt;margin-top:17.1pt;height:129.1pt;width:219pt;z-index:251662336;mso-width-relative:page;mso-height-relative:page;" fillcolor="#FFFFFF" filled="t" stroked="t" coordsize="21600,21600" o:gfxdata="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iVjWA2AAAAAoBAAAPAAAAAAAAAAEAIAAAACIA&#10;AABkcnMvZG93bnJldi54bWxQSwECFAAUAAAACACHTuJAiI7iwgkCAAA4BAAADgAAAAAAAAABACAA&#10;AAAnAQAAZHJzL2Uyb0RvYy54bWxQSwUGAAAAAAYABgBZAQAAogUAAAAA&#10;">
                <v:fill on="t" focussize="0,0"/>
                <v:stroke color="#000000" joinstyle="miter"/>
                <v:imagedata o:title=""/>
                <o:lock v:ext="edit" aspectratio="f"/>
                <v:textbox>
                  <w:txbxContent>
                    <w:p w14:paraId="0C2559D1">
                      <w:pPr>
                        <w:ind w:firstLine="1260" w:firstLineChars="600"/>
                        <w:rPr>
                          <w:rFonts w:hint="eastAsia"/>
                        </w:rPr>
                      </w:pPr>
                      <w:r>
                        <w:rPr>
                          <w:rFonts w:hint="eastAsia"/>
                        </w:rPr>
                        <w:t>被授权人（授权代表）</w:t>
                      </w:r>
                    </w:p>
                    <w:p w14:paraId="69E9611E">
                      <w:pPr>
                        <w:ind w:firstLine="1050" w:firstLineChars="500"/>
                      </w:pPr>
                      <w:r>
                        <w:rPr>
                          <w:rFonts w:hint="eastAsia"/>
                        </w:rPr>
                        <w:t>居民身份证复印件粘贴处</w:t>
                      </w:r>
                    </w:p>
                    <w:p w14:paraId="3F1DB9D8">
                      <w:pPr>
                        <w:ind w:firstLine="1050" w:firstLineChars="500"/>
                      </w:pPr>
                    </w:p>
                    <w:p w14:paraId="492D43F1">
                      <w:pPr>
                        <w:ind w:firstLine="1050" w:firstLineChars="500"/>
                        <w:rPr>
                          <w:rFonts w:hint="eastAsia"/>
                        </w:rPr>
                      </w:pPr>
                      <w:r>
                        <w:rPr>
                          <w:rFonts w:hint="eastAsia"/>
                        </w:rPr>
                        <w:t xml:space="preserve">       （反面</w:t>
                      </w:r>
                      <w:r>
                        <w:t>）</w:t>
                      </w:r>
                    </w:p>
                    <w:p w14:paraId="1AB369DE"/>
                  </w:txbxContent>
                </v:textbox>
              </v:rect>
            </w:pict>
          </mc:Fallback>
        </mc:AlternateContent>
      </w:r>
      <w:r>
        <w:rPr>
          <w:rFonts w:ascii="宋体"/>
          <w:color w:val="auto"/>
          <w:sz w:val="20"/>
        </w:rP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217170</wp:posOffset>
                </wp:positionV>
                <wp:extent cx="2781300" cy="1639570"/>
                <wp:effectExtent l="4445" t="4445" r="14605" b="13335"/>
                <wp:wrapNone/>
                <wp:docPr id="1" name="矩形 1"/>
                <wp:cNvGraphicFramePr/>
                <a:graphic xmlns:a="http://schemas.openxmlformats.org/drawingml/2006/main">
                  <a:graphicData uri="http://schemas.microsoft.com/office/word/2010/wordprocessingShape">
                    <wps:wsp>
                      <wps:cNvSpPr/>
                      <wps:spPr>
                        <a:xfrm>
                          <a:off x="0" y="0"/>
                          <a:ext cx="2781300" cy="16395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88260D">
                            <w:pPr>
                              <w:ind w:firstLine="1260" w:firstLineChars="600"/>
                              <w:rPr>
                                <w:rFonts w:hint="eastAsia"/>
                              </w:rPr>
                            </w:pPr>
                            <w:r>
                              <w:rPr>
                                <w:rFonts w:hint="eastAsia"/>
                              </w:rPr>
                              <w:t>被授权人（授权代表）</w:t>
                            </w:r>
                          </w:p>
                          <w:p w14:paraId="159F2B5F">
                            <w:pPr>
                              <w:ind w:firstLine="1050" w:firstLineChars="500"/>
                              <w:rPr>
                                <w:rFonts w:hint="eastAsia"/>
                              </w:rPr>
                            </w:pPr>
                            <w:r>
                              <w:rPr>
                                <w:rFonts w:hint="eastAsia"/>
                              </w:rPr>
                              <w:t>居民身份证复印件粘贴处</w:t>
                            </w:r>
                          </w:p>
                          <w:p w14:paraId="52C4A8ED"/>
                          <w:p w14:paraId="3D5235E6">
                            <w:pPr>
                              <w:jc w:val="center"/>
                              <w:rPr>
                                <w:rFonts w:hint="eastAsia"/>
                              </w:rPr>
                            </w:pPr>
                            <w:r>
                              <w:rPr>
                                <w:rFonts w:hint="eastAsia"/>
                              </w:rPr>
                              <w:t>（正面</w:t>
                            </w:r>
                            <w:r>
                              <w:t>）</w:t>
                            </w:r>
                          </w:p>
                        </w:txbxContent>
                      </wps:txbx>
                      <wps:bodyPr upright="1"/>
                    </wps:wsp>
                  </a:graphicData>
                </a:graphic>
              </wp:anchor>
            </w:drawing>
          </mc:Choice>
          <mc:Fallback>
            <w:pict>
              <v:rect id="_x0000_s1026" o:spid="_x0000_s1026" o:spt="1" style="position:absolute;left:0pt;margin-left:2.45pt;margin-top:17.1pt;height:129.1pt;width:219pt;z-index:251661312;mso-width-relative:page;mso-height-relative:page;" fillcolor="#FFFFFF" filled="t" stroked="t" coordsize="21600,21600" o:gfxdata="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ORfitYAAAAIAQAADwAAAAAAAAABACAAAAAiAAAA&#10;ZHJzL2Rvd25yZXYueG1sUEsBAhQAFAAAAAgAh07iQN3HEgUJAgAAOAQAAA4AAAAAAAAAAQAgAAAA&#10;JQEAAGRycy9lMm9Eb2MueG1sUEsFBgAAAAAGAAYAWQEAAKAFAAAAAA==&#10;">
                <v:fill on="t" focussize="0,0"/>
                <v:stroke color="#000000" joinstyle="miter"/>
                <v:imagedata o:title=""/>
                <o:lock v:ext="edit" aspectratio="f"/>
                <v:textbox>
                  <w:txbxContent>
                    <w:p w14:paraId="0B88260D">
                      <w:pPr>
                        <w:ind w:firstLine="1260" w:firstLineChars="600"/>
                        <w:rPr>
                          <w:rFonts w:hint="eastAsia"/>
                        </w:rPr>
                      </w:pPr>
                      <w:r>
                        <w:rPr>
                          <w:rFonts w:hint="eastAsia"/>
                        </w:rPr>
                        <w:t>被授权人（授权代表）</w:t>
                      </w:r>
                    </w:p>
                    <w:p w14:paraId="159F2B5F">
                      <w:pPr>
                        <w:ind w:firstLine="1050" w:firstLineChars="500"/>
                        <w:rPr>
                          <w:rFonts w:hint="eastAsia"/>
                        </w:rPr>
                      </w:pPr>
                      <w:r>
                        <w:rPr>
                          <w:rFonts w:hint="eastAsia"/>
                        </w:rPr>
                        <w:t>居民身份证复印件粘贴处</w:t>
                      </w:r>
                    </w:p>
                    <w:p w14:paraId="52C4A8ED"/>
                    <w:p w14:paraId="3D5235E6">
                      <w:pPr>
                        <w:jc w:val="center"/>
                        <w:rPr>
                          <w:rFonts w:hint="eastAsia"/>
                        </w:rPr>
                      </w:pPr>
                      <w:r>
                        <w:rPr>
                          <w:rFonts w:hint="eastAsia"/>
                        </w:rPr>
                        <w:t>（正面</w:t>
                      </w:r>
                      <w:r>
                        <w:t>）</w:t>
                      </w:r>
                    </w:p>
                  </w:txbxContent>
                </v:textbox>
              </v:rect>
            </w:pict>
          </mc:Fallback>
        </mc:AlternateContent>
      </w:r>
    </w:p>
    <w:p w14:paraId="46DCFE64">
      <w:pPr>
        <w:spacing w:line="360" w:lineRule="auto"/>
        <w:rPr>
          <w:rFonts w:hint="eastAsia" w:ascii="宋体"/>
          <w:color w:val="auto"/>
        </w:rPr>
      </w:pPr>
    </w:p>
    <w:p w14:paraId="2E950D51">
      <w:pPr>
        <w:spacing w:line="360" w:lineRule="auto"/>
        <w:rPr>
          <w:rFonts w:hint="eastAsia" w:ascii="宋体"/>
          <w:color w:val="auto"/>
        </w:rPr>
      </w:pPr>
    </w:p>
    <w:p w14:paraId="2926E61E">
      <w:pPr>
        <w:spacing w:line="360" w:lineRule="auto"/>
        <w:rPr>
          <w:rFonts w:hint="eastAsia" w:ascii="宋体"/>
          <w:color w:val="auto"/>
        </w:rPr>
      </w:pPr>
    </w:p>
    <w:p w14:paraId="39722976">
      <w:pPr>
        <w:spacing w:line="360" w:lineRule="auto"/>
        <w:rPr>
          <w:rFonts w:hint="eastAsia" w:ascii="宋体"/>
          <w:color w:val="auto"/>
        </w:rPr>
      </w:pPr>
    </w:p>
    <w:p w14:paraId="70E648F3">
      <w:pPr>
        <w:spacing w:line="360" w:lineRule="auto"/>
        <w:rPr>
          <w:rFonts w:hint="eastAsia" w:ascii="宋体"/>
          <w:color w:val="auto"/>
        </w:rPr>
      </w:pPr>
    </w:p>
    <w:p w14:paraId="6E9F4EBD">
      <w:pPr>
        <w:spacing w:line="360" w:lineRule="auto"/>
        <w:rPr>
          <w:rFonts w:hint="eastAsia" w:ascii="宋体"/>
          <w:color w:val="auto"/>
        </w:rPr>
      </w:pPr>
    </w:p>
    <w:p w14:paraId="51674251">
      <w:pPr>
        <w:spacing w:line="360" w:lineRule="auto"/>
        <w:rPr>
          <w:rFonts w:hint="eastAsia" w:ascii="宋体"/>
          <w:color w:val="auto"/>
        </w:rPr>
      </w:pPr>
    </w:p>
    <w:p w14:paraId="2A615EE6">
      <w:pPr>
        <w:spacing w:line="440" w:lineRule="exact"/>
        <w:rPr>
          <w:rFonts w:ascii="宋体"/>
          <w:color w:val="auto"/>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209" w:name="_Toc226217114"/>
    </w:p>
    <w:bookmarkEnd w:id="209"/>
    <w:p w14:paraId="233AFA92">
      <w:pPr>
        <w:numPr>
          <w:ilvl w:val="0"/>
          <w:numId w:val="60"/>
        </w:numPr>
        <w:spacing w:line="440" w:lineRule="exact"/>
        <w:rPr>
          <w:rFonts w:hint="eastAsia" w:ascii="黑体" w:eastAsia="黑体"/>
          <w:color w:val="auto"/>
        </w:rPr>
      </w:pPr>
    </w:p>
    <w:p w14:paraId="5EF0525D">
      <w:pPr>
        <w:pStyle w:val="4"/>
        <w:adjustRightInd w:val="0"/>
        <w:snapToGrid w:val="0"/>
        <w:spacing w:before="156" w:beforeLines="50" w:after="156" w:afterLines="50" w:line="360" w:lineRule="auto"/>
        <w:jc w:val="center"/>
        <w:rPr>
          <w:rFonts w:hint="eastAsia"/>
          <w:b w:val="0"/>
          <w:color w:val="auto"/>
        </w:rPr>
      </w:pPr>
      <w:bookmarkStart w:id="210" w:name="_Toc275865608"/>
      <w:r>
        <w:rPr>
          <w:rFonts w:hint="eastAsia"/>
          <w:b w:val="0"/>
          <w:color w:val="auto"/>
        </w:rPr>
        <w:t>法定代表人证明书</w:t>
      </w:r>
      <w:bookmarkEnd w:id="204"/>
      <w:bookmarkEnd w:id="205"/>
      <w:bookmarkEnd w:id="206"/>
      <w:bookmarkEnd w:id="207"/>
      <w:bookmarkEnd w:id="208"/>
      <w:bookmarkEnd w:id="210"/>
    </w:p>
    <w:p w14:paraId="1A2D0BE7">
      <w:pPr>
        <w:tabs>
          <w:tab w:val="left" w:pos="900"/>
        </w:tabs>
        <w:spacing w:line="480" w:lineRule="auto"/>
        <w:ind w:firstLine="945" w:firstLineChars="450"/>
        <w:rPr>
          <w:rFonts w:hint="eastAsia" w:ascii="宋体" w:hAnsi="宋体"/>
          <w:color w:val="auto"/>
        </w:rPr>
      </w:pPr>
      <w:r>
        <w:rPr>
          <w:rFonts w:hint="eastAsia" w:ascii="宋体" w:hAnsi="宋体"/>
          <w:color w:val="auto"/>
        </w:rPr>
        <w:t>______________同志，现任我单位</w:t>
      </w:r>
      <w:r>
        <w:rPr>
          <w:rFonts w:ascii="宋体" w:hAnsi="宋体"/>
          <w:color w:val="auto"/>
          <w:u w:val="single"/>
        </w:rPr>
        <w:t xml:space="preserve">         </w:t>
      </w:r>
      <w:r>
        <w:rPr>
          <w:rFonts w:hint="eastAsia" w:ascii="宋体" w:hAnsi="宋体"/>
          <w:color w:val="auto"/>
        </w:rPr>
        <w:t>职务，为法定代表人，特此证明。</w:t>
      </w:r>
    </w:p>
    <w:p w14:paraId="58877A97">
      <w:pPr>
        <w:spacing w:line="480" w:lineRule="auto"/>
        <w:ind w:firstLine="420" w:firstLineChars="200"/>
        <w:rPr>
          <w:rFonts w:hint="eastAsia" w:ascii="宋体" w:hAnsi="宋体"/>
          <w:color w:val="auto"/>
        </w:rPr>
      </w:pPr>
      <w:r>
        <w:rPr>
          <w:rFonts w:hint="eastAsia" w:ascii="宋体" w:hAnsi="宋体"/>
          <w:color w:val="auto"/>
        </w:rPr>
        <w:t>有效日期与本公司投标文件中标注的投标有效期相同。签发日期：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r>
        <w:rPr>
          <w:rFonts w:ascii="宋体" w:hAnsi="宋体"/>
          <w:color w:val="auto"/>
        </w:rPr>
        <w:t xml:space="preserve">             </w:t>
      </w:r>
    </w:p>
    <w:p w14:paraId="5231FFA8">
      <w:pPr>
        <w:spacing w:line="480" w:lineRule="auto"/>
        <w:ind w:firstLine="420" w:firstLineChars="200"/>
        <w:rPr>
          <w:rFonts w:hint="eastAsia" w:ascii="宋体" w:hAnsi="宋体"/>
          <w:color w:val="auto"/>
        </w:rPr>
      </w:pPr>
      <w:r>
        <w:rPr>
          <w:rFonts w:hint="eastAsia" w:ascii="宋体" w:hAnsi="宋体"/>
          <w:color w:val="auto"/>
        </w:rPr>
        <w:t>附：</w:t>
      </w:r>
    </w:p>
    <w:p w14:paraId="04835D3A">
      <w:pPr>
        <w:spacing w:line="480" w:lineRule="auto"/>
        <w:ind w:firstLine="840" w:firstLineChars="400"/>
        <w:rPr>
          <w:rFonts w:hint="eastAsia" w:ascii="宋体" w:hAnsi="宋体"/>
          <w:color w:val="auto"/>
        </w:rPr>
      </w:pPr>
      <w:r>
        <w:rPr>
          <w:rFonts w:hint="eastAsia" w:ascii="宋体" w:hAnsi="宋体"/>
          <w:color w:val="auto"/>
        </w:rPr>
        <w:t xml:space="preserve">营业执照（注册号）：                       </w:t>
      </w:r>
    </w:p>
    <w:p w14:paraId="2A617E7D">
      <w:pPr>
        <w:spacing w:line="480" w:lineRule="auto"/>
        <w:ind w:firstLine="840" w:firstLineChars="400"/>
        <w:rPr>
          <w:rFonts w:hint="eastAsia" w:ascii="宋体" w:hAnsi="宋体"/>
          <w:color w:val="auto"/>
        </w:rPr>
      </w:pPr>
      <w:r>
        <w:rPr>
          <w:rFonts w:hint="eastAsia" w:ascii="宋体" w:hAnsi="宋体"/>
          <w:color w:val="auto"/>
        </w:rPr>
        <w:t>经济性质：</w:t>
      </w:r>
    </w:p>
    <w:p w14:paraId="481DD0B3">
      <w:pPr>
        <w:spacing w:line="480" w:lineRule="auto"/>
        <w:ind w:firstLine="840" w:firstLineChars="400"/>
        <w:rPr>
          <w:rFonts w:hint="eastAsia" w:ascii="宋体" w:hAnsi="宋体"/>
          <w:color w:val="auto"/>
        </w:rPr>
      </w:pPr>
      <w:r>
        <w:rPr>
          <w:rFonts w:hint="eastAsia" w:ascii="宋体" w:hAnsi="宋体"/>
          <w:color w:val="auto"/>
        </w:rPr>
        <w:t>经营范围：</w:t>
      </w:r>
    </w:p>
    <w:p w14:paraId="60FE6C7F">
      <w:pPr>
        <w:spacing w:line="480" w:lineRule="auto"/>
        <w:ind w:firstLine="843" w:firstLineChars="400"/>
        <w:rPr>
          <w:rFonts w:hint="eastAsia" w:ascii="宋体" w:hAnsi="宋体"/>
          <w:color w:val="auto"/>
          <w:sz w:val="24"/>
        </w:rPr>
      </w:pPr>
      <w:r>
        <w:rPr>
          <w:rFonts w:hint="eastAsia" w:ascii="宋体"/>
          <w:b/>
          <w:bCs/>
          <w:color w:val="auto"/>
        </w:rPr>
        <mc:AlternateContent>
          <mc:Choice Requires="wps">
            <w:drawing>
              <wp:anchor distT="0" distB="0" distL="114300" distR="114300" simplePos="0" relativeHeight="251664384" behindDoc="0" locked="0" layoutInCell="1" allowOverlap="1">
                <wp:simplePos x="0" y="0"/>
                <wp:positionH relativeFrom="column">
                  <wp:posOffset>3051175</wp:posOffset>
                </wp:positionH>
                <wp:positionV relativeFrom="paragraph">
                  <wp:posOffset>243840</wp:posOffset>
                </wp:positionV>
                <wp:extent cx="2743200" cy="1622425"/>
                <wp:effectExtent l="4445" t="4445" r="14605" b="11430"/>
                <wp:wrapNone/>
                <wp:docPr id="2" name="矩形 2"/>
                <wp:cNvGraphicFramePr/>
                <a:graphic xmlns:a="http://schemas.openxmlformats.org/drawingml/2006/main">
                  <a:graphicData uri="http://schemas.microsoft.com/office/word/2010/wordprocessingShape">
                    <wps:wsp>
                      <wps:cNvSpPr/>
                      <wps:spPr>
                        <a:xfrm>
                          <a:off x="0" y="0"/>
                          <a:ext cx="2743200" cy="1622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E13BD75">
                            <w:pPr>
                              <w:ind w:firstLine="840" w:firstLineChars="400"/>
                              <w:rPr>
                                <w:rFonts w:hint="eastAsia"/>
                              </w:rPr>
                            </w:pPr>
                          </w:p>
                          <w:p w14:paraId="40F83A4F">
                            <w:pPr>
                              <w:ind w:firstLine="1680" w:firstLineChars="800"/>
                              <w:rPr>
                                <w:rFonts w:hint="eastAsia"/>
                              </w:rPr>
                            </w:pPr>
                            <w:r>
                              <w:rPr>
                                <w:rFonts w:hint="eastAsia"/>
                              </w:rPr>
                              <w:t>法定代表人</w:t>
                            </w:r>
                          </w:p>
                          <w:p w14:paraId="44E0B971">
                            <w:pPr>
                              <w:ind w:firstLine="1050" w:firstLineChars="500"/>
                            </w:pPr>
                            <w:r>
                              <w:rPr>
                                <w:rFonts w:hint="eastAsia"/>
                              </w:rPr>
                              <w:t>居民身份证复印件粘贴处</w:t>
                            </w:r>
                          </w:p>
                          <w:p w14:paraId="4583A918">
                            <w:pPr>
                              <w:ind w:firstLine="1050" w:firstLineChars="500"/>
                            </w:pPr>
                          </w:p>
                          <w:p w14:paraId="2A2EFD57">
                            <w:pPr>
                              <w:ind w:firstLine="1050" w:firstLineChars="500"/>
                              <w:rPr>
                                <w:rFonts w:hint="eastAsia"/>
                              </w:rPr>
                            </w:pPr>
                            <w:r>
                              <w:rPr>
                                <w:rFonts w:hint="eastAsia"/>
                              </w:rPr>
                              <w:t xml:space="preserve">        （反面</w:t>
                            </w:r>
                            <w:r>
                              <w:t>）</w:t>
                            </w:r>
                          </w:p>
                        </w:txbxContent>
                      </wps:txbx>
                      <wps:bodyPr upright="1"/>
                    </wps:wsp>
                  </a:graphicData>
                </a:graphic>
              </wp:anchor>
            </w:drawing>
          </mc:Choice>
          <mc:Fallback>
            <w:pict>
              <v:rect id="_x0000_s1026" o:spid="_x0000_s1026" o:spt="1" style="position:absolute;left:0pt;margin-left:240.25pt;margin-top:19.2pt;height:127.75pt;width:216pt;z-index:251664384;mso-width-relative:page;mso-height-relative:page;" fillcolor="#FFFFFF" filled="t" stroked="t" coordsize="21600,21600" o:gfxdata="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9EraDYAAAACgEAAA8AAAAAAAAAAQAgAAAAIgAAAGRy&#10;cy9kb3ducmV2LnhtbFBLAQIUABQAAAAIAIdO4kBxz7fNBQIAADgEAAAOAAAAAAAAAAEAIAAAACcB&#10;AABkcnMvZTJvRG9jLnhtbFBLBQYAAAAABgAGAFkBAACeBQAAAAA=&#10;">
                <v:fill on="t" focussize="0,0"/>
                <v:stroke color="#000000" joinstyle="miter"/>
                <v:imagedata o:title=""/>
                <o:lock v:ext="edit" aspectratio="f"/>
                <v:textbox>
                  <w:txbxContent>
                    <w:p w14:paraId="7E13BD75">
                      <w:pPr>
                        <w:ind w:firstLine="840" w:firstLineChars="400"/>
                        <w:rPr>
                          <w:rFonts w:hint="eastAsia"/>
                        </w:rPr>
                      </w:pPr>
                    </w:p>
                    <w:p w14:paraId="40F83A4F">
                      <w:pPr>
                        <w:ind w:firstLine="1680" w:firstLineChars="800"/>
                        <w:rPr>
                          <w:rFonts w:hint="eastAsia"/>
                        </w:rPr>
                      </w:pPr>
                      <w:r>
                        <w:rPr>
                          <w:rFonts w:hint="eastAsia"/>
                        </w:rPr>
                        <w:t>法定代表人</w:t>
                      </w:r>
                    </w:p>
                    <w:p w14:paraId="44E0B971">
                      <w:pPr>
                        <w:ind w:firstLine="1050" w:firstLineChars="500"/>
                      </w:pPr>
                      <w:r>
                        <w:rPr>
                          <w:rFonts w:hint="eastAsia"/>
                        </w:rPr>
                        <w:t>居民身份证复印件粘贴处</w:t>
                      </w:r>
                    </w:p>
                    <w:p w14:paraId="4583A918">
                      <w:pPr>
                        <w:ind w:firstLine="1050" w:firstLineChars="500"/>
                      </w:pPr>
                    </w:p>
                    <w:p w14:paraId="2A2EFD57">
                      <w:pPr>
                        <w:ind w:firstLine="1050" w:firstLineChars="500"/>
                        <w:rPr>
                          <w:rFonts w:hint="eastAsia"/>
                        </w:rPr>
                      </w:pPr>
                      <w:r>
                        <w:rPr>
                          <w:rFonts w:hint="eastAsia"/>
                        </w:rPr>
                        <w:t xml:space="preserve">        （反面</w:t>
                      </w:r>
                      <w:r>
                        <w:t>）</w:t>
                      </w:r>
                    </w:p>
                  </w:txbxContent>
                </v:textbox>
              </v:rect>
            </w:pict>
          </mc:Fallback>
        </mc:AlternateContent>
      </w:r>
      <w:r>
        <w:rPr>
          <w:rFonts w:ascii="宋体" w:hAnsi="宋体"/>
          <w:color w:val="auto"/>
          <w:sz w:val="20"/>
        </w:rPr>
        <mc:AlternateContent>
          <mc:Choice Requires="wps">
            <w:drawing>
              <wp:anchor distT="0" distB="0" distL="114300" distR="114300" simplePos="0" relativeHeight="251663360" behindDoc="0" locked="0" layoutInCell="1" allowOverlap="1">
                <wp:simplePos x="0" y="0"/>
                <wp:positionH relativeFrom="column">
                  <wp:posOffset>271145</wp:posOffset>
                </wp:positionH>
                <wp:positionV relativeFrom="paragraph">
                  <wp:posOffset>243840</wp:posOffset>
                </wp:positionV>
                <wp:extent cx="2743200" cy="1622425"/>
                <wp:effectExtent l="4445" t="4445" r="14605" b="11430"/>
                <wp:wrapNone/>
                <wp:docPr id="4" name="矩形 4"/>
                <wp:cNvGraphicFramePr/>
                <a:graphic xmlns:a="http://schemas.openxmlformats.org/drawingml/2006/main">
                  <a:graphicData uri="http://schemas.microsoft.com/office/word/2010/wordprocessingShape">
                    <wps:wsp>
                      <wps:cNvSpPr/>
                      <wps:spPr>
                        <a:xfrm>
                          <a:off x="0" y="0"/>
                          <a:ext cx="2743200" cy="1622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44EDF9">
                            <w:pPr>
                              <w:ind w:firstLine="840" w:firstLineChars="400"/>
                              <w:rPr>
                                <w:rFonts w:hint="eastAsia"/>
                              </w:rPr>
                            </w:pPr>
                          </w:p>
                          <w:p w14:paraId="515B4959">
                            <w:pPr>
                              <w:ind w:firstLine="1680" w:firstLineChars="800"/>
                              <w:rPr>
                                <w:rFonts w:hint="eastAsia"/>
                              </w:rPr>
                            </w:pPr>
                            <w:r>
                              <w:rPr>
                                <w:rFonts w:hint="eastAsia"/>
                              </w:rPr>
                              <w:t>法定代表人</w:t>
                            </w:r>
                          </w:p>
                          <w:p w14:paraId="3C8C543C">
                            <w:pPr>
                              <w:ind w:firstLine="1050" w:firstLineChars="500"/>
                            </w:pPr>
                            <w:r>
                              <w:rPr>
                                <w:rFonts w:hint="eastAsia"/>
                              </w:rPr>
                              <w:t>居民身份证复印件粘贴处</w:t>
                            </w:r>
                          </w:p>
                          <w:p w14:paraId="3B9751CE">
                            <w:pPr>
                              <w:ind w:firstLine="1050" w:firstLineChars="500"/>
                              <w:rPr>
                                <w:rFonts w:hint="eastAsia"/>
                              </w:rPr>
                            </w:pPr>
                            <w:r>
                              <w:rPr>
                                <w:rFonts w:hint="eastAsia"/>
                              </w:rPr>
                              <w:t xml:space="preserve"> </w:t>
                            </w:r>
                          </w:p>
                          <w:p w14:paraId="6D848337">
                            <w:pPr>
                              <w:ind w:firstLine="1050" w:firstLineChars="500"/>
                              <w:rPr>
                                <w:rFonts w:hint="eastAsia"/>
                              </w:rPr>
                            </w:pPr>
                            <w:r>
                              <w:t xml:space="preserve">       </w:t>
                            </w:r>
                            <w:r>
                              <w:rPr>
                                <w:rFonts w:hint="eastAsia"/>
                              </w:rPr>
                              <w:t>（正面</w:t>
                            </w:r>
                            <w:r>
                              <w:t>）</w:t>
                            </w:r>
                          </w:p>
                        </w:txbxContent>
                      </wps:txbx>
                      <wps:bodyPr upright="1"/>
                    </wps:wsp>
                  </a:graphicData>
                </a:graphic>
              </wp:anchor>
            </w:drawing>
          </mc:Choice>
          <mc:Fallback>
            <w:pict>
              <v:rect id="_x0000_s1026" o:spid="_x0000_s1026" o:spt="1" style="position:absolute;left:0pt;margin-left:21.35pt;margin-top:19.2pt;height:127.75pt;width:216pt;z-index:251663360;mso-width-relative:page;mso-height-relative:page;" fillcolor="#FFFFFF" filled="t" stroked="t" coordsize="21600,21600" o:gfxdata="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uImszYAAAACQEAAA8AAAAAAAAAAQAgAAAAIgAAAGRy&#10;cy9kb3ducmV2LnhtbFBLAQIUABQAAAAIAIdO4kDSSqdbBQIAADgEAAAOAAAAAAAAAAEAIAAAACcB&#10;AABkcnMvZTJvRG9jLnhtbFBLBQYAAAAABgAGAFkBAACeBQAAAAA=&#10;">
                <v:fill on="t" focussize="0,0"/>
                <v:stroke color="#000000" joinstyle="miter"/>
                <v:imagedata o:title=""/>
                <o:lock v:ext="edit" aspectratio="f"/>
                <v:textbox>
                  <w:txbxContent>
                    <w:p w14:paraId="0C44EDF9">
                      <w:pPr>
                        <w:ind w:firstLine="840" w:firstLineChars="400"/>
                        <w:rPr>
                          <w:rFonts w:hint="eastAsia"/>
                        </w:rPr>
                      </w:pPr>
                    </w:p>
                    <w:p w14:paraId="515B4959">
                      <w:pPr>
                        <w:ind w:firstLine="1680" w:firstLineChars="800"/>
                        <w:rPr>
                          <w:rFonts w:hint="eastAsia"/>
                        </w:rPr>
                      </w:pPr>
                      <w:r>
                        <w:rPr>
                          <w:rFonts w:hint="eastAsia"/>
                        </w:rPr>
                        <w:t>法定代表人</w:t>
                      </w:r>
                    </w:p>
                    <w:p w14:paraId="3C8C543C">
                      <w:pPr>
                        <w:ind w:firstLine="1050" w:firstLineChars="500"/>
                      </w:pPr>
                      <w:r>
                        <w:rPr>
                          <w:rFonts w:hint="eastAsia"/>
                        </w:rPr>
                        <w:t>居民身份证复印件粘贴处</w:t>
                      </w:r>
                    </w:p>
                    <w:p w14:paraId="3B9751CE">
                      <w:pPr>
                        <w:ind w:firstLine="1050" w:firstLineChars="500"/>
                        <w:rPr>
                          <w:rFonts w:hint="eastAsia"/>
                        </w:rPr>
                      </w:pPr>
                      <w:r>
                        <w:rPr>
                          <w:rFonts w:hint="eastAsia"/>
                        </w:rPr>
                        <w:t xml:space="preserve"> </w:t>
                      </w:r>
                    </w:p>
                    <w:p w14:paraId="6D848337">
                      <w:pPr>
                        <w:ind w:firstLine="1050" w:firstLineChars="500"/>
                        <w:rPr>
                          <w:rFonts w:hint="eastAsia"/>
                        </w:rPr>
                      </w:pPr>
                      <w:r>
                        <w:t xml:space="preserve">       </w:t>
                      </w:r>
                      <w:r>
                        <w:rPr>
                          <w:rFonts w:hint="eastAsia"/>
                        </w:rPr>
                        <w:t>（正面</w:t>
                      </w:r>
                      <w:r>
                        <w:t>）</w:t>
                      </w:r>
                    </w:p>
                  </w:txbxContent>
                </v:textbox>
              </v:rect>
            </w:pict>
          </mc:Fallback>
        </mc:AlternateContent>
      </w:r>
    </w:p>
    <w:p w14:paraId="03E9641F">
      <w:pPr>
        <w:spacing w:line="500" w:lineRule="exact"/>
        <w:rPr>
          <w:rFonts w:hint="eastAsia" w:ascii="宋体"/>
          <w:b/>
          <w:bCs/>
          <w:color w:val="auto"/>
        </w:rPr>
      </w:pPr>
    </w:p>
    <w:p w14:paraId="1273423D">
      <w:pPr>
        <w:spacing w:line="500" w:lineRule="exact"/>
        <w:rPr>
          <w:rFonts w:hint="eastAsia" w:ascii="宋体"/>
          <w:b/>
          <w:bCs/>
          <w:color w:val="auto"/>
        </w:rPr>
      </w:pPr>
    </w:p>
    <w:p w14:paraId="359399CF">
      <w:pPr>
        <w:spacing w:line="500" w:lineRule="exact"/>
        <w:rPr>
          <w:rFonts w:hint="eastAsia" w:ascii="宋体"/>
          <w:b/>
          <w:bCs/>
          <w:color w:val="auto"/>
        </w:rPr>
      </w:pPr>
    </w:p>
    <w:p w14:paraId="31568A1B">
      <w:pPr>
        <w:spacing w:line="500" w:lineRule="exact"/>
        <w:rPr>
          <w:rFonts w:hint="eastAsia" w:ascii="宋体"/>
          <w:b/>
          <w:bCs/>
          <w:color w:val="auto"/>
        </w:rPr>
      </w:pPr>
    </w:p>
    <w:p w14:paraId="15342637">
      <w:pPr>
        <w:spacing w:line="500" w:lineRule="exact"/>
        <w:rPr>
          <w:rFonts w:hint="eastAsia" w:ascii="宋体"/>
          <w:b/>
          <w:bCs/>
          <w:color w:val="auto"/>
        </w:rPr>
      </w:pPr>
    </w:p>
    <w:p w14:paraId="61873650">
      <w:pPr>
        <w:spacing w:line="500" w:lineRule="exact"/>
        <w:rPr>
          <w:rFonts w:hint="eastAsia" w:ascii="宋体"/>
          <w:b/>
          <w:bCs/>
          <w:color w:val="auto"/>
        </w:rPr>
      </w:pPr>
    </w:p>
    <w:p w14:paraId="3705D3AC">
      <w:pPr>
        <w:spacing w:line="500" w:lineRule="exact"/>
        <w:rPr>
          <w:rFonts w:hint="eastAsia" w:ascii="宋体"/>
          <w:b/>
          <w:bCs/>
          <w:color w:val="auto"/>
        </w:rPr>
      </w:pPr>
      <w:r>
        <w:rPr>
          <w:rFonts w:hint="eastAsia" w:ascii="宋体"/>
          <w:b/>
          <w:bCs/>
          <w:color w:val="auto"/>
        </w:rPr>
        <w:t xml:space="preserve">                         </w:t>
      </w:r>
    </w:p>
    <w:p w14:paraId="02408A81">
      <w:pPr>
        <w:spacing w:line="500" w:lineRule="exact"/>
        <w:rPr>
          <w:rFonts w:hint="eastAsia" w:ascii="宋体" w:hAnsi="宋体"/>
          <w:color w:val="auto"/>
        </w:rPr>
      </w:pPr>
      <w:r>
        <w:rPr>
          <w:rFonts w:hint="eastAsia" w:ascii="宋体"/>
          <w:b/>
          <w:bCs/>
          <w:color w:val="auto"/>
        </w:rPr>
        <w:t xml:space="preserve">                                           </w:t>
      </w:r>
      <w:r>
        <w:rPr>
          <w:rFonts w:hint="eastAsia" w:ascii="宋体" w:hAnsi="宋体"/>
          <w:color w:val="auto"/>
        </w:rPr>
        <w:t>投标人名称</w:t>
      </w:r>
      <w:r>
        <w:rPr>
          <w:rFonts w:hint="eastAsia" w:ascii="宋体" w:hAnsi="宋体"/>
          <w:color w:val="auto"/>
          <w:lang w:eastAsia="zh-CN"/>
        </w:rPr>
        <w:t>（</w:t>
      </w:r>
      <w:r>
        <w:rPr>
          <w:rFonts w:hint="eastAsia" w:ascii="宋体" w:hAnsi="宋体"/>
          <w:color w:val="auto"/>
        </w:rPr>
        <w:t>加盖公章</w:t>
      </w:r>
      <w:r>
        <w:rPr>
          <w:rFonts w:hint="eastAsia" w:ascii="宋体" w:hAnsi="宋体"/>
          <w:color w:val="auto"/>
          <w:lang w:eastAsia="zh-CN"/>
        </w:rPr>
        <w:t>）</w:t>
      </w:r>
      <w:r>
        <w:rPr>
          <w:rFonts w:hint="eastAsia" w:ascii="宋体" w:hAnsi="宋体"/>
          <w:color w:val="auto"/>
        </w:rPr>
        <w:t>：</w:t>
      </w:r>
    </w:p>
    <w:p w14:paraId="4B9C7370">
      <w:pPr>
        <w:spacing w:line="500" w:lineRule="exact"/>
        <w:rPr>
          <w:rFonts w:hint="eastAsia" w:ascii="宋体" w:hAnsi="宋体"/>
          <w:color w:val="auto"/>
        </w:rPr>
      </w:pPr>
      <w:r>
        <w:rPr>
          <w:rFonts w:hint="eastAsia" w:ascii="宋体" w:hAnsi="宋体"/>
          <w:color w:val="auto"/>
        </w:rPr>
        <w:t xml:space="preserve">                                           地址：</w:t>
      </w:r>
    </w:p>
    <w:p w14:paraId="1C8A5FD9">
      <w:pPr>
        <w:spacing w:line="500" w:lineRule="exact"/>
        <w:rPr>
          <w:rFonts w:hint="eastAsia" w:ascii="宋体"/>
          <w:b/>
          <w:bCs/>
          <w:color w:val="auto"/>
        </w:rPr>
      </w:pPr>
      <w:r>
        <w:rPr>
          <w:rFonts w:hint="eastAsia" w:ascii="宋体" w:hAnsi="宋体"/>
          <w:color w:val="auto"/>
        </w:rPr>
        <w:t xml:space="preserve">                                           日期：</w:t>
      </w:r>
    </w:p>
    <w:p w14:paraId="2A00C805">
      <w:pPr>
        <w:numPr>
          <w:ilvl w:val="0"/>
          <w:numId w:val="60"/>
        </w:numPr>
        <w:spacing w:line="440" w:lineRule="exact"/>
        <w:rPr>
          <w:rFonts w:hint="eastAsia" w:ascii="黑体" w:eastAsia="黑体"/>
          <w:bCs/>
          <w:color w:val="auto"/>
          <w:sz w:val="28"/>
        </w:rPr>
      </w:pPr>
      <w:r>
        <w:rPr>
          <w:rFonts w:ascii="宋体"/>
          <w:b/>
          <w:bCs/>
          <w:color w:val="auto"/>
        </w:rPr>
        <w:br w:type="page"/>
      </w:r>
      <w:r>
        <w:rPr>
          <w:rFonts w:hint="eastAsia" w:ascii="宋体"/>
          <w:b/>
          <w:bCs/>
          <w:color w:val="auto"/>
        </w:rPr>
        <w:t xml:space="preserve">   </w:t>
      </w:r>
    </w:p>
    <w:p w14:paraId="21BE8C85">
      <w:pPr>
        <w:pStyle w:val="4"/>
        <w:adjustRightInd w:val="0"/>
        <w:snapToGrid w:val="0"/>
        <w:spacing w:before="156" w:beforeLines="50" w:after="156" w:afterLines="50" w:line="360" w:lineRule="auto"/>
        <w:jc w:val="center"/>
        <w:rPr>
          <w:rFonts w:hint="eastAsia" w:eastAsia="黑体"/>
          <w:b w:val="0"/>
          <w:color w:val="auto"/>
          <w:lang w:eastAsia="zh-CN"/>
        </w:rPr>
      </w:pPr>
      <w:r>
        <w:rPr>
          <w:rFonts w:hint="eastAsia"/>
          <w:b w:val="0"/>
          <w:color w:val="auto"/>
        </w:rPr>
        <w:t>开标一览表</w:t>
      </w:r>
      <w:r>
        <w:rPr>
          <w:rFonts w:hint="eastAsia"/>
          <w:b w:val="0"/>
          <w:color w:val="auto"/>
          <w:lang w:eastAsia="zh-CN"/>
        </w:rPr>
        <w:t>（</w:t>
      </w:r>
      <w:r>
        <w:rPr>
          <w:rFonts w:hint="eastAsia"/>
          <w:b w:val="0"/>
          <w:color w:val="auto"/>
        </w:rPr>
        <w:t>报价表</w:t>
      </w:r>
      <w:r>
        <w:rPr>
          <w:rFonts w:hint="eastAsia"/>
          <w:b w:val="0"/>
          <w:color w:val="auto"/>
          <w:lang w:eastAsia="zh-CN"/>
        </w:rPr>
        <w:t>）</w:t>
      </w:r>
    </w:p>
    <w:p w14:paraId="3C472024">
      <w:pPr>
        <w:tabs>
          <w:tab w:val="left" w:pos="7740"/>
        </w:tabs>
        <w:adjustRightInd w:val="0"/>
        <w:snapToGrid w:val="0"/>
        <w:rPr>
          <w:rFonts w:hint="eastAsia" w:ascii="宋体" w:hAnsi="宋体" w:eastAsia="宋体"/>
          <w:color w:val="auto"/>
          <w:lang w:eastAsia="zh-CN"/>
        </w:rPr>
      </w:pPr>
      <w:r>
        <w:rPr>
          <w:rFonts w:hint="eastAsia" w:ascii="宋体" w:hAnsi="宋体"/>
          <w:color w:val="auto"/>
        </w:rPr>
        <w:t>投标人名称：                                            项目编号：</w:t>
      </w:r>
      <w:r>
        <w:rPr>
          <w:rFonts w:hint="eastAsia" w:ascii="宋体" w:hAnsi="宋体"/>
          <w:color w:val="auto"/>
          <w:lang w:eastAsia="zh-CN"/>
        </w:rPr>
        <w:t xml:space="preserve">JG2025(SS)XZ0008 </w:t>
      </w:r>
    </w:p>
    <w:tbl>
      <w:tblPr>
        <w:tblStyle w:val="19"/>
        <w:tblW w:w="491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1"/>
        <w:gridCol w:w="883"/>
        <w:gridCol w:w="3485"/>
        <w:gridCol w:w="1897"/>
      </w:tblGrid>
      <w:tr w14:paraId="4CAC4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08" w:type="pct"/>
            <w:tcBorders>
              <w:top w:val="single" w:color="auto" w:sz="12" w:space="0"/>
              <w:bottom w:val="double" w:color="auto" w:sz="4" w:space="0"/>
            </w:tcBorders>
            <w:shd w:val="clear" w:color="auto" w:fill="EEECE1"/>
            <w:noWrap w:val="0"/>
            <w:vAlign w:val="center"/>
          </w:tcPr>
          <w:p w14:paraId="725FA95B">
            <w:pPr>
              <w:adjustRightInd w:val="0"/>
              <w:snapToGrid w:val="0"/>
              <w:jc w:val="center"/>
              <w:rPr>
                <w:rFonts w:hint="eastAsia" w:ascii="宋体"/>
                <w:b/>
                <w:color w:val="auto"/>
                <w:szCs w:val="21"/>
              </w:rPr>
            </w:pPr>
            <w:r>
              <w:rPr>
                <w:rFonts w:hint="eastAsia" w:ascii="宋体"/>
                <w:b/>
                <w:color w:val="auto"/>
                <w:szCs w:val="21"/>
              </w:rPr>
              <w:t>采购内容</w:t>
            </w:r>
          </w:p>
        </w:tc>
        <w:tc>
          <w:tcPr>
            <w:tcW w:w="478" w:type="pct"/>
            <w:tcBorders>
              <w:top w:val="single" w:color="auto" w:sz="12" w:space="0"/>
              <w:bottom w:val="double" w:color="auto" w:sz="4" w:space="0"/>
            </w:tcBorders>
            <w:shd w:val="clear" w:color="auto" w:fill="EEECE1"/>
            <w:noWrap w:val="0"/>
            <w:vAlign w:val="center"/>
          </w:tcPr>
          <w:p w14:paraId="47F1E8E1">
            <w:pPr>
              <w:adjustRightInd w:val="0"/>
              <w:snapToGrid w:val="0"/>
              <w:jc w:val="center"/>
              <w:rPr>
                <w:rFonts w:hint="eastAsia" w:ascii="宋体"/>
                <w:b/>
                <w:color w:val="auto"/>
                <w:szCs w:val="21"/>
              </w:rPr>
            </w:pPr>
            <w:r>
              <w:rPr>
                <w:rFonts w:hint="eastAsia" w:ascii="宋体"/>
                <w:b/>
                <w:color w:val="auto"/>
                <w:szCs w:val="21"/>
              </w:rPr>
              <w:t>数量</w:t>
            </w:r>
          </w:p>
        </w:tc>
        <w:tc>
          <w:tcPr>
            <w:tcW w:w="1885" w:type="pct"/>
            <w:tcBorders>
              <w:top w:val="single" w:color="auto" w:sz="12" w:space="0"/>
              <w:bottom w:val="double" w:color="auto" w:sz="4" w:space="0"/>
            </w:tcBorders>
            <w:shd w:val="clear" w:color="auto" w:fill="EEECE1"/>
            <w:noWrap w:val="0"/>
            <w:vAlign w:val="center"/>
          </w:tcPr>
          <w:p w14:paraId="3E676994">
            <w:pPr>
              <w:adjustRightInd w:val="0"/>
              <w:snapToGrid w:val="0"/>
              <w:jc w:val="center"/>
              <w:rPr>
                <w:rFonts w:hint="eastAsia" w:ascii="宋体"/>
                <w:b/>
                <w:color w:val="auto"/>
                <w:szCs w:val="21"/>
              </w:rPr>
            </w:pPr>
            <w:r>
              <w:rPr>
                <w:rFonts w:hint="eastAsia" w:ascii="宋体"/>
                <w:b/>
                <w:color w:val="auto"/>
                <w:szCs w:val="21"/>
              </w:rPr>
              <w:t>投标报价</w:t>
            </w:r>
          </w:p>
          <w:p w14:paraId="329E628D">
            <w:pPr>
              <w:adjustRightInd w:val="0"/>
              <w:snapToGrid w:val="0"/>
              <w:jc w:val="center"/>
              <w:rPr>
                <w:rFonts w:hint="eastAsia" w:ascii="宋体"/>
                <w:b/>
                <w:color w:val="auto"/>
                <w:szCs w:val="21"/>
              </w:rPr>
            </w:pPr>
            <w:r>
              <w:rPr>
                <w:rFonts w:hint="eastAsia" w:ascii="宋体"/>
                <w:b/>
                <w:color w:val="auto"/>
                <w:szCs w:val="21"/>
              </w:rPr>
              <w:t>（人民币 元）</w:t>
            </w:r>
          </w:p>
        </w:tc>
        <w:tc>
          <w:tcPr>
            <w:tcW w:w="1027" w:type="pct"/>
            <w:tcBorders>
              <w:top w:val="single" w:color="auto" w:sz="12" w:space="0"/>
              <w:bottom w:val="double" w:color="auto" w:sz="4" w:space="0"/>
            </w:tcBorders>
            <w:shd w:val="clear" w:color="auto" w:fill="EEECE1"/>
            <w:noWrap w:val="0"/>
            <w:vAlign w:val="center"/>
          </w:tcPr>
          <w:p w14:paraId="787DD34D">
            <w:pPr>
              <w:adjustRightInd w:val="0"/>
              <w:snapToGrid w:val="0"/>
              <w:jc w:val="center"/>
              <w:rPr>
                <w:rFonts w:hint="eastAsia" w:ascii="宋体" w:eastAsia="宋体"/>
                <w:b/>
                <w:color w:val="auto"/>
                <w:szCs w:val="21"/>
                <w:lang w:val="en-US" w:eastAsia="zh-CN"/>
              </w:rPr>
            </w:pPr>
            <w:r>
              <w:rPr>
                <w:rFonts w:hint="eastAsia" w:ascii="宋体"/>
                <w:b/>
                <w:color w:val="auto"/>
                <w:szCs w:val="21"/>
                <w:lang w:val="en-US" w:eastAsia="zh-CN"/>
              </w:rPr>
              <w:t>服务期</w:t>
            </w:r>
          </w:p>
        </w:tc>
      </w:tr>
      <w:tr w14:paraId="72DBC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1608" w:type="pct"/>
            <w:tcBorders>
              <w:top w:val="single" w:color="auto" w:sz="4" w:space="0"/>
            </w:tcBorders>
            <w:noWrap w:val="0"/>
            <w:vAlign w:val="center"/>
          </w:tcPr>
          <w:p w14:paraId="647B96AB">
            <w:pPr>
              <w:spacing w:line="240" w:lineRule="auto"/>
              <w:jc w:val="center"/>
              <w:rPr>
                <w:rFonts w:hint="eastAsia" w:ascii="宋体"/>
                <w:bCs/>
                <w:color w:val="auto"/>
                <w:szCs w:val="21"/>
              </w:rPr>
            </w:pPr>
            <w:r>
              <w:rPr>
                <w:rFonts w:hint="eastAsia" w:ascii="宋体" w:hAnsi="宋体" w:eastAsia="宋体"/>
                <w:snapToGrid/>
                <w:color w:val="auto"/>
                <w:spacing w:val="0"/>
                <w:kern w:val="2"/>
                <w:sz w:val="21"/>
                <w:szCs w:val="21"/>
                <w:highlight w:val="none"/>
                <w:lang w:val="en-US" w:eastAsia="zh-CN"/>
              </w:rPr>
              <w:t>三水文化中心安保巡护</w:t>
            </w:r>
            <w:r>
              <w:rPr>
                <w:rFonts w:hint="eastAsia" w:ascii="宋体" w:hAnsi="宋体" w:cs="宋体"/>
                <w:color w:val="auto"/>
                <w:highlight w:val="none"/>
                <w:lang w:eastAsia="zh-CN"/>
              </w:rPr>
              <w:t>服务</w:t>
            </w:r>
          </w:p>
        </w:tc>
        <w:tc>
          <w:tcPr>
            <w:tcW w:w="478" w:type="pct"/>
            <w:tcBorders>
              <w:top w:val="single" w:color="auto" w:sz="4" w:space="0"/>
            </w:tcBorders>
            <w:noWrap w:val="0"/>
            <w:vAlign w:val="center"/>
          </w:tcPr>
          <w:p w14:paraId="01D5243C">
            <w:pPr>
              <w:spacing w:line="240" w:lineRule="auto"/>
              <w:jc w:val="center"/>
              <w:rPr>
                <w:rFonts w:hint="eastAsia" w:ascii="宋体"/>
                <w:bCs/>
                <w:color w:val="auto"/>
                <w:szCs w:val="21"/>
              </w:rPr>
            </w:pPr>
            <w:r>
              <w:rPr>
                <w:rFonts w:hint="eastAsia" w:ascii="宋体"/>
                <w:bCs/>
                <w:color w:val="auto"/>
                <w:szCs w:val="21"/>
                <w:highlight w:val="none"/>
                <w:lang w:val="en-US" w:eastAsia="zh-CN"/>
              </w:rPr>
              <w:t>一项</w:t>
            </w:r>
          </w:p>
        </w:tc>
        <w:tc>
          <w:tcPr>
            <w:tcW w:w="1885" w:type="pct"/>
            <w:tcBorders>
              <w:top w:val="single" w:color="auto" w:sz="4" w:space="0"/>
            </w:tcBorders>
            <w:noWrap w:val="0"/>
            <w:vAlign w:val="center"/>
          </w:tcPr>
          <w:p w14:paraId="1C55EB19">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bCs/>
                <w:color w:val="auto"/>
                <w:szCs w:val="21"/>
                <w:u w:val="single"/>
              </w:rPr>
            </w:pPr>
            <w:r>
              <w:rPr>
                <w:rFonts w:hint="eastAsia" w:ascii="宋体"/>
                <w:bCs/>
                <w:color w:val="auto"/>
                <w:szCs w:val="21"/>
                <w:lang w:val="en-US" w:eastAsia="zh-CN"/>
              </w:rPr>
              <w:t>人民币：</w:t>
            </w:r>
            <w:r>
              <w:rPr>
                <w:rFonts w:hint="eastAsia" w:ascii="宋体"/>
                <w:bCs/>
                <w:color w:val="auto"/>
                <w:szCs w:val="21"/>
                <w:u w:val="single"/>
              </w:rPr>
              <w:t xml:space="preserve">         </w:t>
            </w:r>
            <w:r>
              <w:rPr>
                <w:rFonts w:hint="eastAsia" w:ascii="宋体"/>
                <w:bCs/>
                <w:color w:val="auto"/>
                <w:szCs w:val="21"/>
                <w:u w:val="single"/>
                <w:lang w:val="en-US" w:eastAsia="zh-CN"/>
              </w:rPr>
              <w:t xml:space="preserve">  </w:t>
            </w:r>
            <w:r>
              <w:rPr>
                <w:rFonts w:hint="eastAsia" w:ascii="宋体"/>
                <w:bCs/>
                <w:color w:val="auto"/>
                <w:szCs w:val="21"/>
                <w:u w:val="single"/>
              </w:rPr>
              <w:t xml:space="preserve">        </w:t>
            </w:r>
            <w:r>
              <w:rPr>
                <w:rFonts w:hint="eastAsia" w:ascii="宋体"/>
                <w:bCs/>
                <w:color w:val="auto"/>
                <w:szCs w:val="21"/>
                <w:u w:val="none"/>
                <w:lang w:val="en-US" w:eastAsia="zh-CN"/>
              </w:rPr>
              <w:t>元</w:t>
            </w:r>
          </w:p>
        </w:tc>
        <w:tc>
          <w:tcPr>
            <w:tcW w:w="1027" w:type="pct"/>
            <w:vMerge w:val="restart"/>
            <w:tcBorders>
              <w:top w:val="single" w:color="auto" w:sz="4" w:space="0"/>
            </w:tcBorders>
            <w:noWrap w:val="0"/>
            <w:vAlign w:val="center"/>
          </w:tcPr>
          <w:p w14:paraId="25CF934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Cs/>
                <w:color w:val="auto"/>
                <w:szCs w:val="21"/>
                <w:lang w:val="en-US" w:eastAsia="zh-CN"/>
              </w:rPr>
            </w:pPr>
            <w:r>
              <w:rPr>
                <w:rFonts w:hint="eastAsia" w:ascii="宋体" w:hAnsi="宋体" w:eastAsia="宋体" w:cs="宋体"/>
                <w:color w:val="auto"/>
                <w:szCs w:val="21"/>
                <w:lang w:eastAsia="zh-CN"/>
              </w:rPr>
              <w:t>自合同签订之日起1年，即从2025年10月1日至2026年9月30日</w:t>
            </w:r>
          </w:p>
        </w:tc>
      </w:tr>
      <w:tr w14:paraId="22EBC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9" w:hRule="atLeast"/>
          <w:jc w:val="center"/>
        </w:trPr>
        <w:tc>
          <w:tcPr>
            <w:tcW w:w="1608" w:type="pct"/>
            <w:noWrap w:val="0"/>
            <w:vAlign w:val="center"/>
          </w:tcPr>
          <w:p w14:paraId="2488492A">
            <w:pPr>
              <w:spacing w:line="24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广东三水云东海湿地公园安保巡护服务</w:t>
            </w:r>
          </w:p>
        </w:tc>
        <w:tc>
          <w:tcPr>
            <w:tcW w:w="478" w:type="pct"/>
            <w:shd w:val="clear" w:color="auto" w:fill="auto"/>
            <w:noWrap w:val="0"/>
            <w:vAlign w:val="center"/>
          </w:tcPr>
          <w:p w14:paraId="08F0B907">
            <w:pPr>
              <w:spacing w:line="240" w:lineRule="auto"/>
              <w:jc w:val="center"/>
              <w:rPr>
                <w:rFonts w:hint="eastAsia" w:ascii="宋体" w:hAnsi="Calibri" w:eastAsia="宋体" w:cs="Times New Roman"/>
                <w:bCs/>
                <w:color w:val="auto"/>
                <w:kern w:val="2"/>
                <w:sz w:val="21"/>
                <w:szCs w:val="21"/>
                <w:highlight w:val="none"/>
                <w:lang w:val="en-US" w:eastAsia="zh-CN" w:bidi="ar-SA"/>
              </w:rPr>
            </w:pPr>
            <w:r>
              <w:rPr>
                <w:rFonts w:hint="eastAsia" w:ascii="宋体"/>
                <w:bCs/>
                <w:color w:val="auto"/>
                <w:szCs w:val="21"/>
                <w:highlight w:val="none"/>
                <w:lang w:val="en-US" w:eastAsia="zh-CN"/>
              </w:rPr>
              <w:t>一项</w:t>
            </w:r>
          </w:p>
        </w:tc>
        <w:tc>
          <w:tcPr>
            <w:tcW w:w="1885" w:type="pct"/>
            <w:noWrap w:val="0"/>
            <w:vAlign w:val="center"/>
          </w:tcPr>
          <w:p w14:paraId="6B2D172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宋体" w:hAnsi="宋体" w:eastAsia="宋体" w:cs="宋体"/>
                <w:color w:val="auto"/>
                <w:highlight w:val="none"/>
                <w:lang w:val="en-US" w:eastAsia="zh-CN"/>
              </w:rPr>
            </w:pPr>
            <w:r>
              <w:rPr>
                <w:rFonts w:hint="eastAsia" w:ascii="宋体"/>
                <w:bCs/>
                <w:color w:val="auto"/>
                <w:szCs w:val="21"/>
                <w:lang w:val="en-US" w:eastAsia="zh-CN"/>
              </w:rPr>
              <w:t>人民币：</w:t>
            </w:r>
            <w:r>
              <w:rPr>
                <w:rFonts w:hint="eastAsia" w:ascii="宋体"/>
                <w:bCs/>
                <w:color w:val="auto"/>
                <w:szCs w:val="21"/>
                <w:u w:val="single"/>
              </w:rPr>
              <w:t xml:space="preserve">        </w:t>
            </w:r>
            <w:r>
              <w:rPr>
                <w:rFonts w:hint="eastAsia" w:ascii="宋体"/>
                <w:bCs/>
                <w:color w:val="auto"/>
                <w:szCs w:val="21"/>
                <w:u w:val="single"/>
                <w:lang w:val="en-US" w:eastAsia="zh-CN"/>
              </w:rPr>
              <w:t xml:space="preserve">  </w:t>
            </w:r>
            <w:r>
              <w:rPr>
                <w:rFonts w:hint="eastAsia" w:ascii="宋体"/>
                <w:bCs/>
                <w:color w:val="auto"/>
                <w:szCs w:val="21"/>
                <w:u w:val="single"/>
              </w:rPr>
              <w:t xml:space="preserve">         </w:t>
            </w:r>
            <w:r>
              <w:rPr>
                <w:rFonts w:hint="eastAsia" w:ascii="宋体"/>
                <w:bCs/>
                <w:color w:val="auto"/>
                <w:szCs w:val="21"/>
                <w:u w:val="none"/>
                <w:lang w:val="en-US" w:eastAsia="zh-CN"/>
              </w:rPr>
              <w:t>元</w:t>
            </w:r>
          </w:p>
        </w:tc>
        <w:tc>
          <w:tcPr>
            <w:tcW w:w="1027" w:type="pct"/>
            <w:vMerge w:val="continue"/>
            <w:noWrap w:val="0"/>
            <w:vAlign w:val="center"/>
          </w:tcPr>
          <w:p w14:paraId="4085134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bCs/>
                <w:color w:val="auto"/>
                <w:szCs w:val="21"/>
                <w:lang w:val="en-US" w:eastAsia="zh-CN"/>
              </w:rPr>
            </w:pPr>
          </w:p>
        </w:tc>
      </w:tr>
      <w:tr w14:paraId="702D2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3" w:hRule="atLeast"/>
          <w:jc w:val="center"/>
        </w:trPr>
        <w:tc>
          <w:tcPr>
            <w:tcW w:w="1608" w:type="pct"/>
            <w:noWrap w:val="0"/>
            <w:vAlign w:val="center"/>
          </w:tcPr>
          <w:p w14:paraId="656CFF7E">
            <w:pPr>
              <w:spacing w:line="240" w:lineRule="auto"/>
              <w:jc w:val="center"/>
              <w:rPr>
                <w:rFonts w:hint="default" w:ascii="宋体" w:hAnsi="宋体" w:cs="宋体"/>
                <w:color w:val="auto"/>
                <w:highlight w:val="none"/>
                <w:lang w:val="en-US" w:eastAsia="zh-CN"/>
              </w:rPr>
            </w:pPr>
            <w:r>
              <w:rPr>
                <w:rFonts w:hint="eastAsia" w:ascii="宋体" w:hAnsi="宋体" w:cs="宋体"/>
                <w:color w:val="auto"/>
                <w:highlight w:val="none"/>
                <w:lang w:eastAsia="zh-CN"/>
              </w:rPr>
              <w:t>临时增员</w:t>
            </w:r>
            <w:r>
              <w:rPr>
                <w:rFonts w:hint="eastAsia" w:ascii="宋体" w:hAnsi="宋体" w:cs="宋体"/>
                <w:color w:val="auto"/>
                <w:highlight w:val="none"/>
                <w:lang w:val="en-US" w:eastAsia="zh-CN"/>
              </w:rPr>
              <w:t>服务</w:t>
            </w:r>
          </w:p>
        </w:tc>
        <w:tc>
          <w:tcPr>
            <w:tcW w:w="478" w:type="pct"/>
            <w:shd w:val="clear" w:color="auto" w:fill="auto"/>
            <w:noWrap w:val="0"/>
            <w:vAlign w:val="center"/>
          </w:tcPr>
          <w:p w14:paraId="6FFC53C1">
            <w:pPr>
              <w:spacing w:line="240" w:lineRule="auto"/>
              <w:jc w:val="center"/>
              <w:rPr>
                <w:rFonts w:hint="eastAsia" w:ascii="宋体" w:hAnsi="Calibri" w:eastAsia="宋体" w:cs="Times New Roman"/>
                <w:bCs/>
                <w:color w:val="auto"/>
                <w:kern w:val="2"/>
                <w:sz w:val="21"/>
                <w:szCs w:val="21"/>
                <w:highlight w:val="none"/>
                <w:lang w:val="en-US" w:eastAsia="zh-CN" w:bidi="ar-SA"/>
              </w:rPr>
            </w:pPr>
            <w:r>
              <w:rPr>
                <w:rFonts w:hint="eastAsia" w:ascii="宋体"/>
                <w:bCs/>
                <w:color w:val="auto"/>
                <w:szCs w:val="21"/>
                <w:highlight w:val="none"/>
                <w:lang w:val="en-US" w:eastAsia="zh-CN"/>
              </w:rPr>
              <w:t>一项</w:t>
            </w:r>
          </w:p>
        </w:tc>
        <w:tc>
          <w:tcPr>
            <w:tcW w:w="1885" w:type="pct"/>
            <w:noWrap w:val="0"/>
            <w:vAlign w:val="center"/>
          </w:tcPr>
          <w:p w14:paraId="2020A81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宋体" w:hAnsi="宋体" w:eastAsia="宋体" w:cs="宋体"/>
                <w:color w:val="auto"/>
                <w:highlight w:val="none"/>
                <w:lang w:val="en-US" w:eastAsia="zh-CN"/>
              </w:rPr>
            </w:pPr>
            <w:r>
              <w:rPr>
                <w:rFonts w:hint="eastAsia" w:ascii="宋体"/>
                <w:bCs/>
                <w:color w:val="auto"/>
                <w:szCs w:val="21"/>
                <w:lang w:val="en-US" w:eastAsia="zh-CN"/>
              </w:rPr>
              <w:t>人民币：</w:t>
            </w:r>
            <w:r>
              <w:rPr>
                <w:rFonts w:hint="eastAsia" w:ascii="宋体"/>
                <w:bCs/>
                <w:color w:val="auto"/>
                <w:szCs w:val="21"/>
                <w:u w:val="single"/>
              </w:rPr>
              <w:t xml:space="preserve">         </w:t>
            </w:r>
            <w:r>
              <w:rPr>
                <w:rFonts w:hint="eastAsia" w:ascii="宋体"/>
                <w:bCs/>
                <w:color w:val="auto"/>
                <w:szCs w:val="21"/>
                <w:u w:val="single"/>
                <w:lang w:val="en-US" w:eastAsia="zh-CN"/>
              </w:rPr>
              <w:t xml:space="preserve">  </w:t>
            </w:r>
            <w:r>
              <w:rPr>
                <w:rFonts w:hint="eastAsia" w:ascii="宋体"/>
                <w:bCs/>
                <w:color w:val="auto"/>
                <w:szCs w:val="21"/>
                <w:u w:val="single"/>
              </w:rPr>
              <w:t xml:space="preserve">        </w:t>
            </w:r>
            <w:r>
              <w:rPr>
                <w:rFonts w:hint="eastAsia" w:ascii="宋体"/>
                <w:bCs/>
                <w:color w:val="auto"/>
                <w:szCs w:val="21"/>
                <w:u w:val="none"/>
                <w:lang w:val="en-US" w:eastAsia="zh-CN"/>
              </w:rPr>
              <w:t>元</w:t>
            </w:r>
          </w:p>
        </w:tc>
        <w:tc>
          <w:tcPr>
            <w:tcW w:w="1027" w:type="pct"/>
            <w:vMerge w:val="continue"/>
            <w:noWrap w:val="0"/>
            <w:vAlign w:val="center"/>
          </w:tcPr>
          <w:p w14:paraId="1E0C1EE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bCs/>
                <w:color w:val="auto"/>
                <w:szCs w:val="21"/>
                <w:lang w:val="en-US" w:eastAsia="zh-CN"/>
              </w:rPr>
            </w:pPr>
          </w:p>
        </w:tc>
      </w:tr>
      <w:tr w14:paraId="6AB7F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608" w:type="pct"/>
            <w:noWrap w:val="0"/>
            <w:vAlign w:val="center"/>
          </w:tcPr>
          <w:p w14:paraId="748AA47E">
            <w:pPr>
              <w:spacing w:line="24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总计金额</w:t>
            </w:r>
          </w:p>
        </w:tc>
        <w:tc>
          <w:tcPr>
            <w:tcW w:w="2364" w:type="pct"/>
            <w:gridSpan w:val="2"/>
            <w:shd w:val="clear" w:color="auto" w:fill="auto"/>
            <w:noWrap w:val="0"/>
            <w:vAlign w:val="center"/>
          </w:tcPr>
          <w:p w14:paraId="5C202D1C">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Calibri" w:eastAsia="宋体" w:cs="Times New Roman"/>
                <w:bCs/>
                <w:color w:val="auto"/>
                <w:kern w:val="2"/>
                <w:sz w:val="21"/>
                <w:szCs w:val="21"/>
                <w:u w:val="single"/>
                <w:lang w:val="en-US" w:eastAsia="zh-CN" w:bidi="ar-SA"/>
              </w:rPr>
            </w:pPr>
            <w:r>
              <w:rPr>
                <w:rFonts w:hint="eastAsia" w:ascii="宋体"/>
                <w:bCs/>
                <w:color w:val="auto"/>
                <w:szCs w:val="21"/>
                <w:lang w:val="en-US" w:eastAsia="zh-CN"/>
              </w:rPr>
              <w:t>人民币：</w:t>
            </w:r>
            <w:r>
              <w:rPr>
                <w:rFonts w:hint="eastAsia" w:ascii="宋体"/>
                <w:bCs/>
                <w:color w:val="auto"/>
                <w:szCs w:val="21"/>
                <w:u w:val="single"/>
              </w:rPr>
              <w:t xml:space="preserve">               </w:t>
            </w:r>
            <w:r>
              <w:rPr>
                <w:rFonts w:hint="eastAsia" w:ascii="宋体"/>
                <w:bCs/>
                <w:color w:val="auto"/>
                <w:szCs w:val="21"/>
                <w:u w:val="single"/>
                <w:lang w:val="en-US" w:eastAsia="zh-CN"/>
              </w:rPr>
              <w:t xml:space="preserve">       </w:t>
            </w:r>
            <w:r>
              <w:rPr>
                <w:rFonts w:hint="eastAsia" w:ascii="宋体"/>
                <w:bCs/>
                <w:color w:val="auto"/>
                <w:szCs w:val="21"/>
                <w:u w:val="single"/>
              </w:rPr>
              <w:t xml:space="preserve">     </w:t>
            </w:r>
            <w:r>
              <w:rPr>
                <w:rFonts w:hint="eastAsia" w:ascii="宋体"/>
                <w:bCs/>
                <w:color w:val="auto"/>
                <w:szCs w:val="21"/>
                <w:u w:val="none"/>
                <w:lang w:val="en-US" w:eastAsia="zh-CN"/>
              </w:rPr>
              <w:t>元</w:t>
            </w:r>
          </w:p>
        </w:tc>
        <w:tc>
          <w:tcPr>
            <w:tcW w:w="1027" w:type="pct"/>
            <w:vMerge w:val="continue"/>
            <w:shd w:val="clear" w:color="auto" w:fill="auto"/>
            <w:noWrap w:val="0"/>
            <w:vAlign w:val="center"/>
          </w:tcPr>
          <w:p w14:paraId="10E7B7B9">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bCs/>
                <w:color w:val="auto"/>
                <w:szCs w:val="21"/>
                <w:lang w:val="en-US" w:eastAsia="zh-CN"/>
              </w:rPr>
            </w:pPr>
          </w:p>
        </w:tc>
      </w:tr>
    </w:tbl>
    <w:p w14:paraId="19358715">
      <w:pPr>
        <w:spacing w:line="500" w:lineRule="exact"/>
        <w:ind w:firstLine="436" w:firstLineChars="200"/>
        <w:rPr>
          <w:rFonts w:hint="eastAsia"/>
          <w:color w:val="auto"/>
          <w:spacing w:val="4"/>
        </w:rPr>
      </w:pPr>
    </w:p>
    <w:p w14:paraId="6A4131F7">
      <w:pPr>
        <w:spacing w:line="500" w:lineRule="exact"/>
        <w:rPr>
          <w:rFonts w:hint="eastAsia" w:ascii="宋体" w:hAnsi="宋体"/>
          <w:color w:val="auto"/>
          <w:u w:val="single"/>
        </w:rPr>
      </w:pPr>
      <w:r>
        <w:rPr>
          <w:rFonts w:hint="eastAsia" w:ascii="宋体" w:hAnsi="宋体"/>
          <w:color w:val="auto"/>
        </w:rPr>
        <w:t>投标人名称</w:t>
      </w:r>
      <w:r>
        <w:rPr>
          <w:rFonts w:hint="eastAsia" w:ascii="宋体" w:hAnsi="宋体"/>
          <w:color w:val="auto"/>
          <w:lang w:eastAsia="zh-CN"/>
        </w:rPr>
        <w:t>（</w:t>
      </w:r>
      <w:r>
        <w:rPr>
          <w:rFonts w:hint="eastAsia" w:ascii="宋体" w:hAnsi="宋体"/>
          <w:color w:val="auto"/>
        </w:rPr>
        <w:t>加盖公章</w:t>
      </w:r>
      <w:r>
        <w:rPr>
          <w:rFonts w:hint="eastAsia" w:ascii="宋体" w:hAnsi="宋体"/>
          <w:color w:val="auto"/>
          <w:lang w:eastAsia="zh-CN"/>
        </w:rPr>
        <w:t>）</w:t>
      </w:r>
      <w:r>
        <w:rPr>
          <w:rFonts w:hint="eastAsia"/>
          <w:color w:val="auto"/>
          <w:spacing w:val="4"/>
        </w:rPr>
        <w:t>：</w:t>
      </w:r>
      <w:r>
        <w:rPr>
          <w:rFonts w:hint="eastAsia"/>
          <w:color w:val="auto"/>
          <w:spacing w:val="4"/>
          <w:u w:val="single"/>
        </w:rPr>
        <w:t xml:space="preserve">                             </w:t>
      </w:r>
    </w:p>
    <w:p w14:paraId="401D7A7F">
      <w:pPr>
        <w:rPr>
          <w:rFonts w:hint="eastAsia"/>
          <w:color w:val="auto"/>
          <w:spacing w:val="4"/>
        </w:rPr>
      </w:pPr>
    </w:p>
    <w:p w14:paraId="465854B8">
      <w:pPr>
        <w:spacing w:line="520" w:lineRule="exact"/>
        <w:rPr>
          <w:rFonts w:hint="eastAsia"/>
          <w:color w:val="auto"/>
          <w:spacing w:val="4"/>
        </w:rPr>
      </w:pPr>
      <w:r>
        <w:rPr>
          <w:rFonts w:hint="eastAsia"/>
          <w:color w:val="auto"/>
          <w:spacing w:val="4"/>
        </w:rPr>
        <w:t>日期</w:t>
      </w:r>
      <w:r>
        <w:rPr>
          <w:rFonts w:hint="eastAsia"/>
          <w:color w:val="auto"/>
          <w:spacing w:val="4"/>
          <w:lang w:eastAsia="zh-CN"/>
        </w:rPr>
        <w:t>：</w:t>
      </w:r>
      <w:r>
        <w:rPr>
          <w:color w:val="auto"/>
          <w:spacing w:val="4"/>
          <w:u w:val="single"/>
        </w:rPr>
        <w:t xml:space="preserve">         </w:t>
      </w:r>
    </w:p>
    <w:p w14:paraId="77E0734A">
      <w:pPr>
        <w:spacing w:line="400" w:lineRule="exact"/>
        <w:rPr>
          <w:rFonts w:hint="eastAsia" w:ascii="宋体" w:hAnsi="宋体"/>
          <w:b/>
          <w:bCs/>
          <w:color w:val="auto"/>
          <w:sz w:val="28"/>
        </w:rPr>
      </w:pPr>
    </w:p>
    <w:p w14:paraId="7178B305">
      <w:pPr>
        <w:spacing w:line="400" w:lineRule="exact"/>
        <w:rPr>
          <w:rFonts w:hint="eastAsia" w:ascii="宋体" w:hAnsi="宋体"/>
          <w:b/>
          <w:bCs/>
          <w:color w:val="auto"/>
          <w:szCs w:val="21"/>
        </w:rPr>
      </w:pPr>
      <w:r>
        <w:rPr>
          <w:rFonts w:hint="eastAsia" w:ascii="宋体" w:hAnsi="宋体"/>
          <w:b/>
          <w:bCs/>
          <w:color w:val="auto"/>
          <w:szCs w:val="21"/>
        </w:rPr>
        <w:t>备注：</w:t>
      </w:r>
    </w:p>
    <w:p w14:paraId="688DD7EC">
      <w:pPr>
        <w:numPr>
          <w:ilvl w:val="1"/>
          <w:numId w:val="63"/>
        </w:numPr>
        <w:tabs>
          <w:tab w:val="left" w:pos="360"/>
          <w:tab w:val="clear" w:pos="1620"/>
        </w:tabs>
        <w:snapToGrid w:val="0"/>
        <w:spacing w:line="360" w:lineRule="auto"/>
        <w:ind w:left="360"/>
        <w:rPr>
          <w:rFonts w:hint="eastAsia" w:ascii="宋体" w:hAnsi="宋体"/>
          <w:b/>
          <w:bCs/>
          <w:color w:val="auto"/>
          <w:szCs w:val="21"/>
          <w:highlight w:val="none"/>
        </w:rPr>
      </w:pPr>
      <w:r>
        <w:rPr>
          <w:b/>
          <w:color w:val="auto"/>
          <w:highlight w:val="none"/>
        </w:rPr>
        <w:t>此表</w:t>
      </w:r>
      <w:r>
        <w:rPr>
          <w:rFonts w:hint="eastAsia"/>
          <w:b/>
          <w:color w:val="auto"/>
          <w:highlight w:val="none"/>
        </w:rPr>
        <w:t>为投标文件的组成部分，</w:t>
      </w:r>
      <w:r>
        <w:rPr>
          <w:b/>
          <w:color w:val="auto"/>
          <w:highlight w:val="none"/>
        </w:rPr>
        <w:t>须附在正、副本的投标文件中，并另封装一份于开标小信封中</w:t>
      </w:r>
      <w:r>
        <w:rPr>
          <w:rFonts w:hint="eastAsia"/>
          <w:b/>
          <w:color w:val="auto"/>
          <w:highlight w:val="none"/>
        </w:rPr>
        <w:t>。</w:t>
      </w:r>
    </w:p>
    <w:p w14:paraId="76A4E817">
      <w:pPr>
        <w:numPr>
          <w:ilvl w:val="1"/>
          <w:numId w:val="63"/>
        </w:numPr>
        <w:tabs>
          <w:tab w:val="left" w:pos="360"/>
          <w:tab w:val="clear" w:pos="1620"/>
        </w:tabs>
        <w:snapToGrid w:val="0"/>
        <w:spacing w:line="360" w:lineRule="auto"/>
        <w:ind w:left="360"/>
        <w:rPr>
          <w:rFonts w:hint="eastAsia" w:ascii="宋体" w:hAnsi="宋体"/>
          <w:b/>
          <w:bCs/>
          <w:color w:val="auto"/>
          <w:szCs w:val="21"/>
          <w:highlight w:val="none"/>
        </w:rPr>
      </w:pPr>
      <w:r>
        <w:rPr>
          <w:rFonts w:hint="eastAsia"/>
          <w:b/>
          <w:color w:val="auto"/>
          <w:highlight w:val="none"/>
        </w:rPr>
        <w:t>此表内投标报价为最终价，投标文件内不得含有任何对本报价进行修改的其他说明或资料，否则为无效投标</w:t>
      </w:r>
      <w:r>
        <w:rPr>
          <w:rFonts w:hint="eastAsia" w:ascii="宋体" w:hAnsi="宋体"/>
          <w:b/>
          <w:bCs/>
          <w:color w:val="auto"/>
          <w:szCs w:val="21"/>
          <w:highlight w:val="none"/>
        </w:rPr>
        <w:t>。</w:t>
      </w:r>
    </w:p>
    <w:p w14:paraId="323B2C07">
      <w:pPr>
        <w:numPr>
          <w:ilvl w:val="1"/>
          <w:numId w:val="63"/>
        </w:numPr>
        <w:tabs>
          <w:tab w:val="left" w:pos="360"/>
          <w:tab w:val="left" w:pos="840"/>
          <w:tab w:val="clear" w:pos="1620"/>
        </w:tabs>
        <w:snapToGrid w:val="0"/>
        <w:spacing w:line="360" w:lineRule="auto"/>
        <w:ind w:left="360"/>
        <w:rPr>
          <w:rFonts w:hint="eastAsia"/>
          <w:b/>
          <w:color w:val="auto"/>
          <w:highlight w:val="none"/>
        </w:rPr>
      </w:pPr>
      <w:r>
        <w:rPr>
          <w:rFonts w:hint="eastAsia"/>
          <w:b/>
          <w:color w:val="auto"/>
          <w:highlight w:val="none"/>
        </w:rPr>
        <w:t>投标报价要求具体见第五章“</w:t>
      </w:r>
      <w:bookmarkStart w:id="211" w:name="_Toc322076489"/>
      <w:r>
        <w:rPr>
          <w:rFonts w:hint="eastAsia" w:ascii="宋体" w:hAnsi="宋体"/>
          <w:b/>
          <w:bCs/>
          <w:color w:val="auto"/>
          <w:szCs w:val="21"/>
          <w:highlight w:val="none"/>
        </w:rPr>
        <w:t>投标报价</w:t>
      </w:r>
      <w:bookmarkEnd w:id="211"/>
      <w:r>
        <w:rPr>
          <w:rFonts w:hint="eastAsia"/>
          <w:b/>
          <w:color w:val="auto"/>
          <w:highlight w:val="none"/>
        </w:rPr>
        <w:t>”要求</w:t>
      </w:r>
      <w:r>
        <w:rPr>
          <w:rFonts w:hint="eastAsia"/>
          <w:b/>
          <w:color w:val="auto"/>
          <w:highlight w:val="none"/>
          <w:lang w:val="en-US" w:eastAsia="zh-CN"/>
        </w:rPr>
        <w:t>及用户需求书的要求</w:t>
      </w:r>
      <w:r>
        <w:rPr>
          <w:rFonts w:hint="eastAsia"/>
          <w:b/>
          <w:color w:val="auto"/>
          <w:highlight w:val="none"/>
        </w:rPr>
        <w:t>。</w:t>
      </w:r>
    </w:p>
    <w:p w14:paraId="0C3D5675">
      <w:pPr>
        <w:numPr>
          <w:ilvl w:val="1"/>
          <w:numId w:val="63"/>
        </w:numPr>
        <w:tabs>
          <w:tab w:val="left" w:pos="360"/>
          <w:tab w:val="left" w:pos="840"/>
          <w:tab w:val="clear" w:pos="1620"/>
        </w:tabs>
        <w:snapToGrid w:val="0"/>
        <w:spacing w:line="360" w:lineRule="auto"/>
        <w:ind w:left="360"/>
        <w:rPr>
          <w:rFonts w:hint="eastAsia"/>
          <w:b/>
          <w:bCs/>
          <w:color w:val="auto"/>
          <w:highlight w:val="none"/>
        </w:rPr>
      </w:pPr>
      <w:r>
        <w:rPr>
          <w:rFonts w:hint="eastAsia"/>
          <w:b/>
          <w:bCs/>
          <w:color w:val="auto"/>
          <w:highlight w:val="none"/>
        </w:rPr>
        <w:t>本项目不接受有选择性的投标报价</w:t>
      </w:r>
      <w:r>
        <w:rPr>
          <w:rFonts w:hint="eastAsia" w:ascii="宋体" w:hAnsi="宋体" w:eastAsia="宋体"/>
          <w:b/>
          <w:color w:val="auto"/>
          <w:highlight w:val="none"/>
        </w:rPr>
        <w:t>。</w:t>
      </w:r>
    </w:p>
    <w:p w14:paraId="680B11FC">
      <w:pPr>
        <w:numPr>
          <w:ilvl w:val="1"/>
          <w:numId w:val="63"/>
        </w:numPr>
        <w:tabs>
          <w:tab w:val="left" w:pos="360"/>
          <w:tab w:val="left" w:pos="840"/>
          <w:tab w:val="clear" w:pos="1620"/>
        </w:tabs>
        <w:snapToGrid w:val="0"/>
        <w:spacing w:line="360" w:lineRule="auto"/>
        <w:ind w:left="360"/>
        <w:rPr>
          <w:rFonts w:hint="eastAsia"/>
          <w:b/>
          <w:bCs/>
          <w:color w:val="auto"/>
          <w:highlight w:val="none"/>
        </w:rPr>
      </w:pPr>
      <w:r>
        <w:rPr>
          <w:rFonts w:hint="eastAsia" w:ascii="宋体" w:hAnsi="宋体" w:eastAsia="宋体"/>
          <w:b/>
          <w:bCs/>
          <w:color w:val="auto"/>
          <w:spacing w:val="4"/>
          <w:highlight w:val="none"/>
        </w:rPr>
        <w:t>中文大写金额用汉字，如壹、贰、叁、肆、伍、陆、柒、捌、玖、拾、佰、仟、万、亿、元、角、分、零、整（正）等。</w:t>
      </w:r>
    </w:p>
    <w:p w14:paraId="58FD1D8A">
      <w:pPr>
        <w:numPr>
          <w:ilvl w:val="1"/>
          <w:numId w:val="63"/>
        </w:numPr>
        <w:tabs>
          <w:tab w:val="left" w:pos="360"/>
          <w:tab w:val="left" w:pos="840"/>
          <w:tab w:val="clear" w:pos="1620"/>
        </w:tabs>
        <w:snapToGrid w:val="0"/>
        <w:spacing w:line="360" w:lineRule="auto"/>
        <w:ind w:left="360"/>
        <w:rPr>
          <w:rFonts w:hint="eastAsia"/>
          <w:b/>
          <w:bCs/>
          <w:color w:val="auto"/>
          <w:highlight w:val="none"/>
        </w:rPr>
      </w:pPr>
      <w:r>
        <w:rPr>
          <w:rFonts w:hint="eastAsia" w:ascii="宋体" w:hAnsi="宋体"/>
          <w:b/>
          <w:color w:val="auto"/>
          <w:highlight w:val="none"/>
          <w:lang w:eastAsia="zh-CN"/>
        </w:rPr>
        <w:t>若报价有小数点后的数值的，保留小数点后两位小数。</w:t>
      </w:r>
    </w:p>
    <w:p w14:paraId="0D889EBD">
      <w:pPr>
        <w:spacing w:line="440" w:lineRule="exact"/>
        <w:rPr>
          <w:rFonts w:hint="eastAsia" w:ascii="黑体" w:eastAsia="黑体"/>
          <w:bCs/>
          <w:color w:val="auto"/>
          <w:sz w:val="28"/>
        </w:rPr>
      </w:pPr>
    </w:p>
    <w:p w14:paraId="1F4FFEBC">
      <w:pPr>
        <w:numPr>
          <w:ilvl w:val="0"/>
          <w:numId w:val="60"/>
        </w:numPr>
        <w:spacing w:line="440" w:lineRule="exact"/>
        <w:rPr>
          <w:rFonts w:hint="eastAsia" w:ascii="黑体" w:eastAsia="黑体"/>
          <w:b/>
          <w:bCs/>
          <w:color w:val="auto"/>
          <w:sz w:val="28"/>
        </w:rPr>
      </w:pPr>
      <w:r>
        <w:rPr>
          <w:rFonts w:hint="eastAsia" w:ascii="黑体" w:eastAsia="黑体"/>
          <w:bCs/>
          <w:color w:val="auto"/>
          <w:sz w:val="28"/>
        </w:rPr>
        <w:br w:type="page"/>
      </w:r>
      <w:r>
        <w:rPr>
          <w:rFonts w:ascii="黑体" w:eastAsia="黑体"/>
          <w:b/>
          <w:bCs/>
          <w:color w:val="auto"/>
          <w:sz w:val="28"/>
        </w:rPr>
        <w:t xml:space="preserve"> </w:t>
      </w:r>
    </w:p>
    <w:p w14:paraId="66D0A0B2">
      <w:pPr>
        <w:pStyle w:val="4"/>
        <w:adjustRightInd w:val="0"/>
        <w:snapToGrid w:val="0"/>
        <w:spacing w:before="156" w:beforeLines="50" w:after="156" w:afterLines="50" w:line="360" w:lineRule="auto"/>
        <w:jc w:val="center"/>
        <w:rPr>
          <w:b w:val="0"/>
        </w:rPr>
      </w:pPr>
      <w:bookmarkStart w:id="212" w:name="_Toc192662843"/>
      <w:bookmarkStart w:id="213" w:name="_Toc275865611"/>
      <w:bookmarkStart w:id="214" w:name="_Toc275865619"/>
      <w:r>
        <w:rPr>
          <w:rFonts w:hint="eastAsia"/>
          <w:b w:val="0"/>
        </w:rPr>
        <w:t>投标分项报价表</w:t>
      </w:r>
      <w:bookmarkEnd w:id="212"/>
      <w:bookmarkEnd w:id="213"/>
    </w:p>
    <w:p w14:paraId="70339A58">
      <w:pPr>
        <w:rPr>
          <w:rFonts w:hint="eastAsia" w:eastAsia="宋体"/>
          <w:lang w:eastAsia="zh-CN"/>
        </w:rPr>
      </w:pPr>
      <w:r>
        <w:rPr>
          <w:rFonts w:hint="eastAsia" w:ascii="宋体" w:hAnsi="宋体"/>
        </w:rPr>
        <w:t>投标人名称：                                           项目编号：</w:t>
      </w:r>
      <w:r>
        <w:rPr>
          <w:rFonts w:hint="eastAsia" w:ascii="宋体" w:hAnsi="宋体"/>
          <w:lang w:eastAsia="zh-CN"/>
        </w:rPr>
        <w:t xml:space="preserve">JG2025(SS)XZ0008 </w:t>
      </w:r>
    </w:p>
    <w:tbl>
      <w:tblPr>
        <w:tblStyle w:val="19"/>
        <w:tblpPr w:leftFromText="180" w:rightFromText="180" w:vertAnchor="text" w:tblpXSpec="center" w:tblpY="1"/>
        <w:tblOverlap w:val="never"/>
        <w:tblW w:w="514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392"/>
        <w:gridCol w:w="1300"/>
        <w:gridCol w:w="1772"/>
        <w:gridCol w:w="969"/>
        <w:gridCol w:w="1445"/>
        <w:gridCol w:w="1042"/>
      </w:tblGrid>
      <w:tr w14:paraId="5EC152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386" w:type="pct"/>
            <w:vAlign w:val="center"/>
          </w:tcPr>
          <w:p w14:paraId="0020A7A6">
            <w:pPr>
              <w:jc w:val="center"/>
              <w:rPr>
                <w:rFonts w:ascii="宋体" w:hAnsi="宋体"/>
                <w:szCs w:val="21"/>
                <w:highlight w:val="none"/>
              </w:rPr>
            </w:pPr>
            <w:r>
              <w:rPr>
                <w:rFonts w:hint="eastAsia" w:ascii="宋体" w:hAnsi="宋体"/>
                <w:szCs w:val="21"/>
                <w:highlight w:val="none"/>
              </w:rPr>
              <w:t>序号</w:t>
            </w:r>
          </w:p>
        </w:tc>
        <w:tc>
          <w:tcPr>
            <w:tcW w:w="1237" w:type="pct"/>
            <w:vAlign w:val="center"/>
          </w:tcPr>
          <w:p w14:paraId="27F0788B">
            <w:pPr>
              <w:jc w:val="center"/>
              <w:rPr>
                <w:rFonts w:ascii="宋体" w:hAnsi="宋体"/>
                <w:szCs w:val="21"/>
                <w:highlight w:val="none"/>
              </w:rPr>
            </w:pPr>
            <w:r>
              <w:rPr>
                <w:rFonts w:hint="eastAsia" w:ascii="宋体" w:hAnsi="宋体"/>
                <w:szCs w:val="21"/>
                <w:highlight w:val="none"/>
              </w:rPr>
              <w:t>服务内容</w:t>
            </w:r>
          </w:p>
        </w:tc>
        <w:tc>
          <w:tcPr>
            <w:tcW w:w="672" w:type="pct"/>
            <w:vAlign w:val="center"/>
          </w:tcPr>
          <w:p w14:paraId="02C55F15">
            <w:pPr>
              <w:jc w:val="center"/>
              <w:rPr>
                <w:rFonts w:hint="default" w:ascii="宋体" w:hAnsi="宋体" w:eastAsia="宋体"/>
                <w:bCs/>
                <w:szCs w:val="21"/>
                <w:highlight w:val="none"/>
                <w:lang w:val="en-US" w:eastAsia="zh-CN"/>
              </w:rPr>
            </w:pPr>
            <w:r>
              <w:rPr>
                <w:rFonts w:hint="eastAsia" w:ascii="宋体" w:hAnsi="宋体"/>
                <w:bCs/>
                <w:szCs w:val="21"/>
                <w:highlight w:val="none"/>
                <w:lang w:val="en-US" w:eastAsia="zh-CN"/>
              </w:rPr>
              <w:t>岗位（个）</w:t>
            </w:r>
          </w:p>
        </w:tc>
        <w:tc>
          <w:tcPr>
            <w:tcW w:w="916" w:type="pct"/>
            <w:vAlign w:val="center"/>
          </w:tcPr>
          <w:p w14:paraId="36340BC0">
            <w:pPr>
              <w:jc w:val="center"/>
              <w:rPr>
                <w:rFonts w:hint="default" w:ascii="宋体" w:hAnsi="宋体"/>
                <w:bCs/>
                <w:szCs w:val="21"/>
                <w:highlight w:val="none"/>
                <w:lang w:val="en-US" w:eastAsia="zh-CN"/>
              </w:rPr>
            </w:pPr>
            <w:r>
              <w:rPr>
                <w:rFonts w:hint="eastAsia" w:ascii="宋体" w:hAnsi="宋体"/>
                <w:bCs/>
                <w:szCs w:val="21"/>
                <w:highlight w:val="none"/>
                <w:lang w:val="en-US" w:eastAsia="zh-CN"/>
              </w:rPr>
              <w:t>每月服务费（元）</w:t>
            </w:r>
          </w:p>
        </w:tc>
        <w:tc>
          <w:tcPr>
            <w:tcW w:w="501" w:type="pct"/>
            <w:vAlign w:val="center"/>
          </w:tcPr>
          <w:p w14:paraId="00B2E505">
            <w:pPr>
              <w:jc w:val="center"/>
              <w:rPr>
                <w:rFonts w:hint="eastAsia" w:ascii="宋体" w:hAnsi="宋体" w:eastAsia="宋体"/>
                <w:szCs w:val="21"/>
                <w:highlight w:val="none"/>
                <w:lang w:eastAsia="zh-CN"/>
              </w:rPr>
            </w:pPr>
            <w:r>
              <w:rPr>
                <w:rFonts w:hint="eastAsia" w:ascii="宋体" w:hAnsi="宋体"/>
                <w:szCs w:val="21"/>
                <w:highlight w:val="none"/>
                <w:lang w:val="en-US" w:eastAsia="zh-CN"/>
              </w:rPr>
              <w:t>服务期</w:t>
            </w:r>
          </w:p>
        </w:tc>
        <w:tc>
          <w:tcPr>
            <w:tcW w:w="747" w:type="pct"/>
            <w:vAlign w:val="center"/>
          </w:tcPr>
          <w:p w14:paraId="1DAE7859">
            <w:pPr>
              <w:ind w:left="-92" w:leftChars="-44"/>
              <w:jc w:val="center"/>
              <w:rPr>
                <w:rFonts w:ascii="宋体" w:hAnsi="宋体"/>
                <w:szCs w:val="21"/>
                <w:highlight w:val="none"/>
              </w:rPr>
            </w:pPr>
            <w:r>
              <w:rPr>
                <w:rFonts w:hint="eastAsia" w:ascii="宋体" w:hAnsi="宋体"/>
                <w:szCs w:val="21"/>
                <w:highlight w:val="none"/>
                <w:lang w:val="en-US" w:eastAsia="zh-CN"/>
              </w:rPr>
              <w:t>单项</w:t>
            </w:r>
            <w:r>
              <w:rPr>
                <w:rFonts w:hint="eastAsia" w:ascii="宋体" w:hAnsi="宋体"/>
                <w:szCs w:val="21"/>
                <w:highlight w:val="none"/>
              </w:rPr>
              <w:t>合</w:t>
            </w:r>
            <w:r>
              <w:rPr>
                <w:rFonts w:hint="eastAsia" w:ascii="宋体" w:hAnsi="宋体"/>
                <w:szCs w:val="21"/>
                <w:highlight w:val="none"/>
                <w:lang w:val="en-US" w:eastAsia="zh-CN"/>
              </w:rPr>
              <w:t>计</w:t>
            </w:r>
            <w:r>
              <w:rPr>
                <w:rFonts w:hint="eastAsia" w:ascii="宋体" w:hAnsi="宋体"/>
                <w:szCs w:val="21"/>
                <w:highlight w:val="none"/>
              </w:rPr>
              <w:t>（元）</w:t>
            </w:r>
          </w:p>
        </w:tc>
        <w:tc>
          <w:tcPr>
            <w:tcW w:w="538" w:type="pct"/>
            <w:vAlign w:val="center"/>
          </w:tcPr>
          <w:p w14:paraId="768BA8DC">
            <w:pPr>
              <w:ind w:left="-92" w:leftChars="-44"/>
              <w:jc w:val="center"/>
              <w:rPr>
                <w:rFonts w:ascii="宋体" w:hAnsi="宋体"/>
                <w:szCs w:val="21"/>
                <w:highlight w:val="none"/>
              </w:rPr>
            </w:pPr>
            <w:r>
              <w:rPr>
                <w:rFonts w:ascii="宋体" w:hAnsi="宋体"/>
                <w:highlight w:val="none"/>
              </w:rPr>
              <w:t>备注</w:t>
            </w:r>
          </w:p>
        </w:tc>
      </w:tr>
      <w:tr w14:paraId="5FD35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386" w:type="pct"/>
            <w:vAlign w:val="center"/>
          </w:tcPr>
          <w:p w14:paraId="79B65F13">
            <w:pPr>
              <w:numPr>
                <w:ilvl w:val="0"/>
                <w:numId w:val="64"/>
              </w:numPr>
              <w:ind w:left="425" w:leftChars="0" w:hanging="425" w:firstLineChars="0"/>
              <w:jc w:val="right"/>
              <w:rPr>
                <w:rFonts w:ascii="宋体" w:hAnsi="宋体"/>
                <w:szCs w:val="21"/>
              </w:rPr>
            </w:pPr>
          </w:p>
        </w:tc>
        <w:tc>
          <w:tcPr>
            <w:tcW w:w="1237" w:type="pct"/>
            <w:vAlign w:val="center"/>
          </w:tcPr>
          <w:p w14:paraId="7AD3077C">
            <w:pPr>
              <w:jc w:val="center"/>
              <w:rPr>
                <w:rFonts w:ascii="宋体" w:hAnsi="宋体"/>
                <w:szCs w:val="21"/>
              </w:rPr>
            </w:pPr>
            <w:r>
              <w:rPr>
                <w:rFonts w:hint="eastAsia" w:ascii="宋体" w:hAnsi="宋体"/>
                <w:szCs w:val="21"/>
              </w:rPr>
              <w:t>三水文化中心安保驻点及巡护服务</w:t>
            </w:r>
          </w:p>
        </w:tc>
        <w:tc>
          <w:tcPr>
            <w:tcW w:w="672" w:type="pct"/>
            <w:vAlign w:val="center"/>
          </w:tcPr>
          <w:p w14:paraId="73DBD036">
            <w:pPr>
              <w:jc w:val="center"/>
              <w:rPr>
                <w:rFonts w:hint="default" w:ascii="宋体" w:hAnsi="宋体" w:eastAsia="宋体"/>
                <w:bCs/>
                <w:szCs w:val="21"/>
                <w:lang w:val="en-US" w:eastAsia="zh-CN"/>
              </w:rPr>
            </w:pPr>
            <w:r>
              <w:rPr>
                <w:rFonts w:hint="eastAsia" w:ascii="宋体" w:hAnsi="宋体"/>
                <w:bCs/>
                <w:szCs w:val="21"/>
                <w:lang w:val="en-US" w:eastAsia="zh-CN"/>
              </w:rPr>
              <w:t>8</w:t>
            </w:r>
          </w:p>
        </w:tc>
        <w:tc>
          <w:tcPr>
            <w:tcW w:w="916" w:type="pct"/>
            <w:vAlign w:val="center"/>
          </w:tcPr>
          <w:p w14:paraId="4F8EB576">
            <w:pPr>
              <w:jc w:val="center"/>
              <w:rPr>
                <w:rFonts w:ascii="宋体" w:hAnsi="宋体"/>
                <w:bCs/>
                <w:szCs w:val="21"/>
              </w:rPr>
            </w:pPr>
          </w:p>
        </w:tc>
        <w:tc>
          <w:tcPr>
            <w:tcW w:w="501" w:type="pct"/>
            <w:vAlign w:val="center"/>
          </w:tcPr>
          <w:p w14:paraId="5DFE3FCB">
            <w:pPr>
              <w:jc w:val="center"/>
              <w:rPr>
                <w:rFonts w:hint="default" w:ascii="宋体" w:hAnsi="宋体" w:eastAsia="宋体"/>
                <w:szCs w:val="21"/>
                <w:lang w:val="en-US" w:eastAsia="zh-CN"/>
              </w:rPr>
            </w:pPr>
            <w:r>
              <w:rPr>
                <w:rFonts w:hint="eastAsia" w:ascii="宋体" w:hAnsi="宋体"/>
                <w:szCs w:val="21"/>
                <w:lang w:val="en-US" w:eastAsia="zh-CN"/>
              </w:rPr>
              <w:t>12个月</w:t>
            </w:r>
          </w:p>
        </w:tc>
        <w:tc>
          <w:tcPr>
            <w:tcW w:w="747" w:type="pct"/>
            <w:vAlign w:val="center"/>
          </w:tcPr>
          <w:p w14:paraId="71584F95">
            <w:pPr>
              <w:ind w:left="-92" w:leftChars="-44"/>
              <w:jc w:val="center"/>
              <w:rPr>
                <w:rFonts w:ascii="宋体" w:hAnsi="宋体"/>
                <w:szCs w:val="21"/>
              </w:rPr>
            </w:pPr>
          </w:p>
        </w:tc>
        <w:tc>
          <w:tcPr>
            <w:tcW w:w="538" w:type="pct"/>
            <w:vAlign w:val="center"/>
          </w:tcPr>
          <w:p w14:paraId="3247FDAB">
            <w:pPr>
              <w:ind w:left="-92" w:leftChars="-44"/>
              <w:jc w:val="center"/>
              <w:rPr>
                <w:rFonts w:ascii="宋体" w:hAnsi="宋体"/>
                <w:szCs w:val="21"/>
              </w:rPr>
            </w:pPr>
          </w:p>
        </w:tc>
      </w:tr>
      <w:tr w14:paraId="3D64C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386" w:type="pct"/>
            <w:vAlign w:val="center"/>
          </w:tcPr>
          <w:p w14:paraId="77B15EAD">
            <w:pPr>
              <w:numPr>
                <w:ilvl w:val="0"/>
                <w:numId w:val="64"/>
              </w:numPr>
              <w:ind w:left="425" w:leftChars="0" w:hanging="425" w:firstLineChars="0"/>
              <w:jc w:val="right"/>
              <w:rPr>
                <w:rFonts w:ascii="宋体" w:hAnsi="宋体"/>
                <w:szCs w:val="21"/>
              </w:rPr>
            </w:pPr>
          </w:p>
        </w:tc>
        <w:tc>
          <w:tcPr>
            <w:tcW w:w="1237" w:type="pct"/>
            <w:vAlign w:val="center"/>
          </w:tcPr>
          <w:p w14:paraId="153BAF6C">
            <w:pPr>
              <w:jc w:val="center"/>
              <w:rPr>
                <w:rFonts w:ascii="宋体" w:hAnsi="宋体"/>
                <w:szCs w:val="21"/>
              </w:rPr>
            </w:pPr>
            <w:r>
              <w:rPr>
                <w:rFonts w:hint="eastAsia" w:ascii="宋体" w:hAnsi="宋体"/>
                <w:szCs w:val="21"/>
              </w:rPr>
              <w:t>广东三水云东海湿地公园安保驻点及巡护服务</w:t>
            </w:r>
          </w:p>
        </w:tc>
        <w:tc>
          <w:tcPr>
            <w:tcW w:w="672" w:type="pct"/>
            <w:vAlign w:val="center"/>
          </w:tcPr>
          <w:p w14:paraId="31647FCD">
            <w:pPr>
              <w:jc w:val="center"/>
              <w:rPr>
                <w:rFonts w:hint="default" w:ascii="宋体" w:hAnsi="宋体" w:eastAsia="宋体"/>
                <w:bCs/>
                <w:szCs w:val="21"/>
                <w:lang w:val="en-US" w:eastAsia="zh-CN"/>
              </w:rPr>
            </w:pPr>
            <w:r>
              <w:rPr>
                <w:rFonts w:hint="eastAsia" w:ascii="宋体" w:hAnsi="宋体"/>
                <w:bCs/>
                <w:szCs w:val="21"/>
                <w:lang w:val="en-US" w:eastAsia="zh-CN"/>
              </w:rPr>
              <w:t>4</w:t>
            </w:r>
          </w:p>
        </w:tc>
        <w:tc>
          <w:tcPr>
            <w:tcW w:w="916" w:type="pct"/>
            <w:vAlign w:val="center"/>
          </w:tcPr>
          <w:p w14:paraId="4C497241">
            <w:pPr>
              <w:jc w:val="center"/>
              <w:rPr>
                <w:rFonts w:ascii="宋体" w:hAnsi="宋体"/>
                <w:bCs/>
                <w:szCs w:val="21"/>
              </w:rPr>
            </w:pPr>
          </w:p>
        </w:tc>
        <w:tc>
          <w:tcPr>
            <w:tcW w:w="501" w:type="pct"/>
            <w:vAlign w:val="center"/>
          </w:tcPr>
          <w:p w14:paraId="72DD2E47">
            <w:pPr>
              <w:jc w:val="center"/>
              <w:rPr>
                <w:rFonts w:ascii="宋体" w:hAnsi="宋体"/>
                <w:szCs w:val="21"/>
              </w:rPr>
            </w:pPr>
            <w:r>
              <w:rPr>
                <w:rFonts w:hint="eastAsia" w:ascii="宋体" w:hAnsi="宋体"/>
                <w:szCs w:val="21"/>
                <w:lang w:val="en-US" w:eastAsia="zh-CN"/>
              </w:rPr>
              <w:t>12个月</w:t>
            </w:r>
          </w:p>
        </w:tc>
        <w:tc>
          <w:tcPr>
            <w:tcW w:w="747" w:type="pct"/>
            <w:vAlign w:val="center"/>
          </w:tcPr>
          <w:p w14:paraId="0D5D30B6">
            <w:pPr>
              <w:ind w:left="-92" w:leftChars="-44"/>
              <w:jc w:val="center"/>
              <w:rPr>
                <w:rFonts w:ascii="宋体" w:hAnsi="宋体"/>
                <w:szCs w:val="21"/>
              </w:rPr>
            </w:pPr>
          </w:p>
        </w:tc>
        <w:tc>
          <w:tcPr>
            <w:tcW w:w="538" w:type="pct"/>
            <w:vAlign w:val="center"/>
          </w:tcPr>
          <w:p w14:paraId="331E7A24">
            <w:pPr>
              <w:ind w:left="-92" w:leftChars="-44"/>
              <w:jc w:val="center"/>
              <w:rPr>
                <w:rFonts w:ascii="宋体" w:hAnsi="宋体"/>
                <w:szCs w:val="21"/>
              </w:rPr>
            </w:pPr>
          </w:p>
        </w:tc>
      </w:tr>
      <w:tr w14:paraId="58B0E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386" w:type="pct"/>
            <w:vAlign w:val="center"/>
          </w:tcPr>
          <w:p w14:paraId="0C0D6A2E">
            <w:pPr>
              <w:numPr>
                <w:ilvl w:val="0"/>
                <w:numId w:val="64"/>
              </w:numPr>
              <w:ind w:left="425" w:leftChars="0" w:hanging="425" w:firstLineChars="0"/>
              <w:jc w:val="right"/>
              <w:rPr>
                <w:rFonts w:ascii="宋体" w:hAnsi="宋体"/>
                <w:szCs w:val="21"/>
                <w:highlight w:val="none"/>
              </w:rPr>
            </w:pPr>
          </w:p>
        </w:tc>
        <w:tc>
          <w:tcPr>
            <w:tcW w:w="1237" w:type="pct"/>
            <w:vAlign w:val="center"/>
          </w:tcPr>
          <w:p w14:paraId="0FBA343A">
            <w:pPr>
              <w:jc w:val="center"/>
              <w:rPr>
                <w:rFonts w:ascii="宋体" w:hAnsi="宋体"/>
                <w:szCs w:val="21"/>
                <w:highlight w:val="none"/>
              </w:rPr>
            </w:pPr>
            <w:r>
              <w:rPr>
                <w:rFonts w:hint="eastAsia" w:ascii="宋体" w:hAnsi="宋体" w:cs="宋体"/>
                <w:color w:val="auto"/>
                <w:highlight w:val="none"/>
                <w:lang w:eastAsia="zh-CN"/>
              </w:rPr>
              <w:t>临时增员</w:t>
            </w:r>
            <w:r>
              <w:rPr>
                <w:rFonts w:hint="eastAsia" w:ascii="宋体" w:hAnsi="宋体" w:cs="宋体"/>
                <w:color w:val="auto"/>
                <w:highlight w:val="none"/>
                <w:lang w:val="en-US" w:eastAsia="zh-CN"/>
              </w:rPr>
              <w:t>服务</w:t>
            </w:r>
          </w:p>
        </w:tc>
        <w:tc>
          <w:tcPr>
            <w:tcW w:w="672" w:type="pct"/>
            <w:vAlign w:val="center"/>
          </w:tcPr>
          <w:p w14:paraId="410F55DB">
            <w:pPr>
              <w:jc w:val="center"/>
              <w:rPr>
                <w:rFonts w:hint="default" w:ascii="宋体" w:hAnsi="宋体" w:eastAsia="宋体"/>
                <w:bCs/>
                <w:szCs w:val="21"/>
                <w:lang w:eastAsia="zh-CN"/>
              </w:rPr>
            </w:pPr>
            <w:r>
              <w:rPr>
                <w:rFonts w:hint="default" w:ascii="宋体" w:hAnsi="宋体"/>
                <w:bCs/>
                <w:szCs w:val="21"/>
                <w:lang w:val="en-US" w:eastAsia="zh-CN"/>
              </w:rPr>
              <w:t>/</w:t>
            </w:r>
          </w:p>
        </w:tc>
        <w:tc>
          <w:tcPr>
            <w:tcW w:w="916" w:type="pct"/>
            <w:vAlign w:val="center"/>
          </w:tcPr>
          <w:p w14:paraId="727F9AF5">
            <w:pPr>
              <w:jc w:val="center"/>
              <w:rPr>
                <w:rFonts w:ascii="宋体" w:hAnsi="宋体"/>
                <w:bCs/>
                <w:szCs w:val="21"/>
                <w:highlight w:val="none"/>
              </w:rPr>
            </w:pPr>
          </w:p>
        </w:tc>
        <w:tc>
          <w:tcPr>
            <w:tcW w:w="501" w:type="pct"/>
            <w:vAlign w:val="center"/>
          </w:tcPr>
          <w:p w14:paraId="23E970FF">
            <w:pPr>
              <w:jc w:val="center"/>
              <w:rPr>
                <w:rFonts w:ascii="宋体" w:hAnsi="宋体"/>
                <w:szCs w:val="21"/>
                <w:highlight w:val="none"/>
              </w:rPr>
            </w:pPr>
            <w:r>
              <w:rPr>
                <w:rFonts w:hint="eastAsia" w:ascii="宋体" w:hAnsi="宋体"/>
                <w:szCs w:val="21"/>
                <w:highlight w:val="none"/>
                <w:lang w:val="en-US" w:eastAsia="zh-CN"/>
              </w:rPr>
              <w:t>12个月</w:t>
            </w:r>
          </w:p>
        </w:tc>
        <w:tc>
          <w:tcPr>
            <w:tcW w:w="747" w:type="pct"/>
            <w:vAlign w:val="center"/>
          </w:tcPr>
          <w:p w14:paraId="62321948">
            <w:pPr>
              <w:ind w:left="-92" w:leftChars="-44"/>
              <w:jc w:val="center"/>
              <w:rPr>
                <w:rFonts w:ascii="宋体" w:hAnsi="宋体"/>
                <w:szCs w:val="21"/>
                <w:highlight w:val="none"/>
              </w:rPr>
            </w:pPr>
          </w:p>
        </w:tc>
        <w:tc>
          <w:tcPr>
            <w:tcW w:w="538" w:type="pct"/>
            <w:vAlign w:val="center"/>
          </w:tcPr>
          <w:p w14:paraId="28C00385">
            <w:pPr>
              <w:ind w:left="-92" w:leftChars="-44"/>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根据招标人实际需求配置</w:t>
            </w:r>
          </w:p>
        </w:tc>
      </w:tr>
      <w:tr w14:paraId="27828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386" w:type="pct"/>
            <w:vAlign w:val="center"/>
          </w:tcPr>
          <w:p w14:paraId="2F017111">
            <w:pPr>
              <w:jc w:val="center"/>
              <w:rPr>
                <w:rFonts w:ascii="宋体" w:hAnsi="宋体"/>
                <w:szCs w:val="21"/>
              </w:rPr>
            </w:pPr>
            <w:r>
              <w:rPr>
                <w:rFonts w:ascii="宋体" w:hAnsi="宋体"/>
                <w:szCs w:val="21"/>
              </w:rPr>
              <w:t>……</w:t>
            </w:r>
          </w:p>
        </w:tc>
        <w:tc>
          <w:tcPr>
            <w:tcW w:w="1237" w:type="pct"/>
            <w:vAlign w:val="center"/>
          </w:tcPr>
          <w:p w14:paraId="083CBFD1">
            <w:pPr>
              <w:jc w:val="center"/>
              <w:rPr>
                <w:rFonts w:ascii="宋体" w:hAnsi="宋体"/>
                <w:szCs w:val="21"/>
              </w:rPr>
            </w:pPr>
          </w:p>
        </w:tc>
        <w:tc>
          <w:tcPr>
            <w:tcW w:w="672" w:type="pct"/>
            <w:vAlign w:val="center"/>
          </w:tcPr>
          <w:p w14:paraId="67EDF7BC">
            <w:pPr>
              <w:jc w:val="center"/>
              <w:rPr>
                <w:rFonts w:ascii="宋体" w:hAnsi="宋体"/>
                <w:bCs/>
                <w:szCs w:val="21"/>
              </w:rPr>
            </w:pPr>
          </w:p>
        </w:tc>
        <w:tc>
          <w:tcPr>
            <w:tcW w:w="916" w:type="pct"/>
            <w:vAlign w:val="center"/>
          </w:tcPr>
          <w:p w14:paraId="37B6ADE0">
            <w:pPr>
              <w:jc w:val="center"/>
              <w:rPr>
                <w:rFonts w:ascii="宋体" w:hAnsi="宋体"/>
                <w:bCs/>
                <w:szCs w:val="21"/>
              </w:rPr>
            </w:pPr>
          </w:p>
        </w:tc>
        <w:tc>
          <w:tcPr>
            <w:tcW w:w="501" w:type="pct"/>
            <w:vAlign w:val="center"/>
          </w:tcPr>
          <w:p w14:paraId="09F847EA">
            <w:pPr>
              <w:jc w:val="center"/>
              <w:rPr>
                <w:rFonts w:ascii="宋体" w:hAnsi="宋体"/>
                <w:szCs w:val="21"/>
              </w:rPr>
            </w:pPr>
          </w:p>
        </w:tc>
        <w:tc>
          <w:tcPr>
            <w:tcW w:w="747" w:type="pct"/>
            <w:vAlign w:val="center"/>
          </w:tcPr>
          <w:p w14:paraId="36D521F5">
            <w:pPr>
              <w:ind w:left="-92" w:leftChars="-44"/>
              <w:jc w:val="center"/>
              <w:rPr>
                <w:rFonts w:ascii="宋体" w:hAnsi="宋体"/>
                <w:szCs w:val="21"/>
              </w:rPr>
            </w:pPr>
          </w:p>
        </w:tc>
        <w:tc>
          <w:tcPr>
            <w:tcW w:w="538" w:type="pct"/>
            <w:vAlign w:val="center"/>
          </w:tcPr>
          <w:p w14:paraId="5B170CD3">
            <w:pPr>
              <w:ind w:left="-92" w:leftChars="-44"/>
              <w:jc w:val="center"/>
              <w:rPr>
                <w:rFonts w:ascii="宋体" w:hAnsi="宋体"/>
                <w:szCs w:val="21"/>
              </w:rPr>
            </w:pPr>
          </w:p>
        </w:tc>
      </w:tr>
      <w:tr w14:paraId="6B0A2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623" w:type="pct"/>
            <w:gridSpan w:val="2"/>
            <w:vAlign w:val="center"/>
          </w:tcPr>
          <w:p w14:paraId="6EA2CAE6">
            <w:pPr>
              <w:jc w:val="center"/>
              <w:rPr>
                <w:rFonts w:hint="eastAsia" w:ascii="宋体" w:hAnsi="宋体"/>
                <w:highlight w:val="none"/>
              </w:rPr>
            </w:pPr>
            <w:r>
              <w:rPr>
                <w:rFonts w:hint="eastAsia" w:ascii="宋体" w:hAnsi="宋体"/>
                <w:highlight w:val="none"/>
                <w:lang w:val="en-US" w:eastAsia="zh-CN"/>
              </w:rPr>
              <w:t>投标报价</w:t>
            </w:r>
            <w:r>
              <w:rPr>
                <w:rFonts w:hint="eastAsia" w:ascii="宋体" w:hAnsi="宋体"/>
                <w:highlight w:val="none"/>
              </w:rPr>
              <w:t>总计</w:t>
            </w:r>
            <w:r>
              <w:rPr>
                <w:rFonts w:hint="eastAsia" w:ascii="宋体" w:hAnsi="宋体"/>
                <w:b w:val="0"/>
                <w:bCs/>
                <w:szCs w:val="21"/>
                <w:highlight w:val="none"/>
              </w:rPr>
              <w:t>（元）</w:t>
            </w:r>
          </w:p>
        </w:tc>
        <w:tc>
          <w:tcPr>
            <w:tcW w:w="3376" w:type="pct"/>
            <w:gridSpan w:val="5"/>
            <w:vAlign w:val="center"/>
          </w:tcPr>
          <w:p w14:paraId="18807689">
            <w:pPr>
              <w:ind w:left="-92" w:leftChars="-44" w:firstLine="210" w:firstLineChars="100"/>
              <w:jc w:val="left"/>
              <w:rPr>
                <w:rFonts w:ascii="宋体" w:hAnsi="宋体"/>
                <w:szCs w:val="21"/>
                <w:highlight w:val="none"/>
              </w:rPr>
            </w:pPr>
            <w:r>
              <w:rPr>
                <w:rFonts w:hint="eastAsia" w:ascii="宋体" w:hAnsi="宋体"/>
                <w:highlight w:val="none"/>
              </w:rPr>
              <w:t xml:space="preserve">RMB：         </w:t>
            </w:r>
            <w:r>
              <w:rPr>
                <w:rFonts w:hint="eastAsia" w:ascii="宋体" w:hAnsi="宋体"/>
                <w:highlight w:val="none"/>
                <w:lang w:val="en-US" w:eastAsia="zh-CN"/>
              </w:rPr>
              <w:t xml:space="preserve">               </w:t>
            </w:r>
            <w:r>
              <w:rPr>
                <w:rFonts w:hint="eastAsia" w:ascii="宋体" w:hAnsi="宋体"/>
                <w:highlight w:val="none"/>
              </w:rPr>
              <w:t>大写：</w:t>
            </w:r>
          </w:p>
        </w:tc>
      </w:tr>
    </w:tbl>
    <w:p w14:paraId="1E45F85A">
      <w:pPr>
        <w:spacing w:line="500" w:lineRule="exact"/>
        <w:rPr>
          <w:spacing w:val="4"/>
        </w:rPr>
      </w:pPr>
    </w:p>
    <w:p w14:paraId="14854A41">
      <w:pPr>
        <w:spacing w:line="500" w:lineRule="exact"/>
        <w:rPr>
          <w:rFonts w:ascii="宋体" w:hAnsi="宋体"/>
          <w:u w:val="single"/>
        </w:rPr>
      </w:pPr>
      <w:r>
        <w:rPr>
          <w:rFonts w:hint="eastAsia"/>
          <w:spacing w:val="4"/>
        </w:rPr>
        <w:t>投标人名称（加盖公章）：</w:t>
      </w:r>
      <w:r>
        <w:rPr>
          <w:rFonts w:hint="eastAsia"/>
          <w:spacing w:val="4"/>
          <w:u w:val="single"/>
        </w:rPr>
        <w:t xml:space="preserve">                             </w:t>
      </w:r>
    </w:p>
    <w:p w14:paraId="460BA336">
      <w:pPr>
        <w:spacing w:line="520" w:lineRule="exact"/>
        <w:rPr>
          <w:spacing w:val="4"/>
        </w:rPr>
      </w:pPr>
      <w:r>
        <w:rPr>
          <w:rFonts w:hint="eastAsia"/>
          <w:spacing w:val="4"/>
        </w:rPr>
        <w:t>日期</w:t>
      </w:r>
      <w:r>
        <w:rPr>
          <w:spacing w:val="4"/>
          <w:u w:val="single"/>
        </w:rPr>
        <w:t xml:space="preserve">         </w:t>
      </w:r>
    </w:p>
    <w:p w14:paraId="045A6671">
      <w:pPr>
        <w:spacing w:line="400" w:lineRule="exact"/>
        <w:ind w:left="750" w:hanging="749" w:hangingChars="357"/>
        <w:rPr>
          <w:rFonts w:ascii="宋体" w:hAnsi="宋体"/>
        </w:rPr>
      </w:pPr>
      <w:r>
        <w:rPr>
          <w:rFonts w:hint="eastAsia" w:ascii="宋体" w:hAnsi="宋体"/>
        </w:rPr>
        <w:t>说明：</w:t>
      </w:r>
    </w:p>
    <w:p w14:paraId="405F95A6">
      <w:pPr>
        <w:numPr>
          <w:ilvl w:val="0"/>
          <w:numId w:val="65"/>
        </w:numPr>
        <w:spacing w:line="400" w:lineRule="exact"/>
        <w:rPr>
          <w:rFonts w:ascii="宋体" w:hAnsi="宋体"/>
        </w:rPr>
      </w:pPr>
      <w:r>
        <w:rPr>
          <w:rFonts w:hint="eastAsia" w:ascii="宋体" w:hAnsi="宋体"/>
        </w:rPr>
        <w:t>此表为《开标一览表（报价表）》的报价明细表。</w:t>
      </w:r>
    </w:p>
    <w:p w14:paraId="15B7FC33">
      <w:pPr>
        <w:numPr>
          <w:ilvl w:val="0"/>
          <w:numId w:val="65"/>
        </w:numPr>
        <w:spacing w:line="400" w:lineRule="exact"/>
        <w:rPr>
          <w:rFonts w:ascii="宋体" w:hAnsi="宋体"/>
        </w:rPr>
      </w:pPr>
      <w:r>
        <w:rPr>
          <w:rFonts w:hint="eastAsia" w:ascii="宋体" w:hAnsi="宋体"/>
        </w:rPr>
        <w:t>所有价格均以人民币作为货币单位填写及计算。</w:t>
      </w:r>
    </w:p>
    <w:p w14:paraId="11411C2C">
      <w:pPr>
        <w:numPr>
          <w:ilvl w:val="0"/>
          <w:numId w:val="65"/>
        </w:numPr>
        <w:spacing w:line="400" w:lineRule="exact"/>
        <w:rPr>
          <w:rFonts w:ascii="宋体" w:hAnsi="宋体"/>
        </w:rPr>
      </w:pPr>
      <w:r>
        <w:rPr>
          <w:rFonts w:hint="eastAsia" w:ascii="宋体" w:hAnsi="宋体"/>
        </w:rPr>
        <w:t>该表格式仅作参考，投标人的详细报价表格式可自定。</w:t>
      </w:r>
    </w:p>
    <w:p w14:paraId="6FB7DE52">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b w:val="0"/>
          <w:color w:val="auto"/>
        </w:rPr>
      </w:pPr>
    </w:p>
    <w:p w14:paraId="7CC179C5">
      <w:pPr>
        <w:rPr>
          <w:rFonts w:hint="eastAsia"/>
          <w:b w:val="0"/>
          <w:color w:val="auto"/>
        </w:rPr>
      </w:pPr>
      <w:r>
        <w:rPr>
          <w:rFonts w:hint="eastAsia"/>
          <w:b w:val="0"/>
          <w:color w:val="auto"/>
        </w:rPr>
        <w:br w:type="page"/>
      </w:r>
    </w:p>
    <w:p w14:paraId="1A43FFC0">
      <w:pPr>
        <w:numPr>
          <w:ilvl w:val="0"/>
          <w:numId w:val="60"/>
        </w:numPr>
        <w:spacing w:line="440" w:lineRule="exact"/>
        <w:rPr>
          <w:rFonts w:hint="eastAsia"/>
          <w:b w:val="0"/>
          <w:color w:val="auto"/>
        </w:rPr>
      </w:pPr>
    </w:p>
    <w:p w14:paraId="0546D05F">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b w:val="0"/>
          <w:color w:val="auto"/>
        </w:rPr>
      </w:pPr>
      <w:r>
        <w:rPr>
          <w:rFonts w:hint="eastAsia"/>
          <w:b w:val="0"/>
          <w:color w:val="auto"/>
        </w:rPr>
        <w:t>实质性响应一览表</w:t>
      </w:r>
      <w:bookmarkEnd w:id="214"/>
    </w:p>
    <w:p w14:paraId="3F8E334F">
      <w:pPr>
        <w:widowControl/>
        <w:wordWrap w:val="0"/>
        <w:spacing w:line="360" w:lineRule="auto"/>
        <w:jc w:val="left"/>
        <w:rPr>
          <w:rFonts w:hint="eastAsia" w:ascii="黑体" w:hAnsi="黑体" w:eastAsia="黑体" w:cs="黑体"/>
          <w:b/>
          <w:color w:val="auto"/>
          <w:sz w:val="24"/>
        </w:rPr>
      </w:pPr>
      <w:r>
        <w:rPr>
          <w:rFonts w:hint="eastAsia" w:ascii="宋体" w:hAnsi="宋体"/>
          <w:color w:val="auto"/>
        </w:rPr>
        <w:t>投标人名称：                                           项目编号：</w:t>
      </w:r>
      <w:r>
        <w:rPr>
          <w:rFonts w:hint="eastAsia" w:ascii="宋体" w:hAnsi="宋体"/>
          <w:color w:val="auto"/>
          <w:lang w:eastAsia="zh-CN"/>
        </w:rPr>
        <w:t xml:space="preserve">JG2025(SS)XZ0008 </w:t>
      </w:r>
      <w:r>
        <w:rPr>
          <w:rFonts w:ascii="ˎ̥" w:hAnsi="ˎ̥" w:cs="宋体"/>
          <w:color w:val="auto"/>
          <w:kern w:val="0"/>
          <w:sz w:val="18"/>
          <w:szCs w:val="18"/>
        </w:rPr>
        <w:t> </w:t>
      </w:r>
    </w:p>
    <w:tbl>
      <w:tblPr>
        <w:tblStyle w:val="19"/>
        <w:tblW w:w="9782" w:type="dxa"/>
        <w:tblInd w:w="-1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5"/>
        <w:gridCol w:w="3850"/>
        <w:gridCol w:w="1967"/>
        <w:gridCol w:w="1616"/>
        <w:gridCol w:w="1684"/>
      </w:tblGrid>
      <w:tr w14:paraId="61B29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65" w:type="dxa"/>
            <w:tcBorders>
              <w:top w:val="single" w:color="auto" w:sz="12" w:space="0"/>
              <w:bottom w:val="double" w:color="auto" w:sz="4" w:space="0"/>
            </w:tcBorders>
            <w:shd w:val="clear" w:color="auto" w:fill="EEECE1"/>
            <w:noWrap w:val="0"/>
            <w:vAlign w:val="center"/>
          </w:tcPr>
          <w:p w14:paraId="43366486">
            <w:pPr>
              <w:ind w:left="-90" w:leftChars="-43" w:right="-103" w:rightChars="-49"/>
              <w:jc w:val="center"/>
              <w:rPr>
                <w:rFonts w:hint="eastAsia" w:ascii="宋体" w:hAnsi="宋体"/>
                <w:color w:val="auto"/>
                <w:szCs w:val="21"/>
              </w:rPr>
            </w:pPr>
            <w:r>
              <w:rPr>
                <w:rFonts w:hint="eastAsia" w:ascii="宋体" w:hAnsi="宋体"/>
                <w:color w:val="auto"/>
                <w:szCs w:val="21"/>
              </w:rPr>
              <w:t>序号</w:t>
            </w:r>
          </w:p>
        </w:tc>
        <w:tc>
          <w:tcPr>
            <w:tcW w:w="3850" w:type="dxa"/>
            <w:tcBorders>
              <w:top w:val="single" w:color="auto" w:sz="12" w:space="0"/>
              <w:bottom w:val="double" w:color="auto" w:sz="4" w:space="0"/>
            </w:tcBorders>
            <w:shd w:val="clear" w:color="auto" w:fill="EEECE1"/>
            <w:noWrap w:val="0"/>
            <w:vAlign w:val="center"/>
          </w:tcPr>
          <w:p w14:paraId="48907C4E">
            <w:pPr>
              <w:jc w:val="center"/>
              <w:rPr>
                <w:rFonts w:hint="eastAsia" w:ascii="宋体" w:hAnsi="宋体"/>
                <w:color w:val="auto"/>
              </w:rPr>
            </w:pPr>
            <w:r>
              <w:rPr>
                <w:rFonts w:hint="eastAsia" w:ascii="宋体" w:hAnsi="宋体"/>
                <w:color w:val="auto"/>
              </w:rPr>
              <w:t>原条款描述</w:t>
            </w:r>
          </w:p>
        </w:tc>
        <w:tc>
          <w:tcPr>
            <w:tcW w:w="1967" w:type="dxa"/>
            <w:tcBorders>
              <w:top w:val="single" w:color="auto" w:sz="12" w:space="0"/>
              <w:bottom w:val="double" w:color="auto" w:sz="4" w:space="0"/>
            </w:tcBorders>
            <w:shd w:val="clear" w:color="auto" w:fill="EEECE1"/>
            <w:noWrap w:val="0"/>
            <w:vAlign w:val="center"/>
          </w:tcPr>
          <w:p w14:paraId="739AF7CC">
            <w:pPr>
              <w:jc w:val="center"/>
              <w:rPr>
                <w:rFonts w:hint="eastAsia" w:ascii="宋体" w:hAnsi="宋体"/>
                <w:color w:val="auto"/>
              </w:rPr>
            </w:pPr>
            <w:r>
              <w:rPr>
                <w:rFonts w:hint="eastAsia" w:ascii="宋体" w:hAnsi="宋体"/>
                <w:color w:val="auto"/>
              </w:rPr>
              <w:t>投标人响应描述</w:t>
            </w:r>
          </w:p>
        </w:tc>
        <w:tc>
          <w:tcPr>
            <w:tcW w:w="1616" w:type="dxa"/>
            <w:tcBorders>
              <w:top w:val="single" w:color="auto" w:sz="12" w:space="0"/>
              <w:bottom w:val="double" w:color="auto" w:sz="4" w:space="0"/>
              <w:right w:val="single" w:color="auto" w:sz="2" w:space="0"/>
            </w:tcBorders>
            <w:shd w:val="clear" w:color="auto" w:fill="EEECE1"/>
            <w:noWrap w:val="0"/>
            <w:vAlign w:val="center"/>
          </w:tcPr>
          <w:p w14:paraId="5133397B">
            <w:pPr>
              <w:jc w:val="center"/>
              <w:rPr>
                <w:rFonts w:hint="eastAsia" w:ascii="宋体" w:hAnsi="宋体"/>
                <w:color w:val="auto"/>
              </w:rPr>
            </w:pPr>
            <w:r>
              <w:rPr>
                <w:rFonts w:hint="eastAsia" w:ascii="宋体" w:hAnsi="宋体"/>
                <w:color w:val="auto"/>
              </w:rPr>
              <w:t>偏离情况说明</w:t>
            </w:r>
          </w:p>
          <w:p w14:paraId="6A55D0F5">
            <w:pPr>
              <w:jc w:val="center"/>
              <w:rPr>
                <w:rFonts w:hint="eastAsia" w:ascii="宋体" w:hAnsi="宋体"/>
                <w:color w:val="auto"/>
              </w:rPr>
            </w:pPr>
            <w:r>
              <w:rPr>
                <w:rFonts w:hint="eastAsia" w:ascii="宋体" w:hAnsi="宋体"/>
                <w:color w:val="auto"/>
              </w:rPr>
              <w:t>（</w:t>
            </w:r>
            <w:r>
              <w:rPr>
                <w:rFonts w:hint="eastAsia"/>
                <w:color w:val="auto"/>
              </w:rPr>
              <w:t>正偏离/完全响应/负偏离</w:t>
            </w:r>
            <w:r>
              <w:rPr>
                <w:rFonts w:hint="eastAsia" w:ascii="宋体" w:hAnsi="宋体"/>
                <w:color w:val="auto"/>
              </w:rPr>
              <w:t>）</w:t>
            </w:r>
          </w:p>
        </w:tc>
        <w:tc>
          <w:tcPr>
            <w:tcW w:w="1684" w:type="dxa"/>
            <w:tcBorders>
              <w:top w:val="single" w:color="auto" w:sz="12" w:space="0"/>
              <w:left w:val="single" w:color="auto" w:sz="2" w:space="0"/>
              <w:bottom w:val="double" w:color="auto" w:sz="4" w:space="0"/>
            </w:tcBorders>
            <w:shd w:val="clear" w:color="auto" w:fill="EEECE1"/>
            <w:noWrap w:val="0"/>
            <w:vAlign w:val="center"/>
          </w:tcPr>
          <w:p w14:paraId="7163AB24">
            <w:pPr>
              <w:jc w:val="center"/>
              <w:rPr>
                <w:rFonts w:hint="eastAsia" w:ascii="宋体" w:hAnsi="宋体"/>
                <w:color w:val="auto"/>
              </w:rPr>
            </w:pPr>
            <w:r>
              <w:rPr>
                <w:rFonts w:hint="eastAsia" w:ascii="宋体" w:hAnsi="宋体"/>
                <w:color w:val="auto"/>
              </w:rPr>
              <w:t>查阅/证明文件指引</w:t>
            </w:r>
          </w:p>
        </w:tc>
      </w:tr>
      <w:tr w14:paraId="4826A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2" w:type="dxa"/>
            <w:gridSpan w:val="5"/>
            <w:tcBorders>
              <w:top w:val="double" w:color="auto" w:sz="4" w:space="0"/>
            </w:tcBorders>
            <w:noWrap w:val="0"/>
            <w:vAlign w:val="center"/>
          </w:tcPr>
          <w:p w14:paraId="34ADFBD3">
            <w:pPr>
              <w:spacing w:line="240" w:lineRule="auto"/>
              <w:jc w:val="center"/>
              <w:rPr>
                <w:rFonts w:hint="default" w:ascii="宋体" w:hAnsi="宋体" w:eastAsia="宋体" w:cs="宋体"/>
                <w:color w:val="auto"/>
                <w:szCs w:val="21"/>
                <w:lang w:val="en-US" w:eastAsia="zh-CN"/>
              </w:rPr>
            </w:pPr>
            <w:r>
              <w:rPr>
                <w:rFonts w:hint="eastAsia" w:ascii="宋体" w:hAnsi="宋体" w:cs="宋体"/>
                <w:b/>
                <w:bCs/>
                <w:color w:val="auto"/>
                <w:szCs w:val="21"/>
                <w:lang w:val="en-US" w:eastAsia="zh-CN"/>
              </w:rPr>
              <w:t>带</w:t>
            </w:r>
            <w:r>
              <w:rPr>
                <w:rFonts w:hint="eastAsia" w:ascii="宋体" w:hAnsi="宋体" w:cs="宋体"/>
                <w:b/>
                <w:bCs/>
                <w:color w:val="auto"/>
                <w:szCs w:val="21"/>
                <w:lang w:eastAsia="zh-CN"/>
              </w:rPr>
              <w:t>“</w:t>
            </w:r>
            <w:r>
              <w:rPr>
                <w:rFonts w:hint="eastAsia" w:ascii="宋体" w:hAnsi="宋体" w:eastAsia="宋体" w:cs="宋体"/>
                <w:b/>
                <w:bCs/>
                <w:color w:val="auto"/>
                <w:lang w:val="en-US" w:eastAsia="zh-CN"/>
              </w:rPr>
              <w:t>★</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条款</w:t>
            </w:r>
          </w:p>
        </w:tc>
      </w:tr>
      <w:tr w14:paraId="3D9FA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65" w:type="dxa"/>
            <w:tcBorders>
              <w:top w:val="double" w:color="auto" w:sz="4" w:space="0"/>
            </w:tcBorders>
            <w:noWrap w:val="0"/>
            <w:vAlign w:val="center"/>
          </w:tcPr>
          <w:p w14:paraId="34EDC44F">
            <w:pPr>
              <w:numPr>
                <w:ilvl w:val="0"/>
                <w:numId w:val="66"/>
              </w:numPr>
              <w:spacing w:line="240" w:lineRule="auto"/>
              <w:jc w:val="center"/>
              <w:rPr>
                <w:rFonts w:hint="eastAsia" w:ascii="宋体" w:hAnsi="宋体"/>
                <w:color w:val="auto"/>
                <w:szCs w:val="21"/>
              </w:rPr>
            </w:pPr>
          </w:p>
        </w:tc>
        <w:tc>
          <w:tcPr>
            <w:tcW w:w="3850" w:type="dxa"/>
            <w:tcBorders>
              <w:top w:val="double" w:color="auto" w:sz="4" w:space="0"/>
            </w:tcBorders>
            <w:noWrap w:val="0"/>
            <w:vAlign w:val="center"/>
          </w:tcPr>
          <w:p w14:paraId="392A787D">
            <w:pPr>
              <w:spacing w:line="240" w:lineRule="auto"/>
              <w:rPr>
                <w:rFonts w:hint="eastAsia" w:ascii="宋体" w:hAnsi="宋体"/>
                <w:color w:val="auto"/>
              </w:rPr>
            </w:pPr>
            <w:r>
              <w:rPr>
                <w:rFonts w:hint="eastAsia" w:ascii="宋体" w:hAnsi="宋体"/>
                <w:color w:val="auto"/>
                <w:lang w:eastAsia="zh-CN"/>
              </w:rPr>
              <w:t>（</w:t>
            </w:r>
            <w:r>
              <w:rPr>
                <w:rFonts w:hint="eastAsia" w:ascii="宋体" w:hAnsi="宋体"/>
                <w:color w:val="auto"/>
              </w:rPr>
              <w:t>1</w:t>
            </w:r>
            <w:r>
              <w:rPr>
                <w:rFonts w:hint="eastAsia" w:ascii="宋体" w:hAnsi="宋体"/>
                <w:color w:val="auto"/>
                <w:lang w:eastAsia="zh-CN"/>
              </w:rPr>
              <w:t>）</w:t>
            </w:r>
            <w:r>
              <w:rPr>
                <w:rFonts w:hint="eastAsia" w:ascii="宋体" w:hAnsi="宋体"/>
                <w:color w:val="auto"/>
              </w:rPr>
              <w:t>★</w:t>
            </w:r>
            <w:r>
              <w:rPr>
                <w:rFonts w:hint="eastAsia" w:ascii="宋体" w:hAnsi="宋体" w:eastAsia="宋体" w:cs="宋体"/>
                <w:color w:val="auto"/>
                <w:highlight w:val="none"/>
                <w:lang w:val="en-US" w:eastAsia="zh-CN"/>
              </w:rPr>
              <w:t>拟派专项服务队伍人员均</w:t>
            </w:r>
            <w:r>
              <w:rPr>
                <w:rFonts w:hint="eastAsia" w:ascii="宋体" w:hAnsi="宋体" w:cs="宋体"/>
                <w:color w:val="auto"/>
                <w:highlight w:val="none"/>
                <w:lang w:val="en-US" w:eastAsia="zh-CN"/>
              </w:rPr>
              <w:t>须具有由公安机关颁发的保安员证；拟派项目负责人须具有高级保安管理师（国家资格）、高级或以上消防设施操作员或建（构）筑物消防员三级（或以上）职业资格证书的人员为本项目提供管理服务，并提供相应的现场服务</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投标时须提供上述相关</w:t>
            </w:r>
            <w:r>
              <w:rPr>
                <w:rFonts w:hint="eastAsia" w:ascii="宋体" w:hAnsi="宋体" w:eastAsia="宋体" w:cs="宋体"/>
                <w:color w:val="auto"/>
                <w:highlight w:val="none"/>
                <w:lang w:val="en-US" w:eastAsia="zh-CN"/>
              </w:rPr>
              <w:t>证书</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或</w:t>
            </w:r>
            <w:r>
              <w:rPr>
                <w:rFonts w:hint="eastAsia" w:ascii="宋体" w:hAnsi="宋体" w:cs="宋体"/>
                <w:color w:val="auto"/>
                <w:highlight w:val="none"/>
                <w:lang w:val="en-US" w:eastAsia="zh-CN"/>
              </w:rPr>
              <w:t>投标时针对上述内容</w:t>
            </w:r>
            <w:r>
              <w:rPr>
                <w:rFonts w:hint="eastAsia" w:ascii="宋体" w:hAnsi="宋体" w:eastAsia="宋体" w:cs="宋体"/>
                <w:color w:val="auto"/>
                <w:highlight w:val="none"/>
                <w:lang w:val="en-US" w:eastAsia="zh-CN"/>
              </w:rPr>
              <w:t>承诺</w:t>
            </w:r>
            <w:r>
              <w:rPr>
                <w:rFonts w:hint="eastAsia" w:ascii="宋体" w:hAnsi="宋体" w:cs="宋体"/>
                <w:color w:val="auto"/>
                <w:highlight w:val="none"/>
                <w:lang w:val="en-US" w:eastAsia="zh-CN"/>
              </w:rPr>
              <w:t>如获</w:t>
            </w:r>
            <w:r>
              <w:rPr>
                <w:rFonts w:hint="eastAsia" w:ascii="宋体" w:hAnsi="宋体" w:eastAsia="宋体" w:cs="宋体"/>
                <w:color w:val="auto"/>
                <w:highlight w:val="none"/>
                <w:lang w:val="en-US" w:eastAsia="zh-CN"/>
              </w:rPr>
              <w:t>中标</w:t>
            </w:r>
            <w:r>
              <w:rPr>
                <w:rFonts w:hint="eastAsia" w:ascii="宋体" w:hAnsi="宋体" w:cs="宋体"/>
                <w:color w:val="auto"/>
                <w:highlight w:val="none"/>
                <w:lang w:val="en-US" w:eastAsia="zh-CN"/>
              </w:rPr>
              <w:t>，在</w:t>
            </w:r>
            <w:r>
              <w:rPr>
                <w:rFonts w:hint="eastAsia" w:ascii="宋体" w:hAnsi="宋体" w:eastAsia="宋体" w:cs="宋体"/>
                <w:color w:val="auto"/>
                <w:highlight w:val="none"/>
                <w:lang w:val="en-US" w:eastAsia="zh-CN"/>
              </w:rPr>
              <w:t>双方签订合同</w:t>
            </w:r>
            <w:r>
              <w:rPr>
                <w:rFonts w:hint="eastAsia" w:ascii="宋体" w:hAnsi="宋体" w:cs="宋体"/>
                <w:color w:val="auto"/>
                <w:highlight w:val="none"/>
                <w:lang w:val="en-US" w:eastAsia="zh-CN"/>
              </w:rPr>
              <w:t>后</w:t>
            </w:r>
            <w:r>
              <w:rPr>
                <w:rFonts w:hint="eastAsia" w:ascii="宋体" w:hAnsi="宋体" w:eastAsia="宋体" w:cs="宋体"/>
                <w:color w:val="auto"/>
                <w:highlight w:val="none"/>
                <w:lang w:val="en-US" w:eastAsia="zh-CN"/>
              </w:rPr>
              <w:t>并提供服务前的5个工作日内提供拟派专项服务队伍人员的</w:t>
            </w:r>
            <w:r>
              <w:rPr>
                <w:rFonts w:hint="eastAsia" w:ascii="宋体" w:hAnsi="宋体" w:cs="宋体"/>
                <w:color w:val="auto"/>
                <w:highlight w:val="none"/>
                <w:lang w:val="en-US" w:eastAsia="zh-CN"/>
              </w:rPr>
              <w:t>所有相关</w:t>
            </w:r>
            <w:r>
              <w:rPr>
                <w:rFonts w:hint="eastAsia" w:ascii="宋体" w:hAnsi="宋体" w:eastAsia="宋体" w:cs="宋体"/>
                <w:color w:val="auto"/>
                <w:highlight w:val="none"/>
                <w:lang w:val="en-US" w:eastAsia="zh-CN"/>
              </w:rPr>
              <w:t>证书</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格式自拟的承诺函）</w:t>
            </w:r>
            <w:r>
              <w:rPr>
                <w:rFonts w:hint="eastAsia" w:ascii="宋体" w:hAnsi="宋体"/>
                <w:color w:val="auto"/>
                <w:lang w:eastAsia="zh-CN"/>
              </w:rPr>
              <w:t>】</w:t>
            </w:r>
            <w:r>
              <w:rPr>
                <w:rFonts w:hint="eastAsia" w:ascii="宋体" w:hAnsi="宋体"/>
                <w:color w:val="auto"/>
              </w:rPr>
              <w:t>。</w:t>
            </w:r>
          </w:p>
        </w:tc>
        <w:tc>
          <w:tcPr>
            <w:tcW w:w="1967" w:type="dxa"/>
            <w:tcBorders>
              <w:top w:val="double" w:color="auto" w:sz="4" w:space="0"/>
            </w:tcBorders>
            <w:noWrap w:val="0"/>
            <w:vAlign w:val="center"/>
          </w:tcPr>
          <w:p w14:paraId="43DB0A9F">
            <w:pPr>
              <w:spacing w:line="240" w:lineRule="auto"/>
              <w:jc w:val="center"/>
              <w:rPr>
                <w:rFonts w:hint="eastAsia" w:ascii="宋体" w:hAnsi="宋体"/>
                <w:color w:val="auto"/>
              </w:rPr>
            </w:pPr>
          </w:p>
        </w:tc>
        <w:tc>
          <w:tcPr>
            <w:tcW w:w="1616" w:type="dxa"/>
            <w:tcBorders>
              <w:top w:val="double" w:color="auto" w:sz="4" w:space="0"/>
              <w:right w:val="single" w:color="auto" w:sz="2" w:space="0"/>
            </w:tcBorders>
            <w:noWrap w:val="0"/>
            <w:vAlign w:val="center"/>
          </w:tcPr>
          <w:p w14:paraId="44C88E0D">
            <w:pPr>
              <w:spacing w:line="240" w:lineRule="auto"/>
              <w:jc w:val="center"/>
              <w:rPr>
                <w:rFonts w:hint="eastAsia" w:ascii="宋体" w:hAnsi="宋体"/>
                <w:color w:val="auto"/>
              </w:rPr>
            </w:pPr>
          </w:p>
        </w:tc>
        <w:tc>
          <w:tcPr>
            <w:tcW w:w="1684" w:type="dxa"/>
            <w:tcBorders>
              <w:top w:val="double" w:color="auto" w:sz="4" w:space="0"/>
              <w:left w:val="single" w:color="auto" w:sz="2" w:space="0"/>
            </w:tcBorders>
            <w:noWrap w:val="0"/>
            <w:vAlign w:val="center"/>
          </w:tcPr>
          <w:p w14:paraId="7DE1E8BB">
            <w:pPr>
              <w:spacing w:line="240" w:lineRule="auto"/>
              <w:jc w:val="center"/>
              <w:rPr>
                <w:rFonts w:hint="eastAsia" w:ascii="宋体" w:hAnsi="宋体"/>
                <w:color w:val="auto"/>
                <w:szCs w:val="21"/>
              </w:rPr>
            </w:pPr>
            <w:r>
              <w:rPr>
                <w:rFonts w:hint="eastAsia" w:ascii="宋体" w:hAnsi="宋体" w:cs="宋体"/>
                <w:color w:val="auto"/>
                <w:szCs w:val="21"/>
              </w:rPr>
              <w:t>见《投标文件》第</w:t>
            </w:r>
            <w:r>
              <w:rPr>
                <w:rFonts w:hint="eastAsia" w:ascii="宋体" w:hAnsi="宋体" w:cs="宋体"/>
                <w:color w:val="auto"/>
                <w:szCs w:val="21"/>
                <w:u w:val="single"/>
              </w:rPr>
              <w:t xml:space="preserve">   </w:t>
            </w:r>
            <w:r>
              <w:rPr>
                <w:rFonts w:hint="eastAsia" w:ascii="宋体" w:hAnsi="宋体" w:cs="宋体"/>
                <w:color w:val="auto"/>
                <w:szCs w:val="21"/>
              </w:rPr>
              <w:t>页</w:t>
            </w:r>
          </w:p>
        </w:tc>
      </w:tr>
      <w:tr w14:paraId="07093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782" w:type="dxa"/>
            <w:gridSpan w:val="5"/>
            <w:noWrap w:val="0"/>
            <w:vAlign w:val="center"/>
          </w:tcPr>
          <w:p w14:paraId="289E33B6">
            <w:pPr>
              <w:spacing w:line="240" w:lineRule="auto"/>
              <w:jc w:val="center"/>
              <w:rPr>
                <w:rFonts w:hint="eastAsia" w:ascii="宋体" w:hAnsi="宋体"/>
                <w:color w:val="auto"/>
              </w:rPr>
            </w:pPr>
            <w:r>
              <w:rPr>
                <w:rFonts w:hint="eastAsia" w:ascii="宋体" w:hAnsi="宋体"/>
                <w:b/>
                <w:bCs/>
                <w:color w:val="auto"/>
              </w:rPr>
              <w:t>商务要求</w:t>
            </w:r>
          </w:p>
        </w:tc>
      </w:tr>
      <w:tr w14:paraId="30D8C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65" w:type="dxa"/>
            <w:noWrap w:val="0"/>
            <w:vAlign w:val="center"/>
          </w:tcPr>
          <w:p w14:paraId="2983F57C">
            <w:pPr>
              <w:numPr>
                <w:ilvl w:val="0"/>
                <w:numId w:val="67"/>
              </w:numPr>
              <w:spacing w:line="240" w:lineRule="auto"/>
              <w:jc w:val="center"/>
              <w:rPr>
                <w:rFonts w:hint="eastAsia" w:ascii="宋体" w:hAnsi="宋体"/>
                <w:color w:val="auto"/>
                <w:szCs w:val="21"/>
              </w:rPr>
            </w:pPr>
          </w:p>
        </w:tc>
        <w:tc>
          <w:tcPr>
            <w:tcW w:w="3850" w:type="dxa"/>
            <w:noWrap w:val="0"/>
            <w:vAlign w:val="center"/>
          </w:tcPr>
          <w:p w14:paraId="7BA2BB15">
            <w:pPr>
              <w:spacing w:line="240" w:lineRule="auto"/>
              <w:rPr>
                <w:rFonts w:hint="eastAsia" w:ascii="宋体" w:hAnsi="宋体"/>
                <w:color w:val="auto"/>
              </w:rPr>
            </w:pPr>
            <w:r>
              <w:rPr>
                <w:rFonts w:hint="eastAsia" w:ascii="宋体" w:hAnsi="宋体"/>
                <w:color w:val="auto"/>
              </w:rPr>
              <w:t>一、报价要求</w:t>
            </w:r>
          </w:p>
          <w:p w14:paraId="5B7803C0">
            <w:pPr>
              <w:spacing w:line="240" w:lineRule="auto"/>
              <w:rPr>
                <w:rFonts w:hint="eastAsia" w:ascii="宋体" w:hAnsi="宋体"/>
                <w:color w:val="auto"/>
              </w:rPr>
            </w:pPr>
            <w:r>
              <w:rPr>
                <w:rFonts w:hint="eastAsia" w:ascii="宋体" w:hAnsi="宋体"/>
                <w:color w:val="auto"/>
              </w:rPr>
              <w:t>（一）</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报价时</w:t>
            </w:r>
            <w:r>
              <w:rPr>
                <w:rFonts w:hint="eastAsia" w:ascii="宋体" w:hAnsi="宋体" w:eastAsia="宋体" w:cs="宋体"/>
                <w:color w:val="auto"/>
                <w:sz w:val="21"/>
                <w:szCs w:val="21"/>
                <w:highlight w:val="none"/>
                <w:lang w:eastAsia="zh-CN"/>
              </w:rPr>
              <w:t>应详细列明报价的具体构成（须包含三水文化中心安保驻点及巡护服务费、广东三水云东海湿地公园安保驻点及巡护服务费、临时增员费），</w:t>
            </w:r>
            <w:r>
              <w:rPr>
                <w:rFonts w:hint="eastAsia" w:ascii="宋体" w:hAnsi="宋体" w:eastAsia="宋体" w:cs="宋体"/>
                <w:color w:val="auto"/>
                <w:sz w:val="21"/>
                <w:szCs w:val="21"/>
                <w:highlight w:val="none"/>
                <w:lang w:val="en-US" w:eastAsia="zh-CN"/>
              </w:rPr>
              <w:t>合计的</w:t>
            </w:r>
            <w:r>
              <w:rPr>
                <w:rFonts w:hint="eastAsia" w:ascii="宋体" w:hAnsi="宋体"/>
                <w:color w:val="auto"/>
              </w:rPr>
              <w:t xml:space="preserve">投标报价不得高于本项目最高限价。本项目最高限价为人民币2,637,600.00元。 </w:t>
            </w:r>
          </w:p>
          <w:p w14:paraId="1FB36A03">
            <w:pPr>
              <w:spacing w:line="240" w:lineRule="auto"/>
              <w:rPr>
                <w:rFonts w:hint="eastAsia" w:ascii="宋体" w:hAnsi="宋体"/>
                <w:color w:val="auto"/>
              </w:rPr>
            </w:pPr>
            <w:r>
              <w:rPr>
                <w:rFonts w:hint="eastAsia" w:ascii="宋体" w:hAnsi="宋体"/>
                <w:color w:val="auto"/>
              </w:rPr>
              <w:t>（二）报价方式为佛山市三水云东海创智城产业发展有限公司安保服务的总价包干价（含税）。投标总价指投标人为完成本项目所收取的全部费用，包含但不限于以下费用：安保服务费、服装费、安保器材费、人员工资及五险一金、绩效工资（含加班费，夜班费）、福利待遇含高温补贴、节日慰问费、年终奖、住宿餐费补贴等各类补贴）、商业意外险、各项税费、安保专用工具设备及完成本项目其他可预见和不可预见的所有费用等。投标人必须自行考虑本项目在实施期间的一切可能产生的费用。在合同执行过程中，招标人将不再另行支付与本项目相关的任何费用。</w:t>
            </w:r>
          </w:p>
          <w:p w14:paraId="2833ABC9">
            <w:pPr>
              <w:spacing w:line="240" w:lineRule="auto"/>
              <w:rPr>
                <w:rFonts w:hint="eastAsia" w:ascii="宋体" w:hAnsi="宋体"/>
                <w:color w:val="auto"/>
              </w:rPr>
            </w:pPr>
            <w:r>
              <w:rPr>
                <w:rFonts w:hint="eastAsia" w:ascii="宋体" w:hAnsi="宋体"/>
                <w:color w:val="auto"/>
              </w:rPr>
              <w:t>（三）报价已包含五险一金费用，中标人提供的服务人员如存在工伤、产假等情况的，中标人需补充对应的服务人员，相关的费用已包含在报价中，招标人不额外支付其他费用。</w:t>
            </w:r>
          </w:p>
          <w:p w14:paraId="0AF81155">
            <w:pPr>
              <w:spacing w:line="240" w:lineRule="auto"/>
              <w:rPr>
                <w:rFonts w:hint="eastAsia" w:ascii="宋体" w:hAnsi="宋体"/>
                <w:color w:val="auto"/>
              </w:rPr>
            </w:pPr>
            <w:r>
              <w:rPr>
                <w:rFonts w:hint="eastAsia" w:ascii="宋体" w:hAnsi="宋体"/>
                <w:color w:val="auto"/>
              </w:rPr>
              <w:t>（四）服务期间，如有涉及户外作业的，中标人根据工作情况为服务人员购买人身意外等保险，费用由中标人负责。</w:t>
            </w:r>
          </w:p>
        </w:tc>
        <w:tc>
          <w:tcPr>
            <w:tcW w:w="1967" w:type="dxa"/>
            <w:noWrap w:val="0"/>
            <w:vAlign w:val="center"/>
          </w:tcPr>
          <w:p w14:paraId="2F54A0AF">
            <w:pPr>
              <w:spacing w:line="240" w:lineRule="auto"/>
              <w:jc w:val="center"/>
              <w:rPr>
                <w:rFonts w:hint="eastAsia" w:ascii="宋体" w:hAnsi="宋体"/>
                <w:color w:val="auto"/>
              </w:rPr>
            </w:pPr>
          </w:p>
        </w:tc>
        <w:tc>
          <w:tcPr>
            <w:tcW w:w="1616" w:type="dxa"/>
            <w:tcBorders>
              <w:right w:val="single" w:color="auto" w:sz="2" w:space="0"/>
            </w:tcBorders>
            <w:noWrap w:val="0"/>
            <w:vAlign w:val="center"/>
          </w:tcPr>
          <w:p w14:paraId="5F1CD55C">
            <w:pPr>
              <w:spacing w:line="240" w:lineRule="auto"/>
              <w:jc w:val="center"/>
              <w:rPr>
                <w:rFonts w:hint="eastAsia" w:ascii="宋体" w:hAnsi="宋体"/>
                <w:color w:val="auto"/>
              </w:rPr>
            </w:pPr>
          </w:p>
        </w:tc>
        <w:tc>
          <w:tcPr>
            <w:tcW w:w="1684" w:type="dxa"/>
            <w:tcBorders>
              <w:left w:val="single" w:color="auto" w:sz="2" w:space="0"/>
            </w:tcBorders>
            <w:noWrap w:val="0"/>
            <w:vAlign w:val="center"/>
          </w:tcPr>
          <w:p w14:paraId="1DB38178">
            <w:pPr>
              <w:spacing w:line="240" w:lineRule="auto"/>
              <w:jc w:val="center"/>
              <w:rPr>
                <w:rFonts w:hint="eastAsia" w:ascii="宋体" w:hAnsi="宋体"/>
                <w:color w:val="auto"/>
              </w:rPr>
            </w:pPr>
            <w:r>
              <w:rPr>
                <w:rFonts w:hint="eastAsia" w:ascii="宋体" w:hAnsi="宋体" w:cs="宋体"/>
                <w:color w:val="auto"/>
                <w:szCs w:val="21"/>
              </w:rPr>
              <w:t>见《投标文件》第</w:t>
            </w:r>
            <w:r>
              <w:rPr>
                <w:rFonts w:hint="eastAsia" w:ascii="宋体" w:hAnsi="宋体" w:cs="宋体"/>
                <w:color w:val="auto"/>
                <w:szCs w:val="21"/>
                <w:u w:val="single"/>
              </w:rPr>
              <w:t xml:space="preserve">   </w:t>
            </w:r>
            <w:r>
              <w:rPr>
                <w:rFonts w:hint="eastAsia" w:ascii="宋体" w:hAnsi="宋体" w:cs="宋体"/>
                <w:color w:val="auto"/>
                <w:szCs w:val="21"/>
              </w:rPr>
              <w:t>页</w:t>
            </w:r>
          </w:p>
        </w:tc>
      </w:tr>
      <w:tr w14:paraId="10D11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65" w:type="dxa"/>
            <w:noWrap w:val="0"/>
            <w:vAlign w:val="center"/>
          </w:tcPr>
          <w:p w14:paraId="67748B56">
            <w:pPr>
              <w:numPr>
                <w:ilvl w:val="0"/>
                <w:numId w:val="67"/>
              </w:numPr>
              <w:spacing w:line="240" w:lineRule="auto"/>
              <w:jc w:val="center"/>
              <w:rPr>
                <w:rFonts w:hint="eastAsia" w:ascii="宋体" w:hAnsi="宋体"/>
                <w:color w:val="auto"/>
                <w:szCs w:val="21"/>
              </w:rPr>
            </w:pPr>
          </w:p>
        </w:tc>
        <w:tc>
          <w:tcPr>
            <w:tcW w:w="3850" w:type="dxa"/>
            <w:noWrap w:val="0"/>
            <w:vAlign w:val="center"/>
          </w:tcPr>
          <w:p w14:paraId="694AD7BF">
            <w:pPr>
              <w:spacing w:line="240" w:lineRule="auto"/>
              <w:rPr>
                <w:rFonts w:hint="eastAsia" w:ascii="宋体" w:hAnsi="宋体"/>
                <w:color w:val="auto"/>
              </w:rPr>
            </w:pPr>
            <w:r>
              <w:rPr>
                <w:rFonts w:hint="eastAsia" w:ascii="宋体" w:hAnsi="宋体"/>
                <w:color w:val="auto"/>
              </w:rPr>
              <w:t>二、服务期</w:t>
            </w:r>
          </w:p>
          <w:p w14:paraId="276D5429">
            <w:pPr>
              <w:spacing w:line="240" w:lineRule="auto"/>
              <w:rPr>
                <w:rFonts w:hint="eastAsia" w:ascii="宋体" w:hAnsi="宋体"/>
                <w:color w:val="auto"/>
              </w:rPr>
            </w:pPr>
            <w:r>
              <w:rPr>
                <w:rFonts w:hint="eastAsia" w:ascii="宋体" w:hAnsi="宋体"/>
                <w:color w:val="auto"/>
                <w:lang w:eastAsia="zh-CN"/>
              </w:rPr>
              <w:t>自合同签订之日起1年，即从2025年10月1日至2026年9月30日。</w:t>
            </w:r>
          </w:p>
        </w:tc>
        <w:tc>
          <w:tcPr>
            <w:tcW w:w="1967" w:type="dxa"/>
            <w:noWrap w:val="0"/>
            <w:vAlign w:val="center"/>
          </w:tcPr>
          <w:p w14:paraId="10B3FDC0">
            <w:pPr>
              <w:spacing w:line="240" w:lineRule="auto"/>
              <w:jc w:val="center"/>
              <w:rPr>
                <w:rFonts w:hint="eastAsia" w:ascii="宋体" w:hAnsi="宋体"/>
                <w:color w:val="auto"/>
              </w:rPr>
            </w:pPr>
          </w:p>
        </w:tc>
        <w:tc>
          <w:tcPr>
            <w:tcW w:w="1616" w:type="dxa"/>
            <w:tcBorders>
              <w:right w:val="single" w:color="auto" w:sz="2" w:space="0"/>
            </w:tcBorders>
            <w:noWrap w:val="0"/>
            <w:vAlign w:val="center"/>
          </w:tcPr>
          <w:p w14:paraId="7C07A2F2">
            <w:pPr>
              <w:spacing w:line="240" w:lineRule="auto"/>
              <w:jc w:val="center"/>
              <w:rPr>
                <w:rFonts w:hint="eastAsia" w:ascii="宋体" w:hAnsi="宋体"/>
                <w:color w:val="auto"/>
              </w:rPr>
            </w:pPr>
          </w:p>
        </w:tc>
        <w:tc>
          <w:tcPr>
            <w:tcW w:w="1684" w:type="dxa"/>
            <w:tcBorders>
              <w:left w:val="single" w:color="auto" w:sz="2" w:space="0"/>
            </w:tcBorders>
            <w:noWrap w:val="0"/>
            <w:vAlign w:val="center"/>
          </w:tcPr>
          <w:p w14:paraId="6FBA0DDF">
            <w:pPr>
              <w:spacing w:line="240" w:lineRule="auto"/>
              <w:jc w:val="center"/>
              <w:rPr>
                <w:rFonts w:hint="eastAsia" w:ascii="宋体" w:hAnsi="宋体"/>
                <w:color w:val="auto"/>
              </w:rPr>
            </w:pPr>
            <w:r>
              <w:rPr>
                <w:rFonts w:hint="eastAsia" w:ascii="宋体" w:hAnsi="宋体" w:cs="宋体"/>
                <w:color w:val="auto"/>
                <w:szCs w:val="21"/>
              </w:rPr>
              <w:t>见《投标文件》第</w:t>
            </w:r>
            <w:r>
              <w:rPr>
                <w:rFonts w:hint="eastAsia" w:ascii="宋体" w:hAnsi="宋体" w:cs="宋体"/>
                <w:color w:val="auto"/>
                <w:szCs w:val="21"/>
                <w:u w:val="single"/>
              </w:rPr>
              <w:t xml:space="preserve">   </w:t>
            </w:r>
            <w:r>
              <w:rPr>
                <w:rFonts w:hint="eastAsia" w:ascii="宋体" w:hAnsi="宋体" w:cs="宋体"/>
                <w:color w:val="auto"/>
                <w:szCs w:val="21"/>
              </w:rPr>
              <w:t>页</w:t>
            </w:r>
          </w:p>
        </w:tc>
      </w:tr>
      <w:tr w14:paraId="1B796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65" w:type="dxa"/>
            <w:noWrap w:val="0"/>
            <w:vAlign w:val="center"/>
          </w:tcPr>
          <w:p w14:paraId="3A48C3EB">
            <w:pPr>
              <w:numPr>
                <w:ilvl w:val="0"/>
                <w:numId w:val="67"/>
              </w:numPr>
              <w:spacing w:line="240" w:lineRule="auto"/>
              <w:jc w:val="center"/>
              <w:rPr>
                <w:rFonts w:hint="eastAsia" w:ascii="宋体" w:hAnsi="宋体"/>
                <w:color w:val="auto"/>
                <w:szCs w:val="21"/>
              </w:rPr>
            </w:pPr>
          </w:p>
        </w:tc>
        <w:tc>
          <w:tcPr>
            <w:tcW w:w="3850" w:type="dxa"/>
            <w:noWrap w:val="0"/>
            <w:vAlign w:val="center"/>
          </w:tcPr>
          <w:p w14:paraId="2D3090B6">
            <w:pPr>
              <w:spacing w:line="240" w:lineRule="auto"/>
              <w:rPr>
                <w:rFonts w:hint="eastAsia" w:ascii="宋体" w:hAnsi="宋体"/>
                <w:color w:val="auto"/>
              </w:rPr>
            </w:pPr>
            <w:r>
              <w:rPr>
                <w:rFonts w:hint="eastAsia" w:ascii="宋体" w:hAnsi="宋体"/>
                <w:color w:val="auto"/>
              </w:rPr>
              <w:t>三、服务地点</w:t>
            </w:r>
          </w:p>
          <w:p w14:paraId="62031B1B">
            <w:pPr>
              <w:spacing w:line="240" w:lineRule="auto"/>
              <w:rPr>
                <w:rFonts w:hint="eastAsia" w:ascii="宋体" w:hAnsi="宋体"/>
                <w:color w:val="auto"/>
              </w:rPr>
            </w:pPr>
            <w:r>
              <w:rPr>
                <w:rFonts w:hint="eastAsia" w:ascii="宋体" w:hAnsi="宋体"/>
                <w:color w:val="auto"/>
              </w:rPr>
              <w:t>招标人指定地点（佛山市内）。</w:t>
            </w:r>
          </w:p>
        </w:tc>
        <w:tc>
          <w:tcPr>
            <w:tcW w:w="1967" w:type="dxa"/>
            <w:noWrap w:val="0"/>
            <w:vAlign w:val="center"/>
          </w:tcPr>
          <w:p w14:paraId="10CCB5D1">
            <w:pPr>
              <w:spacing w:line="240" w:lineRule="auto"/>
              <w:jc w:val="center"/>
              <w:rPr>
                <w:rFonts w:hint="eastAsia" w:ascii="宋体" w:hAnsi="宋体"/>
                <w:color w:val="auto"/>
              </w:rPr>
            </w:pPr>
          </w:p>
        </w:tc>
        <w:tc>
          <w:tcPr>
            <w:tcW w:w="1616" w:type="dxa"/>
            <w:tcBorders>
              <w:right w:val="single" w:color="auto" w:sz="2" w:space="0"/>
            </w:tcBorders>
            <w:noWrap w:val="0"/>
            <w:vAlign w:val="center"/>
          </w:tcPr>
          <w:p w14:paraId="6BA4951C">
            <w:pPr>
              <w:spacing w:line="240" w:lineRule="auto"/>
              <w:jc w:val="center"/>
              <w:rPr>
                <w:rFonts w:hint="eastAsia" w:ascii="宋体" w:hAnsi="宋体"/>
                <w:color w:val="auto"/>
              </w:rPr>
            </w:pPr>
          </w:p>
        </w:tc>
        <w:tc>
          <w:tcPr>
            <w:tcW w:w="1684" w:type="dxa"/>
            <w:tcBorders>
              <w:left w:val="single" w:color="auto" w:sz="2" w:space="0"/>
            </w:tcBorders>
            <w:noWrap w:val="0"/>
            <w:vAlign w:val="center"/>
          </w:tcPr>
          <w:p w14:paraId="72D3F2E9">
            <w:pPr>
              <w:spacing w:line="240" w:lineRule="auto"/>
              <w:jc w:val="center"/>
              <w:rPr>
                <w:rFonts w:hint="eastAsia" w:ascii="宋体" w:hAnsi="宋体"/>
                <w:color w:val="auto"/>
              </w:rPr>
            </w:pPr>
            <w:r>
              <w:rPr>
                <w:rFonts w:hint="eastAsia" w:ascii="宋体" w:hAnsi="宋体" w:cs="宋体"/>
                <w:color w:val="auto"/>
                <w:szCs w:val="21"/>
              </w:rPr>
              <w:t>见《投标文件》第</w:t>
            </w:r>
            <w:r>
              <w:rPr>
                <w:rFonts w:hint="eastAsia" w:ascii="宋体" w:hAnsi="宋体" w:cs="宋体"/>
                <w:color w:val="auto"/>
                <w:szCs w:val="21"/>
                <w:u w:val="single"/>
              </w:rPr>
              <w:t xml:space="preserve">   </w:t>
            </w:r>
            <w:r>
              <w:rPr>
                <w:rFonts w:hint="eastAsia" w:ascii="宋体" w:hAnsi="宋体" w:cs="宋体"/>
                <w:color w:val="auto"/>
                <w:szCs w:val="21"/>
              </w:rPr>
              <w:t>页</w:t>
            </w:r>
          </w:p>
        </w:tc>
      </w:tr>
      <w:tr w14:paraId="6CF24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65" w:type="dxa"/>
            <w:noWrap w:val="0"/>
            <w:vAlign w:val="center"/>
          </w:tcPr>
          <w:p w14:paraId="4A95B30D">
            <w:pPr>
              <w:numPr>
                <w:ilvl w:val="0"/>
                <w:numId w:val="67"/>
              </w:numPr>
              <w:spacing w:line="240" w:lineRule="auto"/>
              <w:jc w:val="center"/>
              <w:rPr>
                <w:rFonts w:hint="eastAsia" w:ascii="宋体" w:hAnsi="宋体"/>
                <w:color w:val="auto"/>
                <w:szCs w:val="21"/>
              </w:rPr>
            </w:pPr>
          </w:p>
        </w:tc>
        <w:tc>
          <w:tcPr>
            <w:tcW w:w="3850" w:type="dxa"/>
            <w:noWrap w:val="0"/>
            <w:vAlign w:val="center"/>
          </w:tcPr>
          <w:p w14:paraId="61F643E2">
            <w:pPr>
              <w:spacing w:line="240" w:lineRule="auto"/>
              <w:rPr>
                <w:rFonts w:hint="eastAsia" w:ascii="宋体" w:hAnsi="宋体"/>
                <w:color w:val="auto"/>
              </w:rPr>
            </w:pPr>
            <w:r>
              <w:rPr>
                <w:rFonts w:hint="eastAsia" w:ascii="宋体" w:hAnsi="宋体"/>
                <w:color w:val="auto"/>
              </w:rPr>
              <w:t>四、人员配备要求</w:t>
            </w:r>
          </w:p>
          <w:p w14:paraId="1CC1664D">
            <w:pPr>
              <w:spacing w:line="240" w:lineRule="auto"/>
              <w:rPr>
                <w:rFonts w:hint="eastAsia" w:ascii="宋体" w:hAnsi="宋体"/>
                <w:color w:val="auto"/>
              </w:rPr>
            </w:pPr>
            <w:r>
              <w:rPr>
                <w:rFonts w:hint="eastAsia" w:ascii="宋体" w:hAnsi="宋体"/>
                <w:color w:val="auto"/>
              </w:rPr>
              <w:t>（一）中标人按照招标人实际要求配备的服务人员不得随意更换；如需更换的，则必须征得招标人的同意，经试用符合要求方可更换，且在更换前应保证不少于原有数量的服务人员在岗。</w:t>
            </w:r>
          </w:p>
          <w:p w14:paraId="4EFC6FC8">
            <w:pPr>
              <w:spacing w:line="240" w:lineRule="auto"/>
              <w:rPr>
                <w:rFonts w:hint="eastAsia" w:ascii="宋体" w:hAnsi="宋体"/>
                <w:color w:val="auto"/>
              </w:rPr>
            </w:pPr>
            <w:r>
              <w:rPr>
                <w:rFonts w:hint="eastAsia" w:ascii="宋体" w:hAnsi="宋体"/>
                <w:color w:val="auto"/>
              </w:rPr>
              <w:t>（二）中标人有义务做好服务人员的岗前培训工作，中标人须遵守与本项目相关的法律法规，对违反相关法律要求的，招标人有权追究其法律责任。</w:t>
            </w:r>
          </w:p>
          <w:p w14:paraId="07D10ACE">
            <w:pPr>
              <w:spacing w:line="240" w:lineRule="auto"/>
              <w:rPr>
                <w:rFonts w:hint="eastAsia" w:ascii="宋体" w:hAnsi="宋体"/>
                <w:color w:val="auto"/>
              </w:rPr>
            </w:pPr>
            <w:r>
              <w:rPr>
                <w:rFonts w:hint="eastAsia" w:ascii="宋体" w:hAnsi="宋体"/>
                <w:color w:val="auto"/>
              </w:rPr>
              <w:t>（三）在中标人服务过程中，招标人有权要求中标人对服务人员进行岗位调配，对不能胜任或不符合业务要求的服务人员进行更换。因服务人员个人出现违反工作纪律问题及业务过失，遭受投诉且造成不良影响等行为的，招标人有权利要求中标人及时更换服务人员。</w:t>
            </w:r>
          </w:p>
          <w:p w14:paraId="4E33AE90">
            <w:pPr>
              <w:spacing w:line="240" w:lineRule="auto"/>
              <w:rPr>
                <w:rFonts w:hint="eastAsia" w:ascii="宋体" w:hAnsi="宋体"/>
                <w:color w:val="auto"/>
              </w:rPr>
            </w:pPr>
            <w:r>
              <w:rPr>
                <w:rFonts w:hint="eastAsia" w:ascii="宋体" w:hAnsi="宋体"/>
                <w:color w:val="auto"/>
              </w:rPr>
              <w:t>（四）服务人员须经招标人审核确认后方能上岗。未经招标人审核确认的人员，招标人可以不予接纳，中标人与服务人员成立劳动合同关系而承担的法律责任与招标人无关。</w:t>
            </w:r>
          </w:p>
          <w:p w14:paraId="6BE3C7E1">
            <w:pPr>
              <w:spacing w:line="240" w:lineRule="auto"/>
              <w:rPr>
                <w:rFonts w:hint="eastAsia" w:ascii="宋体" w:hAnsi="宋体"/>
                <w:color w:val="auto"/>
              </w:rPr>
            </w:pPr>
            <w:r>
              <w:rPr>
                <w:rFonts w:hint="eastAsia" w:ascii="宋体" w:hAnsi="宋体"/>
                <w:color w:val="auto"/>
              </w:rPr>
              <w:t>（五）中标人须按有关劳动法规为本项目服务人员签订劳动合同；为其办理社会保险、公积金；按时发放薪酬；缴纳个人所得税等，中标人根据当地有关社保规定征缴服务人员的社会保险等；若国家、省、市政府在征缴期间有新的政策规定，中标人必须及时按新规定进行调整。因中标人违法用工导致影响本项目合同履行的，招标人有权单方解除合同并不予退还中标人履约保证金；因中标人违法用工导致招标人产生损失的，中标人须赔偿招标人损失，招标人有权将本项目项下的服务费用、履约保证金优先用于抵扣损失。</w:t>
            </w:r>
          </w:p>
          <w:p w14:paraId="10EBE6D1">
            <w:pPr>
              <w:spacing w:line="240" w:lineRule="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六</w:t>
            </w:r>
            <w:r>
              <w:rPr>
                <w:rFonts w:hint="eastAsia" w:ascii="宋体" w:hAnsi="宋体"/>
                <w:color w:val="auto"/>
                <w:lang w:eastAsia="zh-CN"/>
              </w:rPr>
              <w:t>）</w:t>
            </w:r>
            <w:r>
              <w:rPr>
                <w:rFonts w:hint="eastAsia" w:ascii="宋体" w:hAnsi="宋体"/>
                <w:color w:val="auto"/>
              </w:rPr>
              <w:t>服务期间，服务人员发生各种事故，包括治安、安全、交通和违反计划生育、劳资纠纷、工伤等事件及其他各种损失，由中标人自行承担和负责赔偿，与招标人无关；如由此造成招标人承担损失的，招标人保留向中标人追索的权利，招标人有权将本项目项下的服务费用、履约保证金优先用于抵扣损失。</w:t>
            </w:r>
          </w:p>
          <w:p w14:paraId="73C72A57">
            <w:pPr>
              <w:spacing w:line="240" w:lineRule="auto"/>
              <w:rPr>
                <w:rFonts w:hint="eastAsia" w:ascii="宋体" w:hAnsi="宋体"/>
                <w:color w:val="auto"/>
              </w:rPr>
            </w:pPr>
            <w:r>
              <w:rPr>
                <w:rFonts w:hint="eastAsia" w:ascii="宋体" w:hAnsi="宋体"/>
                <w:color w:val="auto"/>
              </w:rPr>
              <w:t>（七）招标人视实际情况需要，将提前向中标人发出人员需求的通知书，中标人收到通知书后按招标人要求按时按人员按要求提供相应服务。如招标人需要中标人增加服务人员的，按所增加服务人员到岗当天起参照同岗位人员的单价限价计算相关服务费，所增加服务人员首次到岗至月结时间不足一个月的则按实际到岗天数计算。</w:t>
            </w:r>
          </w:p>
        </w:tc>
        <w:tc>
          <w:tcPr>
            <w:tcW w:w="1967" w:type="dxa"/>
            <w:noWrap w:val="0"/>
            <w:vAlign w:val="center"/>
          </w:tcPr>
          <w:p w14:paraId="518F5674">
            <w:pPr>
              <w:spacing w:line="240" w:lineRule="auto"/>
              <w:jc w:val="center"/>
              <w:rPr>
                <w:rFonts w:hint="eastAsia" w:ascii="宋体" w:hAnsi="宋体"/>
                <w:color w:val="auto"/>
              </w:rPr>
            </w:pPr>
          </w:p>
        </w:tc>
        <w:tc>
          <w:tcPr>
            <w:tcW w:w="1616" w:type="dxa"/>
            <w:tcBorders>
              <w:right w:val="single" w:color="auto" w:sz="2" w:space="0"/>
            </w:tcBorders>
            <w:noWrap w:val="0"/>
            <w:vAlign w:val="center"/>
          </w:tcPr>
          <w:p w14:paraId="06740CDF">
            <w:pPr>
              <w:spacing w:line="240" w:lineRule="auto"/>
              <w:jc w:val="center"/>
              <w:rPr>
                <w:rFonts w:hint="eastAsia" w:ascii="宋体" w:hAnsi="宋体"/>
                <w:color w:val="auto"/>
              </w:rPr>
            </w:pPr>
          </w:p>
        </w:tc>
        <w:tc>
          <w:tcPr>
            <w:tcW w:w="1684" w:type="dxa"/>
            <w:tcBorders>
              <w:left w:val="single" w:color="auto" w:sz="2" w:space="0"/>
            </w:tcBorders>
            <w:noWrap w:val="0"/>
            <w:vAlign w:val="center"/>
          </w:tcPr>
          <w:p w14:paraId="38EA112C">
            <w:pPr>
              <w:spacing w:line="240" w:lineRule="auto"/>
              <w:jc w:val="center"/>
              <w:rPr>
                <w:rFonts w:hint="eastAsia" w:ascii="宋体" w:hAnsi="宋体"/>
                <w:color w:val="auto"/>
              </w:rPr>
            </w:pPr>
            <w:r>
              <w:rPr>
                <w:rFonts w:hint="eastAsia" w:ascii="宋体" w:hAnsi="宋体" w:cs="宋体"/>
                <w:color w:val="auto"/>
                <w:szCs w:val="21"/>
              </w:rPr>
              <w:t>见《投标文件》第</w:t>
            </w:r>
            <w:r>
              <w:rPr>
                <w:rFonts w:hint="eastAsia" w:ascii="宋体" w:hAnsi="宋体" w:cs="宋体"/>
                <w:color w:val="auto"/>
                <w:szCs w:val="21"/>
                <w:u w:val="single"/>
              </w:rPr>
              <w:t xml:space="preserve">   </w:t>
            </w:r>
            <w:r>
              <w:rPr>
                <w:rFonts w:hint="eastAsia" w:ascii="宋体" w:hAnsi="宋体" w:cs="宋体"/>
                <w:color w:val="auto"/>
                <w:szCs w:val="21"/>
              </w:rPr>
              <w:t>页</w:t>
            </w:r>
          </w:p>
        </w:tc>
      </w:tr>
      <w:tr w14:paraId="2AF28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65" w:type="dxa"/>
            <w:noWrap w:val="0"/>
            <w:vAlign w:val="center"/>
          </w:tcPr>
          <w:p w14:paraId="30280A8A">
            <w:pPr>
              <w:numPr>
                <w:ilvl w:val="0"/>
                <w:numId w:val="67"/>
              </w:numPr>
              <w:spacing w:line="240" w:lineRule="auto"/>
              <w:jc w:val="center"/>
              <w:rPr>
                <w:rFonts w:hint="eastAsia" w:ascii="宋体" w:hAnsi="宋体"/>
                <w:color w:val="auto"/>
                <w:szCs w:val="21"/>
              </w:rPr>
            </w:pPr>
          </w:p>
        </w:tc>
        <w:tc>
          <w:tcPr>
            <w:tcW w:w="3850" w:type="dxa"/>
            <w:noWrap w:val="0"/>
            <w:vAlign w:val="center"/>
          </w:tcPr>
          <w:p w14:paraId="028B4C9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五、验收标准</w:t>
            </w:r>
          </w:p>
          <w:p w14:paraId="66D6DE3C">
            <w:pPr>
              <w:spacing w:line="240" w:lineRule="auto"/>
              <w:rPr>
                <w:rFonts w:hint="eastAsia" w:ascii="宋体" w:hAnsi="宋体" w:eastAsia="宋体" w:cs="宋体"/>
                <w:color w:val="auto"/>
                <w:sz w:val="21"/>
                <w:szCs w:val="21"/>
              </w:rPr>
            </w:pPr>
            <w:r>
              <w:rPr>
                <w:rFonts w:hint="eastAsia" w:ascii="宋体" w:hAnsi="宋体" w:cs="宋体"/>
                <w:color w:val="auto"/>
                <w:sz w:val="21"/>
                <w:szCs w:val="21"/>
                <w:lang w:eastAsia="zh-CN"/>
              </w:rPr>
              <w:t>招标人根据工作实际对中标人进行考核（每月至少一次不定期考核），对中标人的工作进行督促检查，发现没有达到工作要求可根据每一项检查内容对中标人给予相应的扣分，服务期内招标人发现需要整改的，中标人应在招标人要求时限内进行整改，逾期或不积极配合的，或出现上述情况累计达3次或以上的，招标人有权单方面解除合同并不予退还中标人履约保证金，同时中标人承担相应的责任和赔偿招标人损失</w:t>
            </w:r>
            <w:r>
              <w:rPr>
                <w:rFonts w:hint="eastAsia" w:ascii="宋体" w:hAnsi="宋体" w:eastAsia="宋体" w:cs="宋体"/>
                <w:color w:val="auto"/>
                <w:sz w:val="21"/>
                <w:szCs w:val="21"/>
              </w:rPr>
              <w:t>。</w:t>
            </w:r>
          </w:p>
          <w:p w14:paraId="7C0AEACF">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以下考核表仅供参考，对中标人实行考核计分制，每月最高100分。具体考核细则将由招标人根据实际情况修改，招标人对考核表保持最终修改权和解释权。</w:t>
            </w:r>
          </w:p>
          <w:tbl>
            <w:tblPr>
              <w:tblStyle w:val="1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2"/>
              <w:gridCol w:w="145"/>
              <w:gridCol w:w="534"/>
              <w:gridCol w:w="672"/>
              <w:gridCol w:w="726"/>
              <w:gridCol w:w="639"/>
              <w:gridCol w:w="337"/>
            </w:tblGrid>
            <w:tr w14:paraId="2587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000" w:type="pct"/>
                  <w:gridSpan w:val="7"/>
                  <w:tcBorders>
                    <w:top w:val="nil"/>
                    <w:left w:val="nil"/>
                    <w:bottom w:val="nil"/>
                    <w:right w:val="nil"/>
                  </w:tcBorders>
                  <w:noWrap w:val="0"/>
                  <w:vAlign w:val="center"/>
                </w:tcPr>
                <w:p w14:paraId="4BA525AD">
                  <w:pPr>
                    <w:keepNext w:val="0"/>
                    <w:keepLines w:val="0"/>
                    <w:pageBreakBefore w:val="0"/>
                    <w:widowControl/>
                    <w:suppressLineNumbers w:val="0"/>
                    <w:kinsoku/>
                    <w:wordWrap/>
                    <w:overflowPunct/>
                    <w:topLinePunct w:val="0"/>
                    <w:autoSpaceDE/>
                    <w:autoSpaceDN/>
                    <w:bidi w:val="0"/>
                    <w:snapToGrid/>
                    <w:spacing w:line="240" w:lineRule="auto"/>
                    <w:jc w:val="center"/>
                    <w:textAlignment w:val="top"/>
                    <w:rPr>
                      <w:rFonts w:hint="eastAsia" w:ascii="宋体" w:hAnsi="宋体" w:eastAsia="宋体" w:cs="宋体"/>
                      <w:b/>
                      <w:bCs/>
                      <w:i w:val="0"/>
                      <w:iCs w:val="0"/>
                      <w:color w:val="auto"/>
                      <w:sz w:val="21"/>
                      <w:szCs w:val="21"/>
                      <w:u w:val="single"/>
                    </w:rPr>
                  </w:pPr>
                  <w:r>
                    <w:rPr>
                      <w:rFonts w:hint="eastAsia" w:ascii="宋体" w:hAnsi="宋体" w:eastAsia="宋体" w:cs="宋体"/>
                      <w:b/>
                      <w:bCs/>
                      <w:i w:val="0"/>
                      <w:iCs w:val="0"/>
                      <w:color w:val="auto"/>
                      <w:sz w:val="21"/>
                      <w:szCs w:val="21"/>
                      <w:u w:val="none"/>
                    </w:rPr>
                    <w:t>保安服务质量考核表</w:t>
                  </w:r>
                </w:p>
              </w:tc>
            </w:tr>
            <w:tr w14:paraId="4405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000" w:type="pct"/>
                  <w:gridSpan w:val="7"/>
                  <w:tcBorders>
                    <w:top w:val="nil"/>
                    <w:left w:val="nil"/>
                    <w:bottom w:val="single" w:color="auto" w:sz="4" w:space="0"/>
                    <w:right w:val="nil"/>
                  </w:tcBorders>
                  <w:noWrap/>
                  <w:vAlign w:val="center"/>
                </w:tcPr>
                <w:p w14:paraId="684F1F62">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auto"/>
                      <w:sz w:val="21"/>
                      <w:szCs w:val="21"/>
                      <w:u w:val="none"/>
                    </w:rPr>
                  </w:pPr>
                  <w:r>
                    <w:rPr>
                      <w:rStyle w:val="42"/>
                      <w:rFonts w:hint="eastAsia" w:ascii="宋体" w:hAnsi="宋体" w:eastAsia="宋体" w:cs="宋体"/>
                      <w:color w:val="auto"/>
                      <w:sz w:val="21"/>
                      <w:szCs w:val="21"/>
                      <w:u w:val="none"/>
                      <w:lang w:val="en-US" w:eastAsia="zh-CN" w:bidi="ar"/>
                    </w:rPr>
                    <w:t>项目地点：                                         日期：____年__月__日至____年__月__日</w:t>
                  </w:r>
                </w:p>
              </w:tc>
            </w:tr>
            <w:tr w14:paraId="6A8E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800" w:type="pct"/>
                  <w:vMerge w:val="restart"/>
                  <w:tcBorders>
                    <w:top w:val="single" w:color="auto" w:sz="4" w:space="0"/>
                    <w:left w:val="single" w:color="auto" w:sz="4" w:space="0"/>
                    <w:bottom w:val="single" w:color="auto" w:sz="4" w:space="0"/>
                    <w:right w:val="single" w:color="auto" w:sz="4" w:space="0"/>
                  </w:tcBorders>
                  <w:noWrap w:val="0"/>
                  <w:vAlign w:val="center"/>
                </w:tcPr>
                <w:p w14:paraId="7D48F1A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第一部分</w:t>
                  </w:r>
                </w:p>
                <w:p w14:paraId="0AC88F4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日常工作考核</w:t>
                  </w: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6E01684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z w:val="21"/>
                      <w:szCs w:val="21"/>
                      <w:u w:val="none"/>
                    </w:rPr>
                    <w:t>考核项目</w:t>
                  </w:r>
                </w:p>
              </w:tc>
              <w:tc>
                <w:tcPr>
                  <w:tcW w:w="2801" w:type="pct"/>
                  <w:gridSpan w:val="3"/>
                  <w:tcBorders>
                    <w:top w:val="single" w:color="auto" w:sz="4" w:space="0"/>
                    <w:left w:val="single" w:color="auto" w:sz="4" w:space="0"/>
                    <w:bottom w:val="single" w:color="auto" w:sz="4" w:space="0"/>
                    <w:right w:val="single" w:color="auto" w:sz="4" w:space="0"/>
                  </w:tcBorders>
                  <w:noWrap w:val="0"/>
                  <w:vAlign w:val="center"/>
                </w:tcPr>
                <w:p w14:paraId="68D7FF3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z w:val="21"/>
                      <w:szCs w:val="21"/>
                      <w:u w:val="none"/>
                    </w:rPr>
                    <w:t>评分标准及内容</w:t>
                  </w:r>
                </w:p>
              </w:tc>
              <w:tc>
                <w:tcPr>
                  <w:tcW w:w="464" w:type="pct"/>
                  <w:tcBorders>
                    <w:top w:val="single" w:color="auto" w:sz="4" w:space="0"/>
                    <w:left w:val="single" w:color="auto" w:sz="4" w:space="0"/>
                    <w:bottom w:val="single" w:color="auto" w:sz="4" w:space="0"/>
                    <w:right w:val="single" w:color="auto" w:sz="4" w:space="0"/>
                  </w:tcBorders>
                  <w:noWrap/>
                  <w:vAlign w:val="center"/>
                </w:tcPr>
                <w:p w14:paraId="5F9E910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得分</w:t>
                  </w:r>
                </w:p>
              </w:tc>
            </w:tr>
            <w:tr w14:paraId="58E7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6EA14A3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337A069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在岗情况与纪律</w:t>
                  </w:r>
                </w:p>
                <w:p w14:paraId="7F44023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5075888F">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15分：</w:t>
                  </w:r>
                  <w:r>
                    <w:rPr>
                      <w:rFonts w:hint="eastAsia" w:ascii="宋体" w:hAnsi="宋体" w:eastAsia="宋体" w:cs="宋体"/>
                      <w:i w:val="0"/>
                      <w:iCs w:val="0"/>
                      <w:color w:val="auto"/>
                      <w:sz w:val="21"/>
                      <w:szCs w:val="21"/>
                      <w:u w:val="none"/>
                      <w:lang w:val="en-US" w:eastAsia="zh-CN"/>
                    </w:rPr>
                    <w:t>在岗</w:t>
                  </w:r>
                  <w:r>
                    <w:rPr>
                      <w:rFonts w:hint="eastAsia" w:ascii="宋体" w:hAnsi="宋体" w:eastAsia="宋体" w:cs="宋体"/>
                      <w:i w:val="0"/>
                      <w:iCs w:val="0"/>
                      <w:color w:val="auto"/>
                      <w:sz w:val="21"/>
                      <w:szCs w:val="21"/>
                      <w:u w:val="none"/>
                    </w:rPr>
                    <w:t>，无任何</w:t>
                  </w:r>
                  <w:r>
                    <w:rPr>
                      <w:rFonts w:hint="eastAsia" w:ascii="宋体" w:hAnsi="宋体" w:eastAsia="宋体" w:cs="宋体"/>
                      <w:i w:val="0"/>
                      <w:iCs w:val="0"/>
                      <w:color w:val="auto"/>
                      <w:sz w:val="21"/>
                      <w:szCs w:val="21"/>
                      <w:u w:val="none"/>
                      <w:lang w:val="en-US" w:eastAsia="zh-CN"/>
                    </w:rPr>
                    <w:t>脱岗或者串岗</w:t>
                  </w:r>
                  <w:r>
                    <w:rPr>
                      <w:rFonts w:hint="eastAsia" w:ascii="宋体" w:hAnsi="宋体" w:eastAsia="宋体" w:cs="宋体"/>
                      <w:i w:val="0"/>
                      <w:iCs w:val="0"/>
                      <w:color w:val="auto"/>
                      <w:sz w:val="21"/>
                      <w:szCs w:val="21"/>
                      <w:u w:val="none"/>
                    </w:rPr>
                    <w:t>，严格遵守各项规章制度。</w:t>
                  </w:r>
                </w:p>
                <w:p w14:paraId="5ECF70BC">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10-13分：偶有</w:t>
                  </w:r>
                  <w:r>
                    <w:rPr>
                      <w:rFonts w:hint="eastAsia" w:ascii="宋体" w:hAnsi="宋体" w:eastAsia="宋体" w:cs="宋体"/>
                      <w:i w:val="0"/>
                      <w:iCs w:val="0"/>
                      <w:color w:val="auto"/>
                      <w:sz w:val="21"/>
                      <w:szCs w:val="21"/>
                      <w:u w:val="none"/>
                      <w:lang w:val="en-US" w:eastAsia="zh-CN"/>
                    </w:rPr>
                    <w:t>脱岗或者串岗</w:t>
                  </w:r>
                  <w:r>
                    <w:rPr>
                      <w:rFonts w:hint="eastAsia" w:ascii="宋体" w:hAnsi="宋体" w:eastAsia="宋体" w:cs="宋体"/>
                      <w:i w:val="0"/>
                      <w:iCs w:val="0"/>
                      <w:color w:val="auto"/>
                      <w:sz w:val="21"/>
                      <w:szCs w:val="21"/>
                      <w:u w:val="none"/>
                    </w:rPr>
                    <w:t>（1-2次），基本遵守纪律。</w:t>
                  </w:r>
                </w:p>
                <w:p w14:paraId="4825C250">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w:t>
                  </w:r>
                  <w:r>
                    <w:rPr>
                      <w:rFonts w:hint="eastAsia" w:ascii="宋体" w:hAnsi="宋体" w:eastAsia="宋体" w:cs="宋体"/>
                      <w:i w:val="0"/>
                      <w:iCs w:val="0"/>
                      <w:color w:val="auto"/>
                      <w:sz w:val="21"/>
                      <w:szCs w:val="21"/>
                      <w:u w:val="none"/>
                      <w:lang w:val="en-US" w:eastAsia="zh-CN"/>
                    </w:rPr>
                    <w:t>离岗</w:t>
                  </w:r>
                  <w:r>
                    <w:rPr>
                      <w:rFonts w:hint="eastAsia" w:ascii="宋体" w:hAnsi="宋体" w:eastAsia="宋体" w:cs="宋体"/>
                      <w:i w:val="0"/>
                      <w:iCs w:val="0"/>
                      <w:color w:val="auto"/>
                      <w:sz w:val="21"/>
                      <w:szCs w:val="21"/>
                      <w:u w:val="none"/>
                    </w:rPr>
                    <w:t>，或多次违纪，屡教不改。</w:t>
                  </w:r>
                </w:p>
              </w:tc>
              <w:tc>
                <w:tcPr>
                  <w:tcW w:w="464" w:type="pct"/>
                  <w:tcBorders>
                    <w:top w:val="single" w:color="auto" w:sz="4" w:space="0"/>
                    <w:left w:val="single" w:color="auto" w:sz="4" w:space="0"/>
                    <w:bottom w:val="single" w:color="auto" w:sz="4" w:space="0"/>
                    <w:right w:val="single" w:color="auto" w:sz="4" w:space="0"/>
                  </w:tcBorders>
                  <w:noWrap/>
                  <w:vAlign w:val="top"/>
                </w:tcPr>
                <w:p w14:paraId="0D56607E">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4301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6783E4D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03B741B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仪容仪表</w:t>
                  </w:r>
                </w:p>
                <w:p w14:paraId="71380D0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5EBCEB6C">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10分：制服整洁统一，穿戴规范，精神饱满，姿态端正。</w:t>
                  </w:r>
                </w:p>
                <w:p w14:paraId="12194315">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5-8分：基本符合要求，但偶有细节不整（如未戴帽、衣扣未扣）。</w:t>
                  </w:r>
                </w:p>
                <w:p w14:paraId="114AFDED">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0分：仪容不整，严重影响公司形象。</w:t>
                  </w:r>
                </w:p>
              </w:tc>
              <w:tc>
                <w:tcPr>
                  <w:tcW w:w="464" w:type="pct"/>
                  <w:tcBorders>
                    <w:top w:val="single" w:color="auto" w:sz="4" w:space="0"/>
                    <w:left w:val="single" w:color="auto" w:sz="4" w:space="0"/>
                    <w:bottom w:val="single" w:color="auto" w:sz="4" w:space="0"/>
                    <w:right w:val="single" w:color="auto" w:sz="4" w:space="0"/>
                  </w:tcBorders>
                  <w:noWrap/>
                  <w:vAlign w:val="top"/>
                </w:tcPr>
                <w:p w14:paraId="6F322659">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2623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0EB325B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676B6DC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岗位职责履行</w:t>
                  </w:r>
                </w:p>
                <w:p w14:paraId="7BEE9F3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64A62EB2">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15分：完全熟悉并出色履行岗位职责，工作主动性强。</w:t>
                  </w:r>
                </w:p>
                <w:p w14:paraId="714B335B">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10-13分：能完成基本工作，但缺乏主动性，需督促。</w:t>
                  </w:r>
                </w:p>
                <w:p w14:paraId="1EC35B7B">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0分：玩忽职守，未能完成基本工作任务。</w:t>
                  </w:r>
                </w:p>
              </w:tc>
              <w:tc>
                <w:tcPr>
                  <w:tcW w:w="464" w:type="pct"/>
                  <w:tcBorders>
                    <w:top w:val="single" w:color="auto" w:sz="4" w:space="0"/>
                    <w:left w:val="single" w:color="auto" w:sz="4" w:space="0"/>
                    <w:bottom w:val="single" w:color="auto" w:sz="4" w:space="0"/>
                    <w:right w:val="single" w:color="auto" w:sz="4" w:space="0"/>
                  </w:tcBorders>
                  <w:noWrap/>
                  <w:vAlign w:val="top"/>
                </w:tcPr>
                <w:p w14:paraId="5FC138C8">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1FCD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48B7931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5B9228B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巡逻与检查</w:t>
                  </w:r>
                </w:p>
                <w:p w14:paraId="75F301C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1BCC4200">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5分：按时、按路线、按标准巡逻，记录清晰完整，能及时发现并上报隐患。</w:t>
                  </w:r>
                </w:p>
                <w:p w14:paraId="703B0901">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3分：能完成巡逻，但记录潦草或不及时，发现问题能力一般。</w:t>
                  </w:r>
                </w:p>
                <w:p w14:paraId="343C61F8">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0分：未按规定巡逻，或记录造假。</w:t>
                  </w:r>
                </w:p>
              </w:tc>
              <w:tc>
                <w:tcPr>
                  <w:tcW w:w="464" w:type="pct"/>
                  <w:tcBorders>
                    <w:top w:val="single" w:color="auto" w:sz="4" w:space="0"/>
                    <w:left w:val="single" w:color="auto" w:sz="4" w:space="0"/>
                    <w:bottom w:val="single" w:color="auto" w:sz="4" w:space="0"/>
                    <w:right w:val="single" w:color="auto" w:sz="4" w:space="0"/>
                  </w:tcBorders>
                  <w:noWrap/>
                  <w:vAlign w:val="top"/>
                </w:tcPr>
                <w:p w14:paraId="22015636">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1E3E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800" w:type="pct"/>
                  <w:vMerge w:val="restart"/>
                  <w:tcBorders>
                    <w:top w:val="single" w:color="auto" w:sz="4" w:space="0"/>
                    <w:left w:val="single" w:color="auto" w:sz="4" w:space="0"/>
                    <w:bottom w:val="single" w:color="auto" w:sz="4" w:space="0"/>
                    <w:right w:val="single" w:color="auto" w:sz="4" w:space="0"/>
                  </w:tcBorders>
                  <w:noWrap/>
                  <w:vAlign w:val="center"/>
                </w:tcPr>
                <w:p w14:paraId="4418E14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第二部分</w:t>
                  </w:r>
                </w:p>
                <w:p w14:paraId="4E03D27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专业技能与知识考核</w:t>
                  </w: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6B8B3D0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sz w:val="21"/>
                      <w:szCs w:val="21"/>
                      <w:u w:val="none"/>
                    </w:rPr>
                    <w:t>考核项目</w:t>
                  </w:r>
                </w:p>
              </w:tc>
              <w:tc>
                <w:tcPr>
                  <w:tcW w:w="2801" w:type="pct"/>
                  <w:gridSpan w:val="3"/>
                  <w:tcBorders>
                    <w:top w:val="single" w:color="auto" w:sz="4" w:space="0"/>
                    <w:left w:val="single" w:color="auto" w:sz="4" w:space="0"/>
                    <w:bottom w:val="single" w:color="auto" w:sz="4" w:space="0"/>
                    <w:right w:val="single" w:color="auto" w:sz="4" w:space="0"/>
                  </w:tcBorders>
                  <w:noWrap w:val="0"/>
                  <w:vAlign w:val="center"/>
                </w:tcPr>
                <w:p w14:paraId="0BEA593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sz w:val="21"/>
                      <w:szCs w:val="21"/>
                      <w:u w:val="none"/>
                    </w:rPr>
                    <w:t>评分标准及内容</w:t>
                  </w:r>
                </w:p>
              </w:tc>
              <w:tc>
                <w:tcPr>
                  <w:tcW w:w="464" w:type="pct"/>
                  <w:tcBorders>
                    <w:top w:val="single" w:color="auto" w:sz="4" w:space="0"/>
                    <w:left w:val="single" w:color="auto" w:sz="4" w:space="0"/>
                    <w:bottom w:val="single" w:color="auto" w:sz="4" w:space="0"/>
                    <w:right w:val="single" w:color="auto" w:sz="4" w:space="0"/>
                  </w:tcBorders>
                  <w:noWrap/>
                  <w:vAlign w:val="center"/>
                </w:tcPr>
                <w:p w14:paraId="6521C16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sz w:val="21"/>
                      <w:szCs w:val="21"/>
                      <w:u w:val="none"/>
                      <w:lang w:val="en-US" w:eastAsia="zh-CN"/>
                    </w:rPr>
                    <w:t>得分</w:t>
                  </w:r>
                </w:p>
              </w:tc>
            </w:tr>
            <w:tr w14:paraId="6E29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1030F9A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33F55A9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消防知识与技能</w:t>
                  </w:r>
                </w:p>
                <w:p w14:paraId="5939FE6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325085A1">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5分：熟练掌握消防器材使用、报警流程、疏散逃生知识，能熟练操作消防控制系 统。</w:t>
                  </w:r>
                </w:p>
                <w:p w14:paraId="0EE8F24A">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3分：了解基本知识，但操作不熟练或需他人指导。</w:t>
                  </w:r>
                </w:p>
                <w:p w14:paraId="4CA46A3E">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0分：完全不懂，或操作错误造成风险。</w:t>
                  </w:r>
                </w:p>
              </w:tc>
              <w:tc>
                <w:tcPr>
                  <w:tcW w:w="464" w:type="pct"/>
                  <w:tcBorders>
                    <w:top w:val="single" w:color="auto" w:sz="4" w:space="0"/>
                    <w:left w:val="single" w:color="auto" w:sz="4" w:space="0"/>
                    <w:bottom w:val="single" w:color="auto" w:sz="4" w:space="0"/>
                    <w:right w:val="single" w:color="auto" w:sz="4" w:space="0"/>
                  </w:tcBorders>
                  <w:noWrap/>
                  <w:vAlign w:val="top"/>
                </w:tcPr>
                <w:p w14:paraId="60EB1E0C">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6730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3D5EB15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36C24DA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应急处理能力</w:t>
                  </w:r>
                </w:p>
                <w:p w14:paraId="23D0C3F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5931C719">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10分：遇突发事件（纠纷、火警、盗窃等）能沉着冷静，按预案正确处置，报告 及时。</w:t>
                  </w:r>
                </w:p>
                <w:p w14:paraId="4D300F0B">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5-8分：能进行基本处置和报告，但略显慌乱或程序不完整。</w:t>
                  </w:r>
                </w:p>
                <w:p w14:paraId="257CBFEA">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0分：面对事件不知所措，处置严重失误。</w:t>
                  </w:r>
                </w:p>
              </w:tc>
              <w:tc>
                <w:tcPr>
                  <w:tcW w:w="464" w:type="pct"/>
                  <w:tcBorders>
                    <w:top w:val="single" w:color="auto" w:sz="4" w:space="0"/>
                    <w:left w:val="single" w:color="auto" w:sz="4" w:space="0"/>
                    <w:bottom w:val="single" w:color="auto" w:sz="4" w:space="0"/>
                    <w:right w:val="single" w:color="auto" w:sz="4" w:space="0"/>
                  </w:tcBorders>
                  <w:noWrap/>
                  <w:vAlign w:val="top"/>
                </w:tcPr>
                <w:p w14:paraId="463BA3B1">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0211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1FE261E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2188AFF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出入管理与登记</w:t>
                  </w:r>
                </w:p>
                <w:p w14:paraId="0D6F5DE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00A3AD4C">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5分：严格执行出入管理规定，登记准确无误，核实身份仔细，服务礼貌。</w:t>
                  </w:r>
                </w:p>
                <w:p w14:paraId="5AA7642E">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3分：能执行规定，但偶有疏忽或登记不完整。</w:t>
                  </w:r>
                </w:p>
                <w:p w14:paraId="37AC3A33">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0分：管理松散，形同虚设。</w:t>
                  </w:r>
                </w:p>
              </w:tc>
              <w:tc>
                <w:tcPr>
                  <w:tcW w:w="464" w:type="pct"/>
                  <w:tcBorders>
                    <w:top w:val="single" w:color="auto" w:sz="4" w:space="0"/>
                    <w:left w:val="single" w:color="auto" w:sz="4" w:space="0"/>
                    <w:bottom w:val="single" w:color="auto" w:sz="4" w:space="0"/>
                    <w:right w:val="single" w:color="auto" w:sz="4" w:space="0"/>
                  </w:tcBorders>
                  <w:noWrap/>
                  <w:vAlign w:val="top"/>
                </w:tcPr>
                <w:p w14:paraId="51949CE3">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32FA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46B7AB1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493E2EE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监控设备操作</w:t>
                  </w:r>
                </w:p>
                <w:p w14:paraId="297EA8A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344808FD">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5分：熟练操作监控系统，会调取、备份录像，能及时发现屏幕异常。</w:t>
                  </w:r>
                </w:p>
                <w:p w14:paraId="71557F26">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3分：能进行基本操作，但调取录像等复杂操作需协助。</w:t>
                  </w:r>
                </w:p>
                <w:p w14:paraId="2E966417">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0分：不会操作或操作错误导致设备问题。</w:t>
                  </w:r>
                </w:p>
              </w:tc>
              <w:tc>
                <w:tcPr>
                  <w:tcW w:w="464" w:type="pct"/>
                  <w:tcBorders>
                    <w:top w:val="single" w:color="auto" w:sz="4" w:space="0"/>
                    <w:left w:val="single" w:color="auto" w:sz="4" w:space="0"/>
                    <w:bottom w:val="single" w:color="auto" w:sz="4" w:space="0"/>
                    <w:right w:val="single" w:color="auto" w:sz="4" w:space="0"/>
                  </w:tcBorders>
                  <w:noWrap/>
                  <w:vAlign w:val="top"/>
                </w:tcPr>
                <w:p w14:paraId="2C677488">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0061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00" w:type="pct"/>
                  <w:vMerge w:val="restart"/>
                  <w:tcBorders>
                    <w:top w:val="single" w:color="auto" w:sz="4" w:space="0"/>
                    <w:left w:val="single" w:color="auto" w:sz="4" w:space="0"/>
                    <w:bottom w:val="single" w:color="auto" w:sz="4" w:space="0"/>
                    <w:right w:val="single" w:color="auto" w:sz="4" w:space="0"/>
                  </w:tcBorders>
                  <w:noWrap/>
                  <w:vAlign w:val="center"/>
                </w:tcPr>
                <w:p w14:paraId="7845968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第三部分</w:t>
                  </w:r>
                </w:p>
                <w:p w14:paraId="7D3E141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综合素质评估</w:t>
                  </w: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2BCB7A0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sz w:val="21"/>
                      <w:szCs w:val="21"/>
                      <w:u w:val="none"/>
                    </w:rPr>
                    <w:t>考核项目</w:t>
                  </w:r>
                </w:p>
              </w:tc>
              <w:tc>
                <w:tcPr>
                  <w:tcW w:w="2801" w:type="pct"/>
                  <w:gridSpan w:val="3"/>
                  <w:tcBorders>
                    <w:top w:val="single" w:color="auto" w:sz="4" w:space="0"/>
                    <w:left w:val="single" w:color="auto" w:sz="4" w:space="0"/>
                    <w:bottom w:val="single" w:color="auto" w:sz="4" w:space="0"/>
                    <w:right w:val="single" w:color="auto" w:sz="4" w:space="0"/>
                  </w:tcBorders>
                  <w:noWrap w:val="0"/>
                  <w:vAlign w:val="center"/>
                </w:tcPr>
                <w:p w14:paraId="0161CDE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sz w:val="21"/>
                      <w:szCs w:val="21"/>
                      <w:u w:val="none"/>
                    </w:rPr>
                    <w:t>评分标准及内容</w:t>
                  </w:r>
                </w:p>
              </w:tc>
              <w:tc>
                <w:tcPr>
                  <w:tcW w:w="464" w:type="pct"/>
                  <w:tcBorders>
                    <w:top w:val="single" w:color="auto" w:sz="4" w:space="0"/>
                    <w:left w:val="single" w:color="auto" w:sz="4" w:space="0"/>
                    <w:bottom w:val="single" w:color="auto" w:sz="4" w:space="0"/>
                    <w:right w:val="single" w:color="auto" w:sz="4" w:space="0"/>
                  </w:tcBorders>
                  <w:noWrap/>
                  <w:vAlign w:val="center"/>
                </w:tcPr>
                <w:p w14:paraId="0AF1A53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sz w:val="21"/>
                      <w:szCs w:val="21"/>
                      <w:u w:val="none"/>
                      <w:lang w:val="en-US" w:eastAsia="zh-CN"/>
                    </w:rPr>
                    <w:t>得分</w:t>
                  </w:r>
                </w:p>
              </w:tc>
            </w:tr>
            <w:tr w14:paraId="7F5F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52D28BD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62C1C5E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服务态度与沟通</w:t>
                  </w:r>
                </w:p>
                <w:p w14:paraId="4982DFA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（分值：10分）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42C9D30F">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10分：主动热情，礼貌待人，沟通顺畅，能有效化解冲突，客户/业主评价好。</w:t>
                  </w:r>
                </w:p>
                <w:p w14:paraId="043D49EE">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5-8分：态度一般，能完成基本沟通，无投诉。</w:t>
                  </w:r>
                </w:p>
                <w:p w14:paraId="42A5A6A9">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0分：态度恶劣，与人发生冲突，遭有效投诉。</w:t>
                  </w:r>
                </w:p>
              </w:tc>
              <w:tc>
                <w:tcPr>
                  <w:tcW w:w="464" w:type="pct"/>
                  <w:tcBorders>
                    <w:top w:val="single" w:color="auto" w:sz="4" w:space="0"/>
                    <w:left w:val="single" w:color="auto" w:sz="4" w:space="0"/>
                    <w:bottom w:val="single" w:color="auto" w:sz="4" w:space="0"/>
                    <w:right w:val="single" w:color="auto" w:sz="4" w:space="0"/>
                  </w:tcBorders>
                  <w:noWrap/>
                  <w:vAlign w:val="top"/>
                </w:tcPr>
                <w:p w14:paraId="7862FC18">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5360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4AF0BA8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119D0EB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团队合作与责任</w:t>
                  </w:r>
                </w:p>
                <w:p w14:paraId="5F20928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心</w:t>
                  </w:r>
                </w:p>
                <w:p w14:paraId="1D0FF0A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31AC69DB">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5分：有强烈责任心，积极主动协助同事，维护团队荣誉，服从工作安排。</w:t>
                  </w:r>
                </w:p>
                <w:p w14:paraId="314E873A">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3分：能完成本职工作，团队协作性一般。</w:t>
                  </w:r>
                </w:p>
                <w:p w14:paraId="428989F0">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0分：推卸责任，缺乏合作精神，影响团队氛围。</w:t>
                  </w:r>
                </w:p>
              </w:tc>
              <w:tc>
                <w:tcPr>
                  <w:tcW w:w="464" w:type="pct"/>
                  <w:tcBorders>
                    <w:top w:val="single" w:color="auto" w:sz="4" w:space="0"/>
                    <w:left w:val="single" w:color="auto" w:sz="4" w:space="0"/>
                    <w:bottom w:val="single" w:color="auto" w:sz="4" w:space="0"/>
                    <w:right w:val="single" w:color="auto" w:sz="4" w:space="0"/>
                  </w:tcBorders>
                  <w:noWrap/>
                  <w:vAlign w:val="top"/>
                </w:tcPr>
                <w:p w14:paraId="738F40A8">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3FAD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00" w:type="pct"/>
                  <w:vMerge w:val="continue"/>
                  <w:tcBorders>
                    <w:top w:val="single" w:color="auto" w:sz="4" w:space="0"/>
                    <w:left w:val="single" w:color="auto" w:sz="4" w:space="0"/>
                    <w:bottom w:val="single" w:color="auto" w:sz="4" w:space="0"/>
                    <w:right w:val="single" w:color="auto" w:sz="4" w:space="0"/>
                  </w:tcBorders>
                  <w:noWrap/>
                  <w:vAlign w:val="center"/>
                </w:tcPr>
                <w:p w14:paraId="7B34AA2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1"/>
                      <w:szCs w:val="21"/>
                      <w:u w:val="none"/>
                    </w:rPr>
                  </w:pPr>
                </w:p>
              </w:tc>
              <w:tc>
                <w:tcPr>
                  <w:tcW w:w="933" w:type="pct"/>
                  <w:gridSpan w:val="2"/>
                  <w:tcBorders>
                    <w:top w:val="single" w:color="auto" w:sz="4" w:space="0"/>
                    <w:left w:val="single" w:color="auto" w:sz="4" w:space="0"/>
                    <w:bottom w:val="single" w:color="auto" w:sz="4" w:space="0"/>
                    <w:right w:val="single" w:color="auto" w:sz="4" w:space="0"/>
                  </w:tcBorders>
                  <w:noWrap w:val="0"/>
                  <w:vAlign w:val="center"/>
                </w:tcPr>
                <w:p w14:paraId="6D1655A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主动性与学习能</w:t>
                  </w:r>
                </w:p>
                <w:p w14:paraId="16F92F6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力</w:t>
                  </w:r>
                </w:p>
                <w:p w14:paraId="0AC6D47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（分值：5分）</w:t>
                  </w:r>
                </w:p>
              </w:tc>
              <w:tc>
                <w:tcPr>
                  <w:tcW w:w="2801" w:type="pct"/>
                  <w:gridSpan w:val="3"/>
                  <w:tcBorders>
                    <w:top w:val="single" w:color="auto" w:sz="4" w:space="0"/>
                    <w:left w:val="single" w:color="auto" w:sz="4" w:space="0"/>
                    <w:bottom w:val="single" w:color="auto" w:sz="4" w:space="0"/>
                    <w:right w:val="single" w:color="auto" w:sz="4" w:space="0"/>
                  </w:tcBorders>
                  <w:noWrap w:val="0"/>
                  <w:vAlign w:val="top"/>
                </w:tcPr>
                <w:p w14:paraId="222B3994">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5分：工作积极主动，善于发现并提出问题，乐于学习新知识和技能。</w:t>
                  </w:r>
                </w:p>
                <w:p w14:paraId="154A111C">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3分：完成指令性工作，学习主动性一般。</w:t>
                  </w:r>
                </w:p>
                <w:p w14:paraId="50EF3C7E">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0分：工作消极怠工，拒绝学习新事物。</w:t>
                  </w:r>
                </w:p>
              </w:tc>
              <w:tc>
                <w:tcPr>
                  <w:tcW w:w="464" w:type="pct"/>
                  <w:tcBorders>
                    <w:top w:val="single" w:color="auto" w:sz="4" w:space="0"/>
                    <w:left w:val="single" w:color="auto" w:sz="4" w:space="0"/>
                    <w:bottom w:val="single" w:color="auto" w:sz="4" w:space="0"/>
                    <w:right w:val="single" w:color="auto" w:sz="4" w:space="0"/>
                  </w:tcBorders>
                  <w:noWrap/>
                  <w:vAlign w:val="top"/>
                </w:tcPr>
                <w:p w14:paraId="0A8C841B">
                  <w:pPr>
                    <w:keepNext w:val="0"/>
                    <w:keepLines w:val="0"/>
                    <w:pageBreakBefore w:val="0"/>
                    <w:kinsoku/>
                    <w:wordWrap/>
                    <w:overflowPunct/>
                    <w:topLinePunct w:val="0"/>
                    <w:autoSpaceDE/>
                    <w:autoSpaceDN/>
                    <w:bidi w:val="0"/>
                    <w:snapToGrid/>
                    <w:spacing w:line="240" w:lineRule="auto"/>
                    <w:jc w:val="left"/>
                    <w:rPr>
                      <w:rFonts w:hint="eastAsia" w:ascii="宋体" w:hAnsi="宋体" w:eastAsia="宋体" w:cs="宋体"/>
                      <w:i w:val="0"/>
                      <w:iCs w:val="0"/>
                      <w:color w:val="auto"/>
                      <w:sz w:val="21"/>
                      <w:szCs w:val="21"/>
                      <w:u w:val="none"/>
                    </w:rPr>
                  </w:pPr>
                </w:p>
              </w:tc>
            </w:tr>
            <w:tr w14:paraId="0809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4535" w:type="pct"/>
                  <w:gridSpan w:val="6"/>
                  <w:tcBorders>
                    <w:top w:val="single" w:color="auto" w:sz="4" w:space="0"/>
                    <w:left w:val="single" w:color="auto" w:sz="4" w:space="0"/>
                    <w:bottom w:val="single" w:color="auto" w:sz="4" w:space="0"/>
                    <w:right w:val="single" w:color="auto" w:sz="4" w:space="0"/>
                  </w:tcBorders>
                  <w:noWrap/>
                  <w:vAlign w:val="center"/>
                </w:tcPr>
                <w:p w14:paraId="3D9F804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总计得分</w:t>
                  </w:r>
                </w:p>
              </w:tc>
              <w:tc>
                <w:tcPr>
                  <w:tcW w:w="464" w:type="pct"/>
                  <w:tcBorders>
                    <w:top w:val="single" w:color="auto" w:sz="4" w:space="0"/>
                    <w:left w:val="single" w:color="auto" w:sz="4" w:space="0"/>
                    <w:bottom w:val="single" w:color="auto" w:sz="4" w:space="0"/>
                    <w:right w:val="single" w:color="auto" w:sz="4" w:space="0"/>
                  </w:tcBorders>
                  <w:noWrap/>
                  <w:vAlign w:val="center"/>
                </w:tcPr>
                <w:p w14:paraId="4F8E1DDD">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p>
              </w:tc>
            </w:tr>
            <w:tr w14:paraId="19D9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2658" w:type="pct"/>
                  <w:gridSpan w:val="4"/>
                  <w:tcBorders>
                    <w:top w:val="single" w:color="auto" w:sz="4" w:space="0"/>
                    <w:left w:val="single" w:color="auto" w:sz="4" w:space="0"/>
                    <w:bottom w:val="nil"/>
                    <w:right w:val="nil"/>
                  </w:tcBorders>
                  <w:noWrap/>
                  <w:vAlign w:val="center"/>
                </w:tcPr>
                <w:p w14:paraId="5EAEB68B">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招标人：佛山市三水云东海创智城产业发展有限公司</w:t>
                  </w:r>
                </w:p>
              </w:tc>
              <w:tc>
                <w:tcPr>
                  <w:tcW w:w="2341" w:type="pct"/>
                  <w:gridSpan w:val="3"/>
                  <w:tcBorders>
                    <w:top w:val="single" w:color="auto" w:sz="4" w:space="0"/>
                    <w:left w:val="nil"/>
                    <w:bottom w:val="nil"/>
                    <w:right w:val="single" w:color="auto" w:sz="4" w:space="0"/>
                  </w:tcBorders>
                  <w:noWrap/>
                  <w:vAlign w:val="center"/>
                </w:tcPr>
                <w:p w14:paraId="628E137C">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中标人：</w:t>
                  </w:r>
                </w:p>
              </w:tc>
            </w:tr>
            <w:tr w14:paraId="45DE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99" w:type="pct"/>
                  <w:gridSpan w:val="2"/>
                  <w:tcBorders>
                    <w:top w:val="nil"/>
                    <w:left w:val="single" w:color="auto" w:sz="4" w:space="0"/>
                    <w:bottom w:val="nil"/>
                    <w:right w:val="nil"/>
                  </w:tcBorders>
                  <w:noWrap/>
                  <w:vAlign w:val="center"/>
                </w:tcPr>
                <w:p w14:paraId="3B5EE791">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评分人签名：</w:t>
                  </w:r>
                </w:p>
              </w:tc>
              <w:tc>
                <w:tcPr>
                  <w:tcW w:w="1658" w:type="pct"/>
                  <w:gridSpan w:val="2"/>
                  <w:tcBorders>
                    <w:top w:val="nil"/>
                    <w:left w:val="nil"/>
                    <w:bottom w:val="nil"/>
                    <w:right w:val="nil"/>
                  </w:tcBorders>
                  <w:noWrap/>
                  <w:vAlign w:val="center"/>
                </w:tcPr>
                <w:p w14:paraId="7DAB769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998" w:type="pct"/>
                  <w:tcBorders>
                    <w:top w:val="nil"/>
                    <w:left w:val="nil"/>
                    <w:bottom w:val="nil"/>
                    <w:right w:val="nil"/>
                  </w:tcBorders>
                  <w:noWrap/>
                  <w:vAlign w:val="center"/>
                </w:tcPr>
                <w:p w14:paraId="4638BC0A">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sz w:val="21"/>
                      <w:szCs w:val="21"/>
                      <w:lang w:val="en-US" w:eastAsia="zh-CN"/>
                    </w:rPr>
                    <w:t>项目负责人</w:t>
                  </w:r>
                  <w:r>
                    <w:rPr>
                      <w:rStyle w:val="43"/>
                      <w:rFonts w:hint="eastAsia" w:ascii="宋体" w:hAnsi="宋体" w:eastAsia="宋体" w:cs="宋体"/>
                      <w:color w:val="auto"/>
                      <w:sz w:val="21"/>
                      <w:szCs w:val="21"/>
                      <w:lang w:val="en-US" w:eastAsia="zh-CN" w:bidi="ar"/>
                    </w:rPr>
                    <w:t>签名</w:t>
                  </w:r>
                  <w:r>
                    <w:rPr>
                      <w:rFonts w:hint="eastAsia" w:ascii="宋体" w:hAnsi="宋体" w:eastAsia="宋体" w:cs="宋体"/>
                      <w:i w:val="0"/>
                      <w:iCs w:val="0"/>
                      <w:color w:val="auto"/>
                      <w:kern w:val="0"/>
                      <w:sz w:val="21"/>
                      <w:szCs w:val="21"/>
                      <w:u w:val="none"/>
                      <w:lang w:val="en-US" w:eastAsia="zh-CN" w:bidi="ar"/>
                    </w:rPr>
                    <w:t>：</w:t>
                  </w:r>
                </w:p>
              </w:tc>
              <w:tc>
                <w:tcPr>
                  <w:tcW w:w="1342" w:type="pct"/>
                  <w:gridSpan w:val="2"/>
                  <w:tcBorders>
                    <w:top w:val="nil"/>
                    <w:left w:val="nil"/>
                    <w:bottom w:val="nil"/>
                    <w:right w:val="single" w:color="auto" w:sz="4" w:space="0"/>
                  </w:tcBorders>
                  <w:noWrap/>
                  <w:vAlign w:val="center"/>
                </w:tcPr>
                <w:p w14:paraId="20767E14">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p>
              </w:tc>
            </w:tr>
            <w:tr w14:paraId="6441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99" w:type="pct"/>
                  <w:gridSpan w:val="2"/>
                  <w:tcBorders>
                    <w:top w:val="nil"/>
                    <w:left w:val="single" w:color="auto" w:sz="4" w:space="0"/>
                    <w:bottom w:val="nil"/>
                    <w:right w:val="nil"/>
                  </w:tcBorders>
                  <w:noWrap/>
                  <w:vAlign w:val="center"/>
                </w:tcPr>
                <w:p w14:paraId="62F4BB16">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项目负责人签名：</w:t>
                  </w:r>
                </w:p>
              </w:tc>
              <w:tc>
                <w:tcPr>
                  <w:tcW w:w="1658" w:type="pct"/>
                  <w:gridSpan w:val="2"/>
                  <w:tcBorders>
                    <w:top w:val="nil"/>
                    <w:left w:val="nil"/>
                    <w:bottom w:val="nil"/>
                    <w:right w:val="nil"/>
                  </w:tcBorders>
                  <w:noWrap/>
                  <w:vAlign w:val="center"/>
                </w:tcPr>
                <w:p w14:paraId="503F705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2341" w:type="pct"/>
                  <w:gridSpan w:val="3"/>
                  <w:tcBorders>
                    <w:top w:val="nil"/>
                    <w:left w:val="nil"/>
                    <w:bottom w:val="nil"/>
                    <w:right w:val="single" w:color="auto" w:sz="4" w:space="0"/>
                  </w:tcBorders>
                  <w:noWrap/>
                  <w:vAlign w:val="center"/>
                </w:tcPr>
                <w:p w14:paraId="098A3BA0">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p>
              </w:tc>
            </w:tr>
            <w:tr w14:paraId="4FD0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99" w:type="pct"/>
                  <w:gridSpan w:val="2"/>
                  <w:tcBorders>
                    <w:top w:val="nil"/>
                    <w:left w:val="single" w:color="auto" w:sz="4" w:space="0"/>
                    <w:bottom w:val="single" w:color="auto" w:sz="4" w:space="0"/>
                    <w:right w:val="nil"/>
                  </w:tcBorders>
                  <w:noWrap/>
                  <w:vAlign w:val="center"/>
                </w:tcPr>
                <w:p w14:paraId="5938CE80">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领导签名：</w:t>
                  </w:r>
                </w:p>
              </w:tc>
              <w:tc>
                <w:tcPr>
                  <w:tcW w:w="1658" w:type="pct"/>
                  <w:gridSpan w:val="2"/>
                  <w:tcBorders>
                    <w:top w:val="nil"/>
                    <w:left w:val="nil"/>
                    <w:bottom w:val="single" w:color="auto" w:sz="4" w:space="0"/>
                    <w:right w:val="nil"/>
                  </w:tcBorders>
                  <w:noWrap/>
                  <w:vAlign w:val="center"/>
                </w:tcPr>
                <w:p w14:paraId="5B8A54A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2341" w:type="pct"/>
                  <w:gridSpan w:val="3"/>
                  <w:tcBorders>
                    <w:top w:val="nil"/>
                    <w:left w:val="nil"/>
                    <w:bottom w:val="single" w:color="auto" w:sz="4" w:space="0"/>
                    <w:right w:val="single" w:color="auto" w:sz="4" w:space="0"/>
                  </w:tcBorders>
                  <w:noWrap/>
                  <w:vAlign w:val="center"/>
                </w:tcPr>
                <w:p w14:paraId="1B5AC709">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i w:val="0"/>
                      <w:iCs w:val="0"/>
                      <w:color w:val="auto"/>
                      <w:sz w:val="21"/>
                      <w:szCs w:val="21"/>
                      <w:u w:val="none"/>
                    </w:rPr>
                  </w:pPr>
                </w:p>
              </w:tc>
            </w:tr>
          </w:tbl>
          <w:p w14:paraId="360E2A22">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（一）备注：对中标人实行考核计分制，每月最高100分。</w:t>
            </w:r>
          </w:p>
          <w:p w14:paraId="41CAAC9D">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二）每月备注：每月得分值≥80分，则招标人向中标人全额支付该月服务费；得分＜80分的则每少1分扣该月服务费1%，依此类推；每月得分值≤70分的则一次性扣除该月服务费的15%，连续3个月考核平均分值≤60分的，招标人有权解除合同并不予退还中标人履约保证金，由此造成招标人损失的，中标人还须赔偿招标人损失。</w:t>
            </w:r>
          </w:p>
        </w:tc>
        <w:tc>
          <w:tcPr>
            <w:tcW w:w="1967" w:type="dxa"/>
            <w:noWrap w:val="0"/>
            <w:vAlign w:val="center"/>
          </w:tcPr>
          <w:p w14:paraId="3D70E45A">
            <w:pPr>
              <w:spacing w:line="240" w:lineRule="auto"/>
              <w:jc w:val="center"/>
              <w:rPr>
                <w:rFonts w:hint="eastAsia" w:ascii="宋体" w:hAnsi="宋体"/>
                <w:color w:val="auto"/>
              </w:rPr>
            </w:pPr>
          </w:p>
        </w:tc>
        <w:tc>
          <w:tcPr>
            <w:tcW w:w="1616" w:type="dxa"/>
            <w:tcBorders>
              <w:right w:val="single" w:color="auto" w:sz="2" w:space="0"/>
            </w:tcBorders>
            <w:noWrap w:val="0"/>
            <w:vAlign w:val="center"/>
          </w:tcPr>
          <w:p w14:paraId="2A89A440">
            <w:pPr>
              <w:spacing w:line="240" w:lineRule="auto"/>
              <w:jc w:val="center"/>
              <w:rPr>
                <w:rFonts w:hint="eastAsia" w:ascii="宋体" w:hAnsi="宋体"/>
                <w:color w:val="auto"/>
              </w:rPr>
            </w:pPr>
          </w:p>
        </w:tc>
        <w:tc>
          <w:tcPr>
            <w:tcW w:w="1684" w:type="dxa"/>
            <w:tcBorders>
              <w:left w:val="single" w:color="auto" w:sz="2" w:space="0"/>
            </w:tcBorders>
            <w:noWrap w:val="0"/>
            <w:vAlign w:val="center"/>
          </w:tcPr>
          <w:p w14:paraId="6B775C15">
            <w:pPr>
              <w:spacing w:line="240" w:lineRule="auto"/>
              <w:jc w:val="center"/>
              <w:rPr>
                <w:rFonts w:hint="eastAsia" w:ascii="宋体" w:hAnsi="宋体"/>
                <w:color w:val="auto"/>
              </w:rPr>
            </w:pPr>
            <w:r>
              <w:rPr>
                <w:rFonts w:hint="eastAsia" w:ascii="宋体" w:hAnsi="宋体" w:cs="宋体"/>
                <w:color w:val="auto"/>
                <w:szCs w:val="21"/>
              </w:rPr>
              <w:t>见《投标文件》第</w:t>
            </w:r>
            <w:r>
              <w:rPr>
                <w:rFonts w:hint="eastAsia" w:ascii="宋体" w:hAnsi="宋体" w:cs="宋体"/>
                <w:color w:val="auto"/>
                <w:szCs w:val="21"/>
                <w:u w:val="single"/>
              </w:rPr>
              <w:t xml:space="preserve">   </w:t>
            </w:r>
            <w:r>
              <w:rPr>
                <w:rFonts w:hint="eastAsia" w:ascii="宋体" w:hAnsi="宋体" w:cs="宋体"/>
                <w:color w:val="auto"/>
                <w:szCs w:val="21"/>
              </w:rPr>
              <w:t>页</w:t>
            </w:r>
          </w:p>
        </w:tc>
      </w:tr>
      <w:tr w14:paraId="28A2B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65" w:type="dxa"/>
            <w:noWrap w:val="0"/>
            <w:vAlign w:val="center"/>
          </w:tcPr>
          <w:p w14:paraId="781E1F79">
            <w:pPr>
              <w:numPr>
                <w:ilvl w:val="0"/>
                <w:numId w:val="67"/>
              </w:numPr>
              <w:spacing w:line="240" w:lineRule="auto"/>
              <w:jc w:val="center"/>
              <w:rPr>
                <w:rFonts w:hint="eastAsia" w:ascii="宋体" w:hAnsi="宋体"/>
                <w:color w:val="auto"/>
                <w:szCs w:val="21"/>
              </w:rPr>
            </w:pPr>
          </w:p>
        </w:tc>
        <w:tc>
          <w:tcPr>
            <w:tcW w:w="3850" w:type="dxa"/>
            <w:noWrap w:val="0"/>
            <w:vAlign w:val="center"/>
          </w:tcPr>
          <w:p w14:paraId="527BEAFF">
            <w:pPr>
              <w:spacing w:line="240" w:lineRule="auto"/>
              <w:rPr>
                <w:rFonts w:hint="eastAsia" w:ascii="宋体" w:hAnsi="宋体"/>
                <w:color w:val="auto"/>
              </w:rPr>
            </w:pPr>
            <w:r>
              <w:rPr>
                <w:rFonts w:hint="eastAsia" w:ascii="宋体" w:hAnsi="宋体"/>
                <w:color w:val="auto"/>
              </w:rPr>
              <w:t>六、保密要求</w:t>
            </w:r>
          </w:p>
          <w:p w14:paraId="7497CEE8">
            <w:pPr>
              <w:spacing w:line="240" w:lineRule="auto"/>
              <w:rPr>
                <w:rFonts w:hint="eastAsia" w:ascii="宋体" w:hAnsi="宋体"/>
                <w:color w:val="auto"/>
              </w:rPr>
            </w:pPr>
            <w:r>
              <w:rPr>
                <w:rFonts w:hint="eastAsia" w:ascii="宋体" w:hAnsi="宋体"/>
                <w:color w:val="auto"/>
              </w:rPr>
              <w:t>中标人应对本项目实施过程中涉及的数据资源、文件资料及合同具体内容等所有关于本项目的资料进行保密。未经过招标人书面文件许可，中标人不得以任何方式向第三方透露，且保密责任不因合同的中止或解除而失效。如有关技术文档和数据资料被泄密，给招标人造成损失的，中标人应承担赔偿责任；构成犯罪的，依法追究中标人刑事责任。</w:t>
            </w:r>
          </w:p>
        </w:tc>
        <w:tc>
          <w:tcPr>
            <w:tcW w:w="1967" w:type="dxa"/>
            <w:noWrap w:val="0"/>
            <w:vAlign w:val="center"/>
          </w:tcPr>
          <w:p w14:paraId="76D226A7">
            <w:pPr>
              <w:spacing w:line="240" w:lineRule="auto"/>
              <w:jc w:val="center"/>
              <w:rPr>
                <w:rFonts w:hint="eastAsia" w:ascii="宋体" w:hAnsi="宋体"/>
                <w:color w:val="auto"/>
              </w:rPr>
            </w:pPr>
          </w:p>
        </w:tc>
        <w:tc>
          <w:tcPr>
            <w:tcW w:w="1616" w:type="dxa"/>
            <w:tcBorders>
              <w:right w:val="single" w:color="auto" w:sz="2" w:space="0"/>
            </w:tcBorders>
            <w:noWrap w:val="0"/>
            <w:vAlign w:val="center"/>
          </w:tcPr>
          <w:p w14:paraId="2A54B5C6">
            <w:pPr>
              <w:spacing w:line="240" w:lineRule="auto"/>
              <w:jc w:val="center"/>
              <w:rPr>
                <w:rFonts w:hint="eastAsia" w:ascii="宋体" w:hAnsi="宋体"/>
                <w:color w:val="auto"/>
              </w:rPr>
            </w:pPr>
          </w:p>
        </w:tc>
        <w:tc>
          <w:tcPr>
            <w:tcW w:w="1684" w:type="dxa"/>
            <w:tcBorders>
              <w:left w:val="single" w:color="auto" w:sz="2" w:space="0"/>
            </w:tcBorders>
            <w:noWrap w:val="0"/>
            <w:vAlign w:val="center"/>
          </w:tcPr>
          <w:p w14:paraId="71BD4A1E">
            <w:pPr>
              <w:spacing w:line="240" w:lineRule="auto"/>
              <w:jc w:val="center"/>
              <w:rPr>
                <w:rFonts w:hint="eastAsia" w:ascii="宋体" w:hAnsi="宋体"/>
                <w:color w:val="auto"/>
              </w:rPr>
            </w:pPr>
            <w:r>
              <w:rPr>
                <w:rFonts w:hint="eastAsia" w:ascii="宋体" w:hAnsi="宋体" w:cs="宋体"/>
                <w:color w:val="auto"/>
                <w:szCs w:val="21"/>
              </w:rPr>
              <w:t>见《投标文件》第</w:t>
            </w:r>
            <w:r>
              <w:rPr>
                <w:rFonts w:hint="eastAsia" w:ascii="宋体" w:hAnsi="宋体" w:cs="宋体"/>
                <w:color w:val="auto"/>
                <w:szCs w:val="21"/>
                <w:u w:val="single"/>
              </w:rPr>
              <w:t xml:space="preserve">   </w:t>
            </w:r>
            <w:r>
              <w:rPr>
                <w:rFonts w:hint="eastAsia" w:ascii="宋体" w:hAnsi="宋体" w:cs="宋体"/>
                <w:color w:val="auto"/>
                <w:szCs w:val="21"/>
              </w:rPr>
              <w:t>页</w:t>
            </w:r>
          </w:p>
        </w:tc>
      </w:tr>
      <w:tr w14:paraId="29A7C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65" w:type="dxa"/>
            <w:noWrap w:val="0"/>
            <w:vAlign w:val="center"/>
          </w:tcPr>
          <w:p w14:paraId="74DFEF90">
            <w:pPr>
              <w:numPr>
                <w:ilvl w:val="0"/>
                <w:numId w:val="67"/>
              </w:numPr>
              <w:spacing w:line="240" w:lineRule="auto"/>
              <w:jc w:val="center"/>
              <w:rPr>
                <w:rFonts w:hint="eastAsia" w:ascii="宋体" w:hAnsi="宋体"/>
                <w:color w:val="auto"/>
                <w:szCs w:val="21"/>
              </w:rPr>
            </w:pPr>
          </w:p>
        </w:tc>
        <w:tc>
          <w:tcPr>
            <w:tcW w:w="3850" w:type="dxa"/>
            <w:noWrap w:val="0"/>
            <w:vAlign w:val="center"/>
          </w:tcPr>
          <w:p w14:paraId="095B424C">
            <w:pPr>
              <w:spacing w:line="240" w:lineRule="auto"/>
              <w:rPr>
                <w:rFonts w:hint="eastAsia" w:ascii="宋体" w:hAnsi="宋体"/>
                <w:color w:val="auto"/>
              </w:rPr>
            </w:pPr>
            <w:r>
              <w:rPr>
                <w:rFonts w:hint="eastAsia" w:ascii="宋体" w:hAnsi="宋体"/>
                <w:color w:val="auto"/>
              </w:rPr>
              <w:t>七、履约保证金</w:t>
            </w:r>
          </w:p>
          <w:p w14:paraId="122D8AB8">
            <w:pPr>
              <w:spacing w:line="240" w:lineRule="auto"/>
              <w:rPr>
                <w:rFonts w:hint="eastAsia" w:ascii="宋体" w:hAnsi="宋体"/>
                <w:color w:val="auto"/>
              </w:rPr>
            </w:pPr>
            <w:r>
              <w:rPr>
                <w:rFonts w:hint="eastAsia" w:ascii="宋体" w:hAnsi="宋体"/>
                <w:color w:val="auto"/>
              </w:rPr>
              <w:t>（一）履约保证金的金额为人民币壹拾万元整（RMB100,000.00）。履约保证金用于补偿招标人因中标人不能完全履行其合同义务而蒙受的损失或中标人违反合同而作出的处罚。</w:t>
            </w:r>
          </w:p>
          <w:p w14:paraId="60561A59">
            <w:pPr>
              <w:spacing w:line="240" w:lineRule="auto"/>
              <w:rPr>
                <w:rFonts w:hint="eastAsia" w:ascii="宋体" w:hAnsi="宋体"/>
                <w:color w:val="auto"/>
              </w:rPr>
            </w:pPr>
            <w:r>
              <w:rPr>
                <w:rFonts w:hint="eastAsia" w:ascii="宋体" w:hAnsi="宋体"/>
                <w:color w:val="auto"/>
              </w:rPr>
              <w:t>（二）缴纳履约保证金的时间：合同签订后10个工作日内，中标人必须递交履约保证金，否则视为违约，招标人有权单方面解除合同，由此造成的一切经济损失由中标人负责。</w:t>
            </w:r>
          </w:p>
          <w:p w14:paraId="09640604">
            <w:pPr>
              <w:spacing w:line="240" w:lineRule="auto"/>
              <w:rPr>
                <w:rFonts w:hint="eastAsia" w:ascii="宋体" w:hAnsi="宋体"/>
                <w:color w:val="auto"/>
              </w:rPr>
            </w:pPr>
            <w:r>
              <w:rPr>
                <w:rFonts w:hint="eastAsia" w:ascii="宋体" w:hAnsi="宋体"/>
                <w:color w:val="auto"/>
              </w:rPr>
              <w:t>（三）履约保证金的形式：中标人应当以转账、支票、汇票、本票或者金融机构、担保机构出具的保函等非现金形式提交：</w:t>
            </w:r>
          </w:p>
          <w:p w14:paraId="7E19DB53">
            <w:pPr>
              <w:spacing w:line="240" w:lineRule="auto"/>
              <w:rPr>
                <w:rFonts w:hint="eastAsia" w:ascii="宋体" w:hAnsi="宋体"/>
                <w:color w:val="auto"/>
              </w:rPr>
            </w:pPr>
            <w:r>
              <w:rPr>
                <w:rFonts w:hint="eastAsia" w:ascii="宋体" w:hAnsi="宋体"/>
                <w:color w:val="auto"/>
              </w:rPr>
              <w:t>1.若采用银行转账方式的，中标人将履约保证金转至招标人指定账户。</w:t>
            </w:r>
          </w:p>
          <w:p w14:paraId="23AF3884">
            <w:pPr>
              <w:spacing w:line="240" w:lineRule="auto"/>
              <w:rPr>
                <w:rFonts w:hint="eastAsia" w:ascii="宋体" w:hAnsi="宋体"/>
                <w:color w:val="auto"/>
              </w:rPr>
            </w:pPr>
            <w:r>
              <w:rPr>
                <w:rFonts w:hint="eastAsia" w:ascii="宋体" w:hAnsi="宋体"/>
                <w:color w:val="auto"/>
              </w:rPr>
              <w:t>2.若采用保函形式的，则保函有效期为：保函生效之日起至服务期满后60日止，中标人出具的保函应包括但不限于以下内容：招标人名称、项目名称、中标人名称、担保金额、担保期限，保证方式为连带责任保证。</w:t>
            </w:r>
          </w:p>
          <w:p w14:paraId="4DF119AE">
            <w:pPr>
              <w:spacing w:line="240" w:lineRule="auto"/>
              <w:rPr>
                <w:rFonts w:hint="eastAsia" w:ascii="宋体" w:hAnsi="宋体"/>
                <w:color w:val="auto"/>
              </w:rPr>
            </w:pPr>
            <w:r>
              <w:rPr>
                <w:rFonts w:hint="eastAsia" w:ascii="宋体" w:hAnsi="宋体"/>
                <w:color w:val="auto"/>
              </w:rPr>
              <w:t>（四）履约保证金的退回：服务期满后，中标人全面履行合同条款无任何违规违约行为，经招标人验收合格，方可凭相关证明材料（如项目验收证明文件）到招标人处办理退保手续，招标人在收到相关材料后15个工作日内完成无息退还手续（以保函形式递交的，过期自动失效）。</w:t>
            </w:r>
          </w:p>
          <w:p w14:paraId="4F3F95A7">
            <w:pPr>
              <w:spacing w:line="240" w:lineRule="auto"/>
              <w:rPr>
                <w:rFonts w:hint="eastAsia" w:ascii="宋体" w:hAnsi="宋体"/>
                <w:color w:val="auto"/>
              </w:rPr>
            </w:pPr>
            <w:r>
              <w:rPr>
                <w:rFonts w:hint="eastAsia" w:ascii="宋体" w:hAnsi="宋体"/>
                <w:color w:val="auto"/>
              </w:rPr>
              <w:t>（五）履约保证金扣除情形：如有违规违约行为或其他导致招标人经济损失的行为，履约保证金将以扣除招标人经济损失后的剩余金额无息退回；履约保证金不足以弥补损失的，中标人须补足损失金额。</w:t>
            </w:r>
          </w:p>
          <w:p w14:paraId="3EBE12F0">
            <w:pPr>
              <w:spacing w:line="240" w:lineRule="auto"/>
              <w:rPr>
                <w:rFonts w:hint="eastAsia" w:ascii="宋体" w:hAnsi="宋体"/>
                <w:color w:val="auto"/>
              </w:rPr>
            </w:pPr>
            <w:r>
              <w:rPr>
                <w:rFonts w:hint="eastAsia" w:ascii="宋体" w:hAnsi="宋体"/>
                <w:color w:val="auto"/>
              </w:rPr>
              <w:t>（六）履约保证金不予退还情形：服务过程中造成重大安全事故或未履行投标承诺或中标人自行终止合同或违反合同规定等情况，招标人有权单方面解除合同并不予退还履约保证金。</w:t>
            </w:r>
          </w:p>
          <w:p w14:paraId="6BD574FA">
            <w:pPr>
              <w:spacing w:line="240" w:lineRule="auto"/>
              <w:rPr>
                <w:rFonts w:hint="eastAsia" w:ascii="宋体" w:hAnsi="宋体"/>
                <w:color w:val="auto"/>
              </w:rPr>
            </w:pPr>
            <w:r>
              <w:rPr>
                <w:rFonts w:hint="eastAsia" w:ascii="宋体" w:hAnsi="宋体"/>
                <w:color w:val="auto"/>
              </w:rPr>
              <w:t>（七）逾期退还履约保证金的违约责任：每逾期一天退还，招标人</w:t>
            </w:r>
            <w:r>
              <w:rPr>
                <w:rFonts w:hint="eastAsia" w:ascii="宋体" w:hAnsi="宋体"/>
                <w:color w:val="auto"/>
                <w:lang w:eastAsia="zh-CN"/>
              </w:rPr>
              <w:t>支付履约保证金的万分之五作违约金</w:t>
            </w:r>
            <w:r>
              <w:rPr>
                <w:rFonts w:hint="eastAsia" w:ascii="宋体" w:hAnsi="宋体"/>
                <w:color w:val="auto"/>
              </w:rPr>
              <w:t>，</w:t>
            </w:r>
            <w:r>
              <w:rPr>
                <w:rFonts w:hint="eastAsia" w:ascii="宋体" w:hAnsi="宋体"/>
                <w:color w:val="auto"/>
                <w:lang w:eastAsia="zh-CN"/>
              </w:rPr>
              <w:t>违约金累计最多不超过履约保证金金额的百分之五</w:t>
            </w:r>
            <w:r>
              <w:rPr>
                <w:rFonts w:hint="eastAsia" w:ascii="宋体" w:hAnsi="宋体"/>
                <w:color w:val="auto"/>
              </w:rPr>
              <w:t>。</w:t>
            </w:r>
          </w:p>
        </w:tc>
        <w:tc>
          <w:tcPr>
            <w:tcW w:w="1967" w:type="dxa"/>
            <w:noWrap w:val="0"/>
            <w:vAlign w:val="center"/>
          </w:tcPr>
          <w:p w14:paraId="0F0B0DA8">
            <w:pPr>
              <w:spacing w:line="240" w:lineRule="auto"/>
              <w:jc w:val="center"/>
              <w:rPr>
                <w:rFonts w:hint="eastAsia" w:ascii="宋体" w:hAnsi="宋体"/>
                <w:color w:val="auto"/>
              </w:rPr>
            </w:pPr>
          </w:p>
        </w:tc>
        <w:tc>
          <w:tcPr>
            <w:tcW w:w="1616" w:type="dxa"/>
            <w:tcBorders>
              <w:right w:val="single" w:color="auto" w:sz="2" w:space="0"/>
            </w:tcBorders>
            <w:noWrap w:val="0"/>
            <w:vAlign w:val="center"/>
          </w:tcPr>
          <w:p w14:paraId="00B01E2E">
            <w:pPr>
              <w:spacing w:line="240" w:lineRule="auto"/>
              <w:jc w:val="center"/>
              <w:rPr>
                <w:rFonts w:hint="eastAsia" w:ascii="宋体" w:hAnsi="宋体"/>
                <w:color w:val="auto"/>
              </w:rPr>
            </w:pPr>
          </w:p>
        </w:tc>
        <w:tc>
          <w:tcPr>
            <w:tcW w:w="1684" w:type="dxa"/>
            <w:tcBorders>
              <w:left w:val="single" w:color="auto" w:sz="2" w:space="0"/>
            </w:tcBorders>
            <w:noWrap w:val="0"/>
            <w:vAlign w:val="center"/>
          </w:tcPr>
          <w:p w14:paraId="3F19B6AB">
            <w:pPr>
              <w:spacing w:line="240" w:lineRule="auto"/>
              <w:jc w:val="center"/>
              <w:rPr>
                <w:rFonts w:hint="eastAsia" w:ascii="宋体" w:hAnsi="宋体"/>
                <w:color w:val="auto"/>
              </w:rPr>
            </w:pPr>
            <w:r>
              <w:rPr>
                <w:rFonts w:hint="eastAsia" w:ascii="宋体" w:hAnsi="宋体" w:cs="宋体"/>
                <w:color w:val="auto"/>
                <w:szCs w:val="21"/>
              </w:rPr>
              <w:t>见《投标文件》第</w:t>
            </w:r>
            <w:r>
              <w:rPr>
                <w:rFonts w:hint="eastAsia" w:ascii="宋体" w:hAnsi="宋体" w:cs="宋体"/>
                <w:color w:val="auto"/>
                <w:szCs w:val="21"/>
                <w:u w:val="single"/>
              </w:rPr>
              <w:t xml:space="preserve">   </w:t>
            </w:r>
            <w:r>
              <w:rPr>
                <w:rFonts w:hint="eastAsia" w:ascii="宋体" w:hAnsi="宋体" w:cs="宋体"/>
                <w:color w:val="auto"/>
                <w:szCs w:val="21"/>
              </w:rPr>
              <w:t>页</w:t>
            </w:r>
          </w:p>
        </w:tc>
      </w:tr>
      <w:tr w14:paraId="6C4CC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65" w:type="dxa"/>
            <w:noWrap w:val="0"/>
            <w:vAlign w:val="center"/>
          </w:tcPr>
          <w:p w14:paraId="0892BE6F">
            <w:pPr>
              <w:numPr>
                <w:ilvl w:val="0"/>
                <w:numId w:val="67"/>
              </w:numPr>
              <w:spacing w:line="240" w:lineRule="auto"/>
              <w:jc w:val="center"/>
              <w:rPr>
                <w:rFonts w:hint="eastAsia" w:ascii="宋体" w:hAnsi="宋体"/>
                <w:color w:val="auto"/>
                <w:szCs w:val="21"/>
              </w:rPr>
            </w:pPr>
          </w:p>
        </w:tc>
        <w:tc>
          <w:tcPr>
            <w:tcW w:w="3850" w:type="dxa"/>
            <w:noWrap w:val="0"/>
            <w:vAlign w:val="center"/>
          </w:tcPr>
          <w:p w14:paraId="70B3B438">
            <w:pPr>
              <w:spacing w:line="240" w:lineRule="auto"/>
              <w:rPr>
                <w:rFonts w:hint="eastAsia" w:ascii="宋体" w:hAnsi="宋体"/>
                <w:color w:val="auto"/>
              </w:rPr>
            </w:pPr>
            <w:r>
              <w:rPr>
                <w:rFonts w:hint="eastAsia" w:ascii="宋体" w:hAnsi="宋体"/>
                <w:color w:val="auto"/>
              </w:rPr>
              <w:t>八、付款方式</w:t>
            </w:r>
          </w:p>
          <w:p w14:paraId="6490A148">
            <w:pPr>
              <w:spacing w:line="240" w:lineRule="auto"/>
              <w:rPr>
                <w:rFonts w:hint="eastAsia" w:ascii="宋体" w:hAnsi="宋体"/>
                <w:color w:val="auto"/>
              </w:rPr>
            </w:pPr>
            <w:r>
              <w:rPr>
                <w:rFonts w:hint="eastAsia" w:ascii="宋体" w:hAnsi="宋体"/>
                <w:color w:val="auto"/>
              </w:rPr>
              <w:t>（一）由</w:t>
            </w:r>
            <w:r>
              <w:rPr>
                <w:rFonts w:hint="eastAsia" w:ascii="宋体" w:hAnsi="宋体"/>
                <w:color w:val="auto"/>
                <w:lang w:eastAsia="zh-CN"/>
              </w:rPr>
              <w:t>招标人</w:t>
            </w:r>
            <w:r>
              <w:rPr>
                <w:rFonts w:hint="eastAsia" w:ascii="宋体" w:hAnsi="宋体"/>
                <w:color w:val="auto"/>
              </w:rPr>
              <w:t>按下列程序付款：</w:t>
            </w:r>
          </w:p>
          <w:p w14:paraId="584776BF">
            <w:pPr>
              <w:spacing w:line="240" w:lineRule="auto"/>
              <w:rPr>
                <w:rFonts w:hint="eastAsia" w:ascii="宋体" w:hAnsi="宋体"/>
                <w:color w:val="auto"/>
              </w:rPr>
            </w:pPr>
            <w:r>
              <w:rPr>
                <w:rFonts w:hint="eastAsia" w:ascii="宋体" w:hAnsi="宋体"/>
                <w:color w:val="auto"/>
              </w:rPr>
              <w:t>1.本项目安保服务费用按月度支付。中标人提供安保服务的当月费用，招标人于次月以银行转账方式支付。</w:t>
            </w:r>
          </w:p>
          <w:p w14:paraId="052041BE">
            <w:pPr>
              <w:spacing w:line="240" w:lineRule="auto"/>
              <w:rPr>
                <w:rFonts w:hint="eastAsia" w:ascii="宋体" w:hAnsi="宋体"/>
                <w:color w:val="auto"/>
              </w:rPr>
            </w:pPr>
            <w:r>
              <w:rPr>
                <w:rFonts w:hint="eastAsia" w:ascii="宋体" w:hAnsi="宋体"/>
                <w:color w:val="auto"/>
              </w:rPr>
              <w:t>2.中标人于次月5个自然日内提供合法有效的增值税专用发票（税率6%）给招标人，招标人应于收到中标人提供的发票后20个自然日内支付相应金额的服务费给中标人。</w:t>
            </w:r>
          </w:p>
          <w:p w14:paraId="2BAB1CFE">
            <w:pPr>
              <w:spacing w:line="240" w:lineRule="auto"/>
              <w:rPr>
                <w:rFonts w:hint="eastAsia" w:ascii="宋体" w:hAnsi="宋体"/>
                <w:color w:val="auto"/>
              </w:rPr>
            </w:pPr>
            <w:r>
              <w:rPr>
                <w:rFonts w:hint="eastAsia" w:ascii="宋体" w:hAnsi="宋体"/>
                <w:color w:val="auto"/>
              </w:rPr>
              <w:t>3.应付月度服务费用=结合每月的《保安服务质量考核标准》（如有扣罚对应扣除费用再进行支付）。</w:t>
            </w:r>
          </w:p>
          <w:p w14:paraId="30FA28B9">
            <w:pPr>
              <w:spacing w:line="240" w:lineRule="auto"/>
              <w:rPr>
                <w:rFonts w:hint="eastAsia" w:ascii="宋体" w:hAnsi="宋体"/>
                <w:color w:val="auto"/>
              </w:rPr>
            </w:pPr>
            <w:r>
              <w:rPr>
                <w:rFonts w:hint="eastAsia" w:ascii="宋体" w:hAnsi="宋体"/>
                <w:color w:val="auto"/>
              </w:rPr>
              <w:t>（二）中标人凭以下有效文件与招标人结算：</w:t>
            </w:r>
          </w:p>
          <w:p w14:paraId="47C14518">
            <w:pPr>
              <w:spacing w:line="240" w:lineRule="auto"/>
              <w:rPr>
                <w:rFonts w:hint="eastAsia" w:ascii="宋体" w:hAnsi="宋体"/>
                <w:color w:val="auto"/>
              </w:rPr>
            </w:pPr>
            <w:r>
              <w:rPr>
                <w:rFonts w:hint="eastAsia" w:ascii="宋体" w:hAnsi="宋体"/>
                <w:color w:val="auto"/>
              </w:rPr>
              <w:t>1.合同；</w:t>
            </w:r>
          </w:p>
          <w:p w14:paraId="6448AA4B">
            <w:pPr>
              <w:spacing w:line="240" w:lineRule="auto"/>
              <w:rPr>
                <w:rFonts w:hint="eastAsia" w:ascii="宋体" w:hAnsi="宋体"/>
                <w:color w:val="auto"/>
              </w:rPr>
            </w:pPr>
            <w:r>
              <w:rPr>
                <w:rFonts w:hint="eastAsia" w:ascii="宋体" w:hAnsi="宋体"/>
                <w:color w:val="auto"/>
              </w:rPr>
              <w:t>2.中标人开具的正式发票；</w:t>
            </w:r>
          </w:p>
          <w:p w14:paraId="12F67110">
            <w:pPr>
              <w:spacing w:line="240" w:lineRule="auto"/>
              <w:rPr>
                <w:rFonts w:hint="eastAsia" w:ascii="宋体" w:hAnsi="宋体"/>
                <w:color w:val="auto"/>
              </w:rPr>
            </w:pPr>
            <w:r>
              <w:rPr>
                <w:rFonts w:hint="eastAsia" w:ascii="宋体" w:hAnsi="宋体"/>
                <w:color w:val="auto"/>
              </w:rPr>
              <w:t>3.付款申请书（加盖中标人公章）；</w:t>
            </w:r>
          </w:p>
          <w:p w14:paraId="0F038B32">
            <w:pPr>
              <w:spacing w:line="240" w:lineRule="auto"/>
              <w:rPr>
                <w:rFonts w:hint="eastAsia" w:ascii="宋体" w:hAnsi="宋体"/>
                <w:color w:val="auto"/>
              </w:rPr>
            </w:pPr>
            <w:r>
              <w:rPr>
                <w:rFonts w:hint="eastAsia" w:ascii="宋体" w:hAnsi="宋体"/>
                <w:color w:val="auto"/>
              </w:rPr>
              <w:t>4.中标通知书；</w:t>
            </w:r>
          </w:p>
          <w:p w14:paraId="39486A57">
            <w:pPr>
              <w:spacing w:line="240" w:lineRule="auto"/>
              <w:rPr>
                <w:rFonts w:hint="eastAsia" w:ascii="宋体" w:hAnsi="宋体"/>
                <w:color w:val="auto"/>
              </w:rPr>
            </w:pPr>
            <w:r>
              <w:rPr>
                <w:rFonts w:hint="eastAsia" w:ascii="宋体" w:hAnsi="宋体"/>
                <w:color w:val="auto"/>
              </w:rPr>
              <w:t>5.保安服务质量考核表。</w:t>
            </w:r>
          </w:p>
          <w:p w14:paraId="2D88CF4A">
            <w:pPr>
              <w:spacing w:line="240" w:lineRule="auto"/>
              <w:rPr>
                <w:rFonts w:hint="eastAsia" w:ascii="宋体" w:hAnsi="宋体"/>
                <w:color w:val="auto"/>
              </w:rPr>
            </w:pPr>
            <w:r>
              <w:rPr>
                <w:rFonts w:hint="eastAsia" w:ascii="宋体" w:hAnsi="宋体"/>
                <w:color w:val="auto"/>
              </w:rPr>
              <w:t>（三）收款方、出具发票方、合同乙方均必须与中标人名称一致。</w:t>
            </w:r>
          </w:p>
        </w:tc>
        <w:tc>
          <w:tcPr>
            <w:tcW w:w="1967" w:type="dxa"/>
            <w:noWrap w:val="0"/>
            <w:vAlign w:val="center"/>
          </w:tcPr>
          <w:p w14:paraId="31839524">
            <w:pPr>
              <w:spacing w:line="240" w:lineRule="auto"/>
              <w:jc w:val="center"/>
              <w:rPr>
                <w:rFonts w:hint="eastAsia" w:ascii="宋体" w:hAnsi="宋体"/>
                <w:color w:val="auto"/>
              </w:rPr>
            </w:pPr>
          </w:p>
        </w:tc>
        <w:tc>
          <w:tcPr>
            <w:tcW w:w="1616" w:type="dxa"/>
            <w:tcBorders>
              <w:right w:val="single" w:color="auto" w:sz="2" w:space="0"/>
            </w:tcBorders>
            <w:noWrap w:val="0"/>
            <w:vAlign w:val="center"/>
          </w:tcPr>
          <w:p w14:paraId="1529967E">
            <w:pPr>
              <w:spacing w:line="240" w:lineRule="auto"/>
              <w:jc w:val="center"/>
              <w:rPr>
                <w:rFonts w:hint="eastAsia" w:ascii="宋体" w:hAnsi="宋体"/>
                <w:color w:val="auto"/>
              </w:rPr>
            </w:pPr>
          </w:p>
        </w:tc>
        <w:tc>
          <w:tcPr>
            <w:tcW w:w="1684" w:type="dxa"/>
            <w:tcBorders>
              <w:left w:val="single" w:color="auto" w:sz="2" w:space="0"/>
            </w:tcBorders>
            <w:noWrap w:val="0"/>
            <w:vAlign w:val="center"/>
          </w:tcPr>
          <w:p w14:paraId="2995B0A2">
            <w:pPr>
              <w:spacing w:line="240" w:lineRule="auto"/>
              <w:jc w:val="center"/>
              <w:rPr>
                <w:rFonts w:hint="eastAsia" w:ascii="宋体" w:hAnsi="宋体" w:eastAsia="宋体" w:cs="Times New Roman"/>
                <w:color w:val="auto"/>
                <w:kern w:val="2"/>
                <w:sz w:val="21"/>
                <w:szCs w:val="24"/>
                <w:lang w:val="en-US" w:eastAsia="zh-CN" w:bidi="ar-SA"/>
              </w:rPr>
            </w:pPr>
            <w:r>
              <w:rPr>
                <w:rFonts w:hint="eastAsia" w:ascii="宋体" w:hAnsi="宋体" w:cs="宋体"/>
                <w:color w:val="auto"/>
                <w:szCs w:val="21"/>
              </w:rPr>
              <w:t>见《投标文件》第</w:t>
            </w:r>
            <w:r>
              <w:rPr>
                <w:rFonts w:hint="eastAsia" w:ascii="宋体" w:hAnsi="宋体" w:cs="宋体"/>
                <w:color w:val="auto"/>
                <w:szCs w:val="21"/>
                <w:u w:val="single"/>
              </w:rPr>
              <w:t xml:space="preserve">   </w:t>
            </w:r>
            <w:r>
              <w:rPr>
                <w:rFonts w:hint="eastAsia" w:ascii="宋体" w:hAnsi="宋体" w:cs="宋体"/>
                <w:color w:val="auto"/>
                <w:szCs w:val="21"/>
              </w:rPr>
              <w:t>页</w:t>
            </w:r>
          </w:p>
        </w:tc>
      </w:tr>
    </w:tbl>
    <w:p w14:paraId="655B7DDA">
      <w:pPr>
        <w:spacing w:line="400" w:lineRule="exact"/>
        <w:rPr>
          <w:rFonts w:hint="eastAsia" w:ascii="宋体" w:hAnsi="宋体"/>
          <w:color w:val="auto"/>
        </w:rPr>
      </w:pPr>
      <w:r>
        <w:rPr>
          <w:rFonts w:hint="eastAsia" w:ascii="宋体" w:hAnsi="宋体"/>
          <w:color w:val="auto"/>
        </w:rPr>
        <w:t>说明：</w:t>
      </w:r>
    </w:p>
    <w:p w14:paraId="6EED06B2">
      <w:pPr>
        <w:numPr>
          <w:ilvl w:val="0"/>
          <w:numId w:val="68"/>
        </w:numPr>
        <w:spacing w:line="400" w:lineRule="exact"/>
        <w:rPr>
          <w:rFonts w:hint="eastAsia" w:ascii="宋体" w:hAnsi="宋体"/>
          <w:color w:val="auto"/>
        </w:rPr>
      </w:pPr>
      <w:r>
        <w:rPr>
          <w:rFonts w:hint="eastAsia" w:ascii="宋体" w:hAnsi="宋体"/>
          <w:color w:val="auto"/>
        </w:rPr>
        <w:t>投标人必须对应招标文件</w:t>
      </w:r>
      <w:r>
        <w:rPr>
          <w:rFonts w:hint="eastAsia"/>
          <w:color w:val="auto"/>
        </w:rPr>
        <w:t>的</w:t>
      </w:r>
      <w:r>
        <w:rPr>
          <w:rFonts w:hint="eastAsia" w:ascii="宋体" w:hAnsi="宋体"/>
          <w:color w:val="auto"/>
        </w:rPr>
        <w:t>实质性条款</w:t>
      </w:r>
      <w:r>
        <w:rPr>
          <w:rFonts w:hint="eastAsia" w:ascii="宋体" w:hAnsi="宋体"/>
          <w:color w:val="auto"/>
          <w:lang w:eastAsia="zh-CN"/>
        </w:rPr>
        <w:t>【</w:t>
      </w:r>
      <w:r>
        <w:rPr>
          <w:rFonts w:hint="eastAsia" w:ascii="宋体" w:hAnsi="宋体" w:cs="宋体"/>
          <w:b/>
          <w:bCs/>
          <w:color w:val="auto"/>
          <w:szCs w:val="20"/>
          <w:highlight w:val="none"/>
        </w:rPr>
        <w:t>“★”号条款（如有）及商务要求</w:t>
      </w:r>
      <w:r>
        <w:rPr>
          <w:rFonts w:hint="eastAsia" w:ascii="宋体" w:hAnsi="宋体" w:cs="宋体"/>
          <w:b/>
          <w:bCs/>
          <w:color w:val="auto"/>
          <w:szCs w:val="20"/>
          <w:highlight w:val="none"/>
          <w:lang w:eastAsia="zh-CN"/>
        </w:rPr>
        <w:t>】</w:t>
      </w:r>
      <w:r>
        <w:rPr>
          <w:rFonts w:hint="eastAsia" w:ascii="宋体" w:hAnsi="宋体"/>
          <w:color w:val="auto"/>
        </w:rPr>
        <w:t>逐条应答并按要求填写上表。</w:t>
      </w:r>
    </w:p>
    <w:p w14:paraId="3D25DBF2">
      <w:pPr>
        <w:numPr>
          <w:ilvl w:val="0"/>
          <w:numId w:val="68"/>
        </w:numPr>
        <w:spacing w:line="400" w:lineRule="exact"/>
        <w:rPr>
          <w:rFonts w:hint="eastAsia" w:ascii="宋体" w:hAnsi="宋体"/>
          <w:color w:val="auto"/>
        </w:rPr>
      </w:pPr>
      <w:r>
        <w:rPr>
          <w:rFonts w:hint="eastAsia" w:ascii="宋体" w:hAnsi="宋体"/>
          <w:color w:val="auto"/>
        </w:rPr>
        <w:t>本表中“原条款描述”的条款与用户需求中的条款描述不一致的以用户需求中规定的为准。</w:t>
      </w:r>
    </w:p>
    <w:p w14:paraId="22826F92">
      <w:pPr>
        <w:spacing w:line="240" w:lineRule="auto"/>
        <w:rPr>
          <w:rFonts w:hint="eastAsia"/>
          <w:color w:val="auto"/>
          <w:spacing w:val="4"/>
        </w:rPr>
      </w:pPr>
    </w:p>
    <w:p w14:paraId="74028E3C">
      <w:pPr>
        <w:spacing w:line="500" w:lineRule="exact"/>
        <w:ind w:firstLine="109" w:firstLineChars="50"/>
        <w:rPr>
          <w:rFonts w:hint="eastAsia" w:ascii="宋体" w:hAnsi="宋体"/>
          <w:color w:val="auto"/>
          <w:u w:val="single"/>
        </w:rPr>
      </w:pPr>
      <w:r>
        <w:rPr>
          <w:rFonts w:hint="eastAsia"/>
          <w:color w:val="auto"/>
          <w:spacing w:val="4"/>
        </w:rPr>
        <w:t>投标人名称（加盖公章）：</w:t>
      </w:r>
      <w:r>
        <w:rPr>
          <w:rFonts w:hint="eastAsia"/>
          <w:color w:val="auto"/>
          <w:spacing w:val="4"/>
          <w:u w:val="single"/>
        </w:rPr>
        <w:t xml:space="preserve">                             </w:t>
      </w:r>
    </w:p>
    <w:p w14:paraId="69C74598">
      <w:pPr>
        <w:spacing w:line="440" w:lineRule="exact"/>
        <w:ind w:firstLine="109" w:firstLineChars="50"/>
        <w:rPr>
          <w:rFonts w:hint="eastAsia"/>
          <w:color w:val="auto"/>
          <w:spacing w:val="4"/>
          <w:u w:val="single"/>
        </w:rPr>
      </w:pPr>
      <w:r>
        <w:rPr>
          <w:rFonts w:hint="eastAsia"/>
          <w:color w:val="auto"/>
          <w:spacing w:val="4"/>
        </w:rPr>
        <w:t>日期</w:t>
      </w:r>
      <w:r>
        <w:rPr>
          <w:rFonts w:hint="eastAsia"/>
          <w:color w:val="auto"/>
          <w:spacing w:val="4"/>
          <w:lang w:eastAsia="zh-CN"/>
        </w:rPr>
        <w:t>：</w:t>
      </w:r>
      <w:r>
        <w:rPr>
          <w:color w:val="auto"/>
          <w:spacing w:val="4"/>
          <w:u w:val="single"/>
        </w:rPr>
        <w:t xml:space="preserve">    </w:t>
      </w:r>
      <w:r>
        <w:rPr>
          <w:rFonts w:hint="eastAsia"/>
          <w:color w:val="auto"/>
          <w:spacing w:val="4"/>
          <w:u w:val="single"/>
          <w:lang w:val="en-US" w:eastAsia="zh-CN"/>
        </w:rPr>
        <w:t xml:space="preserve">       </w:t>
      </w:r>
      <w:r>
        <w:rPr>
          <w:color w:val="auto"/>
          <w:spacing w:val="4"/>
          <w:u w:val="single"/>
        </w:rPr>
        <w:t xml:space="preserve">   </w:t>
      </w:r>
    </w:p>
    <w:p w14:paraId="23E810FC">
      <w:pPr>
        <w:spacing w:line="400" w:lineRule="exact"/>
        <w:rPr>
          <w:rFonts w:ascii="宋体" w:hAnsi="宋体"/>
          <w:b/>
          <w:bCs/>
          <w:color w:val="auto"/>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E0EDF43">
      <w:pPr>
        <w:numPr>
          <w:ilvl w:val="0"/>
          <w:numId w:val="60"/>
        </w:numPr>
        <w:spacing w:line="440" w:lineRule="exact"/>
        <w:rPr>
          <w:rFonts w:hint="eastAsia"/>
          <w:color w:val="auto"/>
        </w:rPr>
      </w:pPr>
    </w:p>
    <w:p w14:paraId="395061AE">
      <w:pPr>
        <w:pStyle w:val="4"/>
        <w:adjustRightInd w:val="0"/>
        <w:snapToGrid w:val="0"/>
        <w:spacing w:before="0" w:after="0" w:line="360" w:lineRule="auto"/>
        <w:jc w:val="center"/>
        <w:rPr>
          <w:rFonts w:hint="default"/>
          <w:b w:val="0"/>
          <w:bCs w:val="0"/>
          <w:color w:val="auto"/>
          <w:lang w:val="en-US"/>
        </w:rPr>
      </w:pPr>
      <w:r>
        <w:rPr>
          <w:rFonts w:hint="eastAsia"/>
          <w:b w:val="0"/>
          <w:bCs w:val="0"/>
          <w:color w:val="auto"/>
          <w:lang w:val="en-US" w:eastAsia="zh-CN"/>
        </w:rPr>
        <w:t>用户需求书响应一览表</w:t>
      </w:r>
    </w:p>
    <w:p w14:paraId="5DF74008">
      <w:pPr>
        <w:spacing w:after="156" w:afterLines="50"/>
        <w:jc w:val="center"/>
        <w:outlineLvl w:val="2"/>
        <w:rPr>
          <w:rFonts w:hint="eastAsia" w:eastAsia="宋体"/>
          <w:color w:val="auto"/>
          <w:lang w:eastAsia="zh-CN"/>
        </w:rPr>
      </w:pPr>
      <w:r>
        <w:rPr>
          <w:rFonts w:hint="eastAsia" w:ascii="宋体" w:hAnsi="宋体"/>
          <w:color w:val="auto"/>
        </w:rPr>
        <w:t>投标人名称：                                           项目编号：</w:t>
      </w:r>
      <w:r>
        <w:rPr>
          <w:rFonts w:hint="eastAsia" w:ascii="宋体" w:hAnsi="宋体"/>
          <w:color w:val="auto"/>
          <w:lang w:eastAsia="zh-CN"/>
        </w:rPr>
        <w:t xml:space="preserve">JG2025(SS)XZ0008 </w:t>
      </w:r>
    </w:p>
    <w:tbl>
      <w:tblPr>
        <w:tblStyle w:val="19"/>
        <w:tblW w:w="97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9"/>
        <w:gridCol w:w="3121"/>
        <w:gridCol w:w="2505"/>
        <w:gridCol w:w="2003"/>
        <w:gridCol w:w="1440"/>
      </w:tblGrid>
      <w:tr w14:paraId="06ADF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59" w:type="dxa"/>
            <w:tcBorders>
              <w:top w:val="single" w:color="auto" w:sz="12" w:space="0"/>
              <w:bottom w:val="double" w:color="auto" w:sz="4" w:space="0"/>
            </w:tcBorders>
            <w:shd w:val="clear" w:color="auto" w:fill="EEECE1"/>
            <w:noWrap w:val="0"/>
            <w:vAlign w:val="center"/>
          </w:tcPr>
          <w:p w14:paraId="1A71FB97">
            <w:pPr>
              <w:jc w:val="center"/>
              <w:rPr>
                <w:rFonts w:hint="eastAsia" w:ascii="宋体" w:hAnsi="宋体"/>
                <w:color w:val="auto"/>
                <w:szCs w:val="21"/>
              </w:rPr>
            </w:pPr>
            <w:r>
              <w:rPr>
                <w:rFonts w:hint="eastAsia" w:ascii="宋体" w:hAnsi="宋体"/>
                <w:color w:val="auto"/>
                <w:szCs w:val="21"/>
              </w:rPr>
              <w:t>序号</w:t>
            </w:r>
          </w:p>
        </w:tc>
        <w:tc>
          <w:tcPr>
            <w:tcW w:w="3121" w:type="dxa"/>
            <w:tcBorders>
              <w:top w:val="single" w:color="auto" w:sz="12" w:space="0"/>
              <w:bottom w:val="double" w:color="auto" w:sz="4" w:space="0"/>
            </w:tcBorders>
            <w:shd w:val="clear" w:color="auto" w:fill="EEECE1"/>
            <w:noWrap w:val="0"/>
            <w:vAlign w:val="center"/>
          </w:tcPr>
          <w:p w14:paraId="71C731B3">
            <w:pPr>
              <w:jc w:val="center"/>
              <w:rPr>
                <w:rFonts w:hint="eastAsia" w:ascii="宋体" w:hAnsi="宋体"/>
                <w:color w:val="auto"/>
              </w:rPr>
            </w:pPr>
            <w:r>
              <w:rPr>
                <w:rFonts w:hint="eastAsia" w:ascii="宋体" w:hAnsi="宋体"/>
                <w:color w:val="auto"/>
              </w:rPr>
              <w:t>原条款描述</w:t>
            </w:r>
          </w:p>
        </w:tc>
        <w:tc>
          <w:tcPr>
            <w:tcW w:w="2505" w:type="dxa"/>
            <w:tcBorders>
              <w:top w:val="single" w:color="auto" w:sz="12" w:space="0"/>
              <w:bottom w:val="double" w:color="auto" w:sz="4" w:space="0"/>
            </w:tcBorders>
            <w:shd w:val="clear" w:color="auto" w:fill="EEECE1"/>
            <w:noWrap w:val="0"/>
            <w:vAlign w:val="center"/>
          </w:tcPr>
          <w:p w14:paraId="6D390CCF">
            <w:pPr>
              <w:jc w:val="center"/>
              <w:rPr>
                <w:rFonts w:hint="eastAsia" w:ascii="宋体" w:hAnsi="宋体"/>
                <w:color w:val="auto"/>
              </w:rPr>
            </w:pPr>
            <w:r>
              <w:rPr>
                <w:rFonts w:hint="eastAsia" w:ascii="宋体" w:hAnsi="宋体"/>
                <w:color w:val="auto"/>
                <w:lang w:eastAsia="zh-CN"/>
              </w:rPr>
              <w:t>投标人</w:t>
            </w:r>
            <w:r>
              <w:rPr>
                <w:rFonts w:hint="eastAsia" w:ascii="宋体" w:hAnsi="宋体"/>
                <w:color w:val="auto"/>
              </w:rPr>
              <w:t>响应描述</w:t>
            </w:r>
          </w:p>
        </w:tc>
        <w:tc>
          <w:tcPr>
            <w:tcW w:w="2003" w:type="dxa"/>
            <w:tcBorders>
              <w:top w:val="single" w:color="auto" w:sz="12" w:space="0"/>
              <w:bottom w:val="double" w:color="auto" w:sz="4" w:space="0"/>
              <w:right w:val="single" w:color="auto" w:sz="2" w:space="0"/>
            </w:tcBorders>
            <w:shd w:val="clear" w:color="auto" w:fill="EEECE1"/>
            <w:noWrap w:val="0"/>
            <w:vAlign w:val="center"/>
          </w:tcPr>
          <w:p w14:paraId="2F71DB95">
            <w:pPr>
              <w:jc w:val="center"/>
              <w:rPr>
                <w:rFonts w:hint="eastAsia" w:ascii="宋体" w:hAnsi="宋体"/>
                <w:color w:val="auto"/>
              </w:rPr>
            </w:pPr>
            <w:r>
              <w:rPr>
                <w:rFonts w:hint="eastAsia" w:ascii="宋体" w:hAnsi="宋体"/>
                <w:color w:val="auto"/>
              </w:rPr>
              <w:t>偏离情况说明</w:t>
            </w:r>
          </w:p>
          <w:p w14:paraId="281DB63F">
            <w:pPr>
              <w:jc w:val="center"/>
              <w:rPr>
                <w:rFonts w:hint="eastAsia" w:ascii="宋体" w:hAnsi="宋体"/>
                <w:color w:val="auto"/>
              </w:rPr>
            </w:pPr>
            <w:r>
              <w:rPr>
                <w:rFonts w:hint="eastAsia" w:ascii="宋体" w:hAnsi="宋体"/>
                <w:color w:val="auto"/>
              </w:rPr>
              <w:t>（</w:t>
            </w:r>
            <w:r>
              <w:rPr>
                <w:rFonts w:hint="eastAsia"/>
                <w:color w:val="auto"/>
              </w:rPr>
              <w:t>正偏离/完全响应/负偏离</w:t>
            </w:r>
            <w:r>
              <w:rPr>
                <w:rFonts w:hint="eastAsia" w:ascii="宋体" w:hAnsi="宋体"/>
                <w:color w:val="auto"/>
              </w:rPr>
              <w:t>）</w:t>
            </w:r>
          </w:p>
        </w:tc>
        <w:tc>
          <w:tcPr>
            <w:tcW w:w="1440" w:type="dxa"/>
            <w:tcBorders>
              <w:top w:val="single" w:color="auto" w:sz="12" w:space="0"/>
              <w:left w:val="single" w:color="auto" w:sz="2" w:space="0"/>
              <w:bottom w:val="double" w:color="auto" w:sz="4" w:space="0"/>
            </w:tcBorders>
            <w:shd w:val="clear" w:color="auto" w:fill="EEECE1"/>
            <w:noWrap w:val="0"/>
            <w:vAlign w:val="center"/>
          </w:tcPr>
          <w:p w14:paraId="65827ED8">
            <w:pPr>
              <w:jc w:val="center"/>
              <w:rPr>
                <w:rFonts w:hint="eastAsia" w:ascii="宋体" w:hAnsi="宋体"/>
                <w:color w:val="auto"/>
              </w:rPr>
            </w:pPr>
            <w:r>
              <w:rPr>
                <w:rFonts w:hint="eastAsia" w:ascii="宋体" w:hAnsi="宋体"/>
                <w:color w:val="auto"/>
              </w:rPr>
              <w:t>查阅/证明文件指引</w:t>
            </w:r>
          </w:p>
        </w:tc>
      </w:tr>
      <w:tr w14:paraId="2E82F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9" w:type="dxa"/>
            <w:tcBorders>
              <w:top w:val="double" w:color="auto" w:sz="4" w:space="0"/>
            </w:tcBorders>
            <w:noWrap w:val="0"/>
            <w:vAlign w:val="center"/>
          </w:tcPr>
          <w:p w14:paraId="06797298">
            <w:pPr>
              <w:numPr>
                <w:ilvl w:val="0"/>
                <w:numId w:val="69"/>
              </w:numPr>
              <w:ind w:left="425" w:leftChars="0" w:hanging="425" w:firstLineChars="0"/>
              <w:jc w:val="center"/>
              <w:rPr>
                <w:rFonts w:ascii="宋体" w:hAnsi="宋体"/>
                <w:color w:val="auto"/>
                <w:szCs w:val="21"/>
              </w:rPr>
            </w:pPr>
          </w:p>
        </w:tc>
        <w:tc>
          <w:tcPr>
            <w:tcW w:w="3121" w:type="dxa"/>
            <w:tcBorders>
              <w:top w:val="double" w:color="auto" w:sz="4" w:space="0"/>
            </w:tcBorders>
            <w:noWrap w:val="0"/>
            <w:vAlign w:val="center"/>
          </w:tcPr>
          <w:p w14:paraId="4236EC85">
            <w:pPr>
              <w:rPr>
                <w:rFonts w:hint="eastAsia" w:ascii="宋体" w:hAnsi="宋体"/>
                <w:color w:val="auto"/>
              </w:rPr>
            </w:pPr>
            <w:r>
              <w:rPr>
                <w:rFonts w:hint="eastAsia" w:ascii="宋体" w:hAnsi="宋体"/>
                <w:color w:val="auto"/>
              </w:rPr>
              <w:t>一、项目概况</w:t>
            </w:r>
          </w:p>
          <w:p w14:paraId="58BBE6C9">
            <w:pPr>
              <w:rPr>
                <w:rFonts w:hint="eastAsia" w:ascii="宋体" w:hAnsi="宋体" w:eastAsia="宋体"/>
                <w:color w:val="auto"/>
                <w:lang w:eastAsia="zh-CN"/>
              </w:rPr>
            </w:pPr>
            <w:r>
              <w:rPr>
                <w:rFonts w:hint="eastAsia" w:ascii="宋体" w:hAnsi="宋体"/>
                <w:color w:val="auto"/>
                <w:lang w:eastAsia="zh-CN"/>
              </w:rPr>
              <w:t>本项目主要内容为佛山市三水云东海创智城产业发展有限公司（下称“招标人”）提供安保服务。项目地点为三水文化中心和广东三水云东海国家湿地公园，其中云东海街道荷湖南路1号三水文化中心，总建筑面积约13.6万㎡，分别由图书馆、档案馆、科技馆、文化馆和商业馆五大高标准文化建筑组成、广东三水云东海国家湿地公园，总面积约401.97公顷，环湖绿道13.14公里，设有南门北门两个主要出入口。</w:t>
            </w:r>
          </w:p>
        </w:tc>
        <w:tc>
          <w:tcPr>
            <w:tcW w:w="2505" w:type="dxa"/>
            <w:tcBorders>
              <w:top w:val="double" w:color="auto" w:sz="4" w:space="0"/>
            </w:tcBorders>
            <w:noWrap w:val="0"/>
            <w:vAlign w:val="center"/>
          </w:tcPr>
          <w:p w14:paraId="23F53DBC">
            <w:pPr>
              <w:jc w:val="center"/>
              <w:rPr>
                <w:rFonts w:hint="eastAsia" w:ascii="宋体" w:hAnsi="宋体"/>
                <w:color w:val="auto"/>
              </w:rPr>
            </w:pPr>
          </w:p>
        </w:tc>
        <w:tc>
          <w:tcPr>
            <w:tcW w:w="2003" w:type="dxa"/>
            <w:tcBorders>
              <w:top w:val="double" w:color="auto" w:sz="4" w:space="0"/>
              <w:right w:val="single" w:color="auto" w:sz="2" w:space="0"/>
            </w:tcBorders>
            <w:noWrap w:val="0"/>
            <w:vAlign w:val="center"/>
          </w:tcPr>
          <w:p w14:paraId="2C0B1EA4">
            <w:pPr>
              <w:jc w:val="center"/>
              <w:rPr>
                <w:rFonts w:hint="eastAsia" w:ascii="宋体" w:hAnsi="宋体"/>
                <w:color w:val="auto"/>
              </w:rPr>
            </w:pPr>
          </w:p>
        </w:tc>
        <w:tc>
          <w:tcPr>
            <w:tcW w:w="1440" w:type="dxa"/>
            <w:tcBorders>
              <w:top w:val="double" w:color="auto" w:sz="4" w:space="0"/>
              <w:left w:val="single" w:color="auto" w:sz="2" w:space="0"/>
            </w:tcBorders>
            <w:noWrap w:val="0"/>
            <w:vAlign w:val="center"/>
          </w:tcPr>
          <w:p w14:paraId="49E4E031">
            <w:pPr>
              <w:jc w:val="center"/>
              <w:rPr>
                <w:rFonts w:hint="eastAsia" w:ascii="宋体" w:hAnsi="宋体" w:cs="宋体"/>
                <w:color w:val="auto"/>
                <w:szCs w:val="21"/>
              </w:rPr>
            </w:pPr>
          </w:p>
        </w:tc>
      </w:tr>
      <w:tr w14:paraId="06C99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9" w:type="dxa"/>
            <w:tcBorders>
              <w:top w:val="double" w:color="auto" w:sz="4" w:space="0"/>
            </w:tcBorders>
            <w:noWrap w:val="0"/>
            <w:vAlign w:val="center"/>
          </w:tcPr>
          <w:p w14:paraId="46719FE7">
            <w:pPr>
              <w:numPr>
                <w:ilvl w:val="0"/>
                <w:numId w:val="69"/>
              </w:numPr>
              <w:ind w:left="425" w:leftChars="0" w:hanging="425" w:firstLineChars="0"/>
              <w:jc w:val="center"/>
              <w:rPr>
                <w:rFonts w:hint="eastAsia" w:ascii="宋体" w:hAnsi="宋体" w:eastAsia="宋体" w:cs="Times New Roman"/>
                <w:color w:val="auto"/>
                <w:szCs w:val="21"/>
              </w:rPr>
            </w:pPr>
          </w:p>
        </w:tc>
        <w:tc>
          <w:tcPr>
            <w:tcW w:w="3121" w:type="dxa"/>
            <w:tcBorders>
              <w:top w:val="double" w:color="auto" w:sz="4" w:space="0"/>
            </w:tcBorders>
            <w:noWrap w:val="0"/>
            <w:vAlign w:val="center"/>
          </w:tcPr>
          <w:p w14:paraId="6B059B0A">
            <w:pPr>
              <w:rPr>
                <w:rFonts w:hint="eastAsia" w:ascii="宋体" w:hAnsi="宋体"/>
                <w:color w:val="auto"/>
              </w:rPr>
            </w:pPr>
            <w:r>
              <w:rPr>
                <w:rFonts w:hint="eastAsia" w:ascii="宋体" w:hAnsi="宋体"/>
                <w:color w:val="auto"/>
              </w:rPr>
              <w:t>二、安保服务要求</w:t>
            </w:r>
          </w:p>
          <w:p w14:paraId="193C000C">
            <w:pPr>
              <w:rPr>
                <w:rFonts w:hint="eastAsia" w:ascii="宋体" w:hAnsi="宋体"/>
                <w:color w:val="auto"/>
              </w:rPr>
            </w:pPr>
            <w:r>
              <w:rPr>
                <w:rFonts w:hint="eastAsia" w:ascii="宋体" w:hAnsi="宋体"/>
                <w:color w:val="auto"/>
              </w:rPr>
              <w:t>（一）负责服务项目范围内的入口驻点管理、馆内驻点管理、治安巡护、巡逻、 防火、防爆、治安事故等安全防范工作，24小时值岗，在指定位置、指定地段站岗和巡逻，发生突发异常事件，应积极配合做好应急措施并妥善处理，为安全防范提供咨询服务，积极协助当地公安机关开展相关工作，并做好值班管理和日常台账记录整理等。做好值班管理和日常台账记录整理等。</w:t>
            </w:r>
          </w:p>
          <w:p w14:paraId="24D715FA">
            <w:pPr>
              <w:rPr>
                <w:rFonts w:hint="eastAsia" w:ascii="宋体" w:hAnsi="宋体"/>
                <w:color w:val="auto"/>
              </w:rPr>
            </w:pPr>
            <w:r>
              <w:rPr>
                <w:rFonts w:hint="eastAsia" w:ascii="宋体" w:hAnsi="宋体"/>
                <w:color w:val="auto"/>
              </w:rPr>
              <w:t>（二）负责协调安保、停车场全面管理工作。</w:t>
            </w:r>
          </w:p>
          <w:p w14:paraId="3F12B1DF">
            <w:pPr>
              <w:rPr>
                <w:rFonts w:hint="eastAsia" w:ascii="宋体" w:hAnsi="宋体"/>
                <w:color w:val="auto"/>
              </w:rPr>
            </w:pPr>
            <w:r>
              <w:rPr>
                <w:rFonts w:hint="eastAsia" w:ascii="宋体" w:hAnsi="宋体"/>
                <w:color w:val="auto"/>
              </w:rPr>
              <w:t>（三）安排保安人员日常工作与管理，协助招标人统筹处理日常安全事务，解决突发事件处置等工作。</w:t>
            </w:r>
          </w:p>
          <w:p w14:paraId="0664AAA5">
            <w:pPr>
              <w:rPr>
                <w:rFonts w:hint="eastAsia" w:ascii="宋体" w:hAnsi="宋体"/>
                <w:color w:val="auto"/>
              </w:rPr>
            </w:pPr>
            <w:r>
              <w:rPr>
                <w:rFonts w:hint="eastAsia" w:ascii="宋体" w:hAnsi="宋体"/>
                <w:color w:val="auto"/>
              </w:rPr>
              <w:t>（四）负责协助消防管理和防火巡查工作。</w:t>
            </w:r>
          </w:p>
          <w:p w14:paraId="00F7BCE6">
            <w:pPr>
              <w:rPr>
                <w:rFonts w:hint="eastAsia" w:ascii="宋体" w:hAnsi="宋体"/>
                <w:color w:val="auto"/>
              </w:rPr>
            </w:pPr>
            <w:r>
              <w:rPr>
                <w:rFonts w:hint="eastAsia" w:ascii="宋体" w:hAnsi="宋体"/>
                <w:color w:val="auto"/>
              </w:rPr>
              <w:t>（五）处理日常消防问题和隐患。</w:t>
            </w:r>
          </w:p>
          <w:p w14:paraId="59CA30A6">
            <w:pPr>
              <w:rPr>
                <w:rFonts w:hint="eastAsia" w:ascii="宋体" w:hAnsi="宋体"/>
                <w:color w:val="auto"/>
              </w:rPr>
            </w:pPr>
            <w:r>
              <w:rPr>
                <w:rFonts w:hint="eastAsia" w:ascii="宋体" w:hAnsi="宋体"/>
                <w:color w:val="auto"/>
              </w:rPr>
              <w:t>（六）负责班组的考勤与培训以及日常管理工作。</w:t>
            </w:r>
          </w:p>
          <w:p w14:paraId="0A0743F8">
            <w:pPr>
              <w:rPr>
                <w:rFonts w:hint="eastAsia" w:ascii="宋体" w:hAnsi="宋体"/>
                <w:color w:val="auto"/>
              </w:rPr>
            </w:pPr>
            <w:r>
              <w:rPr>
                <w:rFonts w:hint="eastAsia" w:ascii="宋体" w:hAnsi="宋体"/>
                <w:color w:val="auto"/>
              </w:rPr>
              <w:t>（七）处理当班发生各类事件。</w:t>
            </w:r>
          </w:p>
          <w:p w14:paraId="77DE5756">
            <w:pPr>
              <w:rPr>
                <w:rFonts w:hint="eastAsia" w:ascii="宋体" w:hAnsi="宋体"/>
                <w:color w:val="auto"/>
              </w:rPr>
            </w:pPr>
            <w:r>
              <w:rPr>
                <w:rFonts w:hint="eastAsia" w:ascii="宋体" w:hAnsi="宋体"/>
                <w:color w:val="auto"/>
              </w:rPr>
              <w:t>（八）对盗窃等违法行为进行制止并协助公安机关抓获嫌疑人；对乱发广告人员、推销人员等闲杂人员进行管理。</w:t>
            </w:r>
          </w:p>
          <w:p w14:paraId="64ED9053">
            <w:pPr>
              <w:rPr>
                <w:rFonts w:hint="eastAsia" w:ascii="宋体" w:hAnsi="宋体"/>
                <w:color w:val="auto"/>
              </w:rPr>
            </w:pPr>
            <w:r>
              <w:rPr>
                <w:rFonts w:hint="eastAsia" w:ascii="宋体" w:hAnsi="宋体"/>
                <w:color w:val="auto"/>
              </w:rPr>
              <w:t>（九）保障秩序，发现不安全因素，及时有效地处理。人多拥挤时及时尽提醒义务。</w:t>
            </w:r>
          </w:p>
          <w:p w14:paraId="002F7A5B">
            <w:pPr>
              <w:rPr>
                <w:rFonts w:hint="eastAsia" w:ascii="宋体" w:hAnsi="宋体"/>
                <w:color w:val="auto"/>
              </w:rPr>
            </w:pPr>
            <w:r>
              <w:rPr>
                <w:rFonts w:hint="eastAsia" w:ascii="宋体" w:hAnsi="宋体"/>
                <w:color w:val="auto"/>
              </w:rPr>
              <w:t>（十）及时开关公共区域的灯光、空调等。</w:t>
            </w:r>
          </w:p>
          <w:p w14:paraId="30BA95DC">
            <w:pPr>
              <w:rPr>
                <w:rFonts w:hint="eastAsia" w:ascii="宋体" w:hAnsi="宋体"/>
                <w:color w:val="auto"/>
              </w:rPr>
            </w:pPr>
            <w:r>
              <w:rPr>
                <w:rFonts w:hint="eastAsia" w:ascii="宋体" w:hAnsi="宋体"/>
                <w:color w:val="auto"/>
              </w:rPr>
              <w:t>（十一）发现公共设施损坏及时向招标人相关部门报修。</w:t>
            </w:r>
          </w:p>
          <w:p w14:paraId="5B743E03">
            <w:pPr>
              <w:rPr>
                <w:rFonts w:hint="eastAsia" w:ascii="宋体" w:hAnsi="宋体"/>
                <w:color w:val="auto"/>
              </w:rPr>
            </w:pPr>
            <w:r>
              <w:rPr>
                <w:rFonts w:hint="eastAsia" w:ascii="宋体" w:hAnsi="宋体"/>
                <w:color w:val="auto"/>
              </w:rPr>
              <w:t>（十二）做好公共区域管理，发现不文明行为应及时制止。</w:t>
            </w:r>
          </w:p>
          <w:p w14:paraId="11CB0CB4">
            <w:pPr>
              <w:rPr>
                <w:rFonts w:hint="eastAsia" w:ascii="宋体" w:hAnsi="宋体"/>
                <w:color w:val="auto"/>
              </w:rPr>
            </w:pPr>
            <w:r>
              <w:rPr>
                <w:rFonts w:hint="eastAsia" w:ascii="宋体" w:hAnsi="宋体"/>
                <w:color w:val="auto"/>
              </w:rPr>
              <w:t>（十三）协助招标人处理应急、突发事件；24小时全天候随叫随到。</w:t>
            </w:r>
          </w:p>
          <w:p w14:paraId="0349273F">
            <w:pPr>
              <w:rPr>
                <w:rFonts w:hint="eastAsia" w:ascii="宋体" w:hAnsi="宋体"/>
                <w:color w:val="auto"/>
              </w:rPr>
            </w:pPr>
            <w:r>
              <w:rPr>
                <w:rFonts w:hint="eastAsia" w:ascii="宋体" w:hAnsi="宋体"/>
                <w:color w:val="auto"/>
              </w:rPr>
              <w:t>（十四）负责交通疏导。</w:t>
            </w:r>
          </w:p>
          <w:p w14:paraId="3D5A3930">
            <w:pPr>
              <w:rPr>
                <w:rFonts w:hint="eastAsia" w:ascii="宋体" w:hAnsi="宋体"/>
                <w:color w:val="auto"/>
              </w:rPr>
            </w:pPr>
            <w:r>
              <w:rPr>
                <w:rFonts w:hint="eastAsia" w:ascii="宋体" w:hAnsi="宋体"/>
                <w:color w:val="auto"/>
              </w:rPr>
              <w:t>（十五）完成其他后勤服务有关的突击性工作。</w:t>
            </w:r>
          </w:p>
          <w:p w14:paraId="34AD5644">
            <w:pPr>
              <w:rPr>
                <w:rFonts w:hint="eastAsia" w:ascii="宋体" w:hAnsi="宋体"/>
                <w:color w:val="auto"/>
              </w:rPr>
            </w:pPr>
            <w:r>
              <w:rPr>
                <w:rFonts w:hint="eastAsia" w:ascii="宋体" w:hAnsi="宋体"/>
                <w:color w:val="auto"/>
              </w:rPr>
              <w:t>（十六）负责门岗及电梯秩序的管理和应急处突，监督出入门岗的人员及物品，中班、晚班人员协助巡视外围情况。</w:t>
            </w:r>
          </w:p>
          <w:p w14:paraId="3DD9F4FC">
            <w:pPr>
              <w:rPr>
                <w:rFonts w:hint="eastAsia" w:ascii="宋体" w:hAnsi="宋体"/>
                <w:color w:val="auto"/>
              </w:rPr>
            </w:pPr>
            <w:r>
              <w:rPr>
                <w:rFonts w:hint="eastAsia" w:ascii="宋体" w:hAnsi="宋体"/>
                <w:color w:val="auto"/>
              </w:rPr>
              <w:t>（十七）对出入人员进行严格的登记手续，做好物品（尤其是大件物品）的检查放行工作。</w:t>
            </w:r>
          </w:p>
          <w:p w14:paraId="0C914B79">
            <w:pPr>
              <w:rPr>
                <w:rFonts w:hint="eastAsia" w:ascii="宋体" w:hAnsi="宋体"/>
                <w:color w:val="auto"/>
              </w:rPr>
            </w:pPr>
            <w:r>
              <w:rPr>
                <w:rFonts w:hint="eastAsia" w:ascii="宋体" w:hAnsi="宋体"/>
                <w:color w:val="auto"/>
              </w:rPr>
              <w:t>（十八）视频监控室实行24小时值班，应有详细的值班记录，并与公安部门联动，服从当地公安部门有关规定与要求。</w:t>
            </w:r>
          </w:p>
          <w:p w14:paraId="4AB4D440">
            <w:pPr>
              <w:rPr>
                <w:rFonts w:hint="eastAsia" w:ascii="宋体" w:hAnsi="宋体"/>
                <w:color w:val="auto"/>
              </w:rPr>
            </w:pPr>
            <w:r>
              <w:rPr>
                <w:rFonts w:hint="eastAsia" w:ascii="宋体" w:hAnsi="宋体"/>
                <w:color w:val="auto"/>
              </w:rPr>
              <w:t>（十九）认真监控安防摄像系统及消防设备，发现盗窃、治安及消防迹象，指挥巡逻保安员及时到达现场处理事件。</w:t>
            </w:r>
          </w:p>
          <w:p w14:paraId="2A852D02">
            <w:pPr>
              <w:rPr>
                <w:rFonts w:hint="eastAsia" w:ascii="宋体" w:hAnsi="宋体"/>
                <w:color w:val="auto"/>
              </w:rPr>
            </w:pPr>
            <w:r>
              <w:rPr>
                <w:rFonts w:hint="eastAsia" w:ascii="宋体" w:hAnsi="宋体"/>
                <w:color w:val="auto"/>
              </w:rPr>
              <w:t>（二十）协助招标人监督消防维保单位的工作，确保消防设施、设备的正常运作。</w:t>
            </w:r>
          </w:p>
          <w:p w14:paraId="545CA9BB">
            <w:pPr>
              <w:rPr>
                <w:rFonts w:hint="eastAsia" w:ascii="宋体" w:hAnsi="宋体"/>
                <w:color w:val="auto"/>
              </w:rPr>
            </w:pPr>
            <w:r>
              <w:rPr>
                <w:rFonts w:hint="eastAsia" w:ascii="宋体" w:hAnsi="宋体"/>
                <w:color w:val="auto"/>
              </w:rPr>
              <w:t>（二十一）按招标人要求，做好消防每日巡查、月度检查、季度考核及节假日消防安全检查工作以及相关表格记录。发现问题及时发出隐患整改通知并报告招标人管理部门。</w:t>
            </w:r>
          </w:p>
          <w:p w14:paraId="30A59187">
            <w:pPr>
              <w:rPr>
                <w:rFonts w:hint="eastAsia" w:ascii="宋体" w:hAnsi="宋体"/>
                <w:color w:val="auto"/>
              </w:rPr>
            </w:pPr>
            <w:r>
              <w:rPr>
                <w:rFonts w:hint="eastAsia" w:ascii="宋体" w:hAnsi="宋体"/>
                <w:color w:val="auto"/>
              </w:rPr>
              <w:t>（二十二）制订可行的消防安全应急处理预案，并组织消防灭火演练。接到消防中心报警，保安员应在3分钟内到达烟感警报警点核实情况，如属火警迅速组织扑救和疏散。</w:t>
            </w:r>
          </w:p>
          <w:p w14:paraId="40120F94">
            <w:pPr>
              <w:rPr>
                <w:rFonts w:hint="eastAsia" w:ascii="宋体" w:hAnsi="宋体"/>
                <w:color w:val="auto"/>
              </w:rPr>
            </w:pPr>
            <w:r>
              <w:rPr>
                <w:rFonts w:hint="eastAsia" w:ascii="宋体" w:hAnsi="宋体"/>
                <w:color w:val="auto"/>
              </w:rPr>
              <w:t>（二十三）每季度对招标人各部门人员进行消防知识培训。</w:t>
            </w:r>
          </w:p>
          <w:p w14:paraId="1A4F89B4">
            <w:pPr>
              <w:rPr>
                <w:rFonts w:hint="eastAsia" w:ascii="宋体" w:hAnsi="宋体"/>
                <w:color w:val="auto"/>
              </w:rPr>
            </w:pPr>
            <w:r>
              <w:rPr>
                <w:rFonts w:hint="eastAsia" w:ascii="宋体" w:hAnsi="宋体"/>
                <w:color w:val="auto"/>
              </w:rPr>
              <w:t>（二十四）负责日常及特殊情况的秩序维护。</w:t>
            </w:r>
          </w:p>
          <w:p w14:paraId="073D5AAE">
            <w:pPr>
              <w:rPr>
                <w:rFonts w:hint="eastAsia" w:ascii="宋体" w:hAnsi="宋体"/>
                <w:color w:val="auto"/>
              </w:rPr>
            </w:pPr>
            <w:r>
              <w:rPr>
                <w:rFonts w:hint="eastAsia" w:ascii="宋体" w:hAnsi="宋体"/>
                <w:color w:val="auto"/>
              </w:rPr>
              <w:t>（二十五）完成招标人突发、维稳等特殊任务。</w:t>
            </w:r>
          </w:p>
          <w:p w14:paraId="0D52701C">
            <w:pPr>
              <w:rPr>
                <w:rFonts w:hint="eastAsia" w:ascii="宋体" w:hAnsi="宋体"/>
                <w:color w:val="auto"/>
              </w:rPr>
            </w:pPr>
            <w:r>
              <w:rPr>
                <w:rFonts w:hint="eastAsia" w:ascii="宋体" w:hAnsi="宋体"/>
                <w:color w:val="auto"/>
              </w:rPr>
              <w:t>（二十六）24小时安全巡逻、夜间消防巡查。</w:t>
            </w:r>
          </w:p>
          <w:p w14:paraId="5E1A629D">
            <w:pPr>
              <w:rPr>
                <w:rFonts w:hint="eastAsia" w:ascii="宋体" w:hAnsi="宋体"/>
                <w:color w:val="auto"/>
              </w:rPr>
            </w:pPr>
            <w:r>
              <w:rPr>
                <w:rFonts w:hint="eastAsia" w:ascii="宋体" w:hAnsi="宋体"/>
                <w:color w:val="auto"/>
              </w:rPr>
              <w:t>（二十七）室内岗位临时顶换岗、就餐顶换岗、替休顶换岗。</w:t>
            </w:r>
          </w:p>
          <w:p w14:paraId="73155CAE">
            <w:pPr>
              <w:rPr>
                <w:rFonts w:hint="eastAsia" w:ascii="宋体" w:hAnsi="宋体"/>
                <w:color w:val="auto"/>
              </w:rPr>
            </w:pPr>
            <w:r>
              <w:rPr>
                <w:rFonts w:hint="eastAsia" w:ascii="宋体" w:hAnsi="宋体"/>
                <w:color w:val="auto"/>
              </w:rPr>
              <w:t>（二十八）协助招标人临时性物品搬运工作。</w:t>
            </w:r>
          </w:p>
          <w:p w14:paraId="5F8A446D">
            <w:pPr>
              <w:rPr>
                <w:rFonts w:hint="eastAsia" w:ascii="宋体" w:hAnsi="宋体"/>
                <w:color w:val="auto"/>
              </w:rPr>
            </w:pPr>
            <w:r>
              <w:rPr>
                <w:rFonts w:hint="eastAsia" w:ascii="宋体" w:hAnsi="宋体"/>
                <w:color w:val="auto"/>
              </w:rPr>
              <w:t>应具备与本项目相关的信息化管理系统。</w:t>
            </w:r>
          </w:p>
        </w:tc>
        <w:tc>
          <w:tcPr>
            <w:tcW w:w="2505" w:type="dxa"/>
            <w:tcBorders>
              <w:top w:val="double" w:color="auto" w:sz="4" w:space="0"/>
            </w:tcBorders>
            <w:noWrap w:val="0"/>
            <w:vAlign w:val="center"/>
          </w:tcPr>
          <w:p w14:paraId="37D465F7">
            <w:pPr>
              <w:jc w:val="center"/>
              <w:rPr>
                <w:rFonts w:hint="eastAsia" w:ascii="宋体" w:hAnsi="宋体"/>
                <w:color w:val="auto"/>
              </w:rPr>
            </w:pPr>
          </w:p>
        </w:tc>
        <w:tc>
          <w:tcPr>
            <w:tcW w:w="2003" w:type="dxa"/>
            <w:tcBorders>
              <w:top w:val="double" w:color="auto" w:sz="4" w:space="0"/>
              <w:right w:val="single" w:color="auto" w:sz="2" w:space="0"/>
            </w:tcBorders>
            <w:noWrap w:val="0"/>
            <w:vAlign w:val="center"/>
          </w:tcPr>
          <w:p w14:paraId="673C9117">
            <w:pPr>
              <w:jc w:val="center"/>
              <w:rPr>
                <w:rFonts w:hint="eastAsia" w:ascii="宋体" w:hAnsi="宋体"/>
                <w:color w:val="auto"/>
              </w:rPr>
            </w:pPr>
          </w:p>
        </w:tc>
        <w:tc>
          <w:tcPr>
            <w:tcW w:w="1440" w:type="dxa"/>
            <w:tcBorders>
              <w:top w:val="double" w:color="auto" w:sz="4" w:space="0"/>
              <w:left w:val="single" w:color="auto" w:sz="2" w:space="0"/>
            </w:tcBorders>
            <w:noWrap w:val="0"/>
            <w:vAlign w:val="center"/>
          </w:tcPr>
          <w:p w14:paraId="5058D362">
            <w:pPr>
              <w:jc w:val="center"/>
              <w:rPr>
                <w:rFonts w:hint="eastAsia" w:ascii="宋体" w:hAnsi="宋体"/>
                <w:color w:val="auto"/>
                <w:szCs w:val="21"/>
              </w:rPr>
            </w:pPr>
            <w:r>
              <w:rPr>
                <w:rFonts w:hint="eastAsia" w:ascii="宋体" w:hAnsi="宋体" w:cs="宋体"/>
                <w:color w:val="auto"/>
                <w:szCs w:val="21"/>
              </w:rPr>
              <w:t>见《</w:t>
            </w:r>
            <w:r>
              <w:rPr>
                <w:rFonts w:hint="eastAsia" w:ascii="宋体" w:hAnsi="宋体" w:cs="宋体"/>
                <w:color w:val="auto"/>
                <w:szCs w:val="21"/>
                <w:lang w:eastAsia="zh-CN"/>
              </w:rPr>
              <w:t>投标文件</w:t>
            </w:r>
            <w:r>
              <w:rPr>
                <w:rFonts w:hint="eastAsia" w:ascii="宋体" w:hAnsi="宋体" w:cs="宋体"/>
                <w:color w:val="auto"/>
                <w:szCs w:val="21"/>
              </w:rPr>
              <w:t>》第</w:t>
            </w:r>
            <w:r>
              <w:rPr>
                <w:rFonts w:hint="eastAsia" w:ascii="宋体" w:hAnsi="宋体" w:cs="宋体"/>
                <w:color w:val="auto"/>
                <w:szCs w:val="21"/>
                <w:u w:val="single"/>
              </w:rPr>
              <w:t xml:space="preserve">   </w:t>
            </w:r>
            <w:r>
              <w:rPr>
                <w:rFonts w:hint="eastAsia" w:ascii="宋体" w:hAnsi="宋体" w:cs="宋体"/>
                <w:color w:val="auto"/>
                <w:szCs w:val="21"/>
              </w:rPr>
              <w:t>页</w:t>
            </w:r>
          </w:p>
        </w:tc>
      </w:tr>
      <w:tr w14:paraId="7BF55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59" w:type="dxa"/>
            <w:noWrap w:val="0"/>
            <w:vAlign w:val="center"/>
          </w:tcPr>
          <w:p w14:paraId="2FB1DB65">
            <w:pPr>
              <w:numPr>
                <w:ilvl w:val="0"/>
                <w:numId w:val="69"/>
              </w:numPr>
              <w:ind w:left="425" w:leftChars="0" w:hanging="425" w:firstLineChars="0"/>
              <w:jc w:val="center"/>
              <w:rPr>
                <w:rFonts w:hint="eastAsia" w:ascii="宋体" w:hAnsi="宋体" w:eastAsia="宋体" w:cs="Times New Roman"/>
                <w:color w:val="auto"/>
                <w:szCs w:val="21"/>
              </w:rPr>
            </w:pPr>
          </w:p>
        </w:tc>
        <w:tc>
          <w:tcPr>
            <w:tcW w:w="3121" w:type="dxa"/>
            <w:noWrap w:val="0"/>
            <w:vAlign w:val="center"/>
          </w:tcPr>
          <w:p w14:paraId="5EE70B12">
            <w:pPr>
              <w:rPr>
                <w:rFonts w:hint="eastAsia" w:ascii="宋体" w:hAnsi="宋体"/>
                <w:color w:val="auto"/>
              </w:rPr>
            </w:pPr>
            <w:r>
              <w:rPr>
                <w:rFonts w:hint="eastAsia" w:ascii="宋体" w:hAnsi="宋体"/>
                <w:color w:val="auto"/>
              </w:rPr>
              <w:t>三、</w:t>
            </w:r>
            <w:r>
              <w:rPr>
                <w:rFonts w:hint="eastAsia" w:ascii="宋体" w:hAnsi="宋体" w:cs="宋体"/>
                <w:b/>
                <w:bCs/>
                <w:color w:val="auto"/>
                <w:highlight w:val="none"/>
                <w:lang w:val="en-US" w:eastAsia="zh-CN"/>
              </w:rPr>
              <w:t>服务要求</w:t>
            </w:r>
          </w:p>
          <w:p w14:paraId="6F9A3931">
            <w:pPr>
              <w:rPr>
                <w:rFonts w:hint="eastAsia" w:ascii="宋体" w:hAnsi="宋体"/>
                <w:color w:val="auto"/>
              </w:rPr>
            </w:pPr>
            <w:r>
              <w:rPr>
                <w:rFonts w:hint="eastAsia" w:ascii="宋体" w:hAnsi="宋体"/>
                <w:color w:val="auto"/>
              </w:rPr>
              <w:t>（一）服务项目需求</w:t>
            </w:r>
          </w:p>
          <w:p w14:paraId="19800895">
            <w:pPr>
              <w:rPr>
                <w:rFonts w:hint="eastAsia" w:ascii="宋体" w:hAnsi="宋体"/>
                <w:color w:val="auto"/>
              </w:rPr>
            </w:pPr>
            <w:r>
              <w:rPr>
                <w:rFonts w:hint="eastAsia" w:ascii="宋体" w:hAnsi="宋体"/>
                <w:color w:val="auto"/>
              </w:rPr>
              <w:t>1.三水文化中心安保巡护服务：设固定岗位8个，每个固定岗位须24小时连续值守。服务范围包括入口驻点、场馆内驻点、全区域治安巡护、车场巡逻、值班管理，以及来访车辆与人员台账的建立、更新与整理。</w:t>
            </w:r>
          </w:p>
          <w:p w14:paraId="5DF9E219">
            <w:pPr>
              <w:rPr>
                <w:rFonts w:hint="eastAsia" w:ascii="宋体" w:hAnsi="宋体"/>
                <w:color w:val="auto"/>
              </w:rPr>
            </w:pPr>
            <w:r>
              <w:rPr>
                <w:rFonts w:hint="eastAsia" w:ascii="宋体" w:hAnsi="宋体"/>
                <w:color w:val="auto"/>
              </w:rPr>
              <w:t>2.广东云东海湿地公园安保巡护服务：设固定岗位4个，每个固定岗位须24小时连续值守。服务范围包括全区域治安巡护、值班管理、车场巡护管理及来访车辆与人员台账的建立、更新与整理。</w:t>
            </w:r>
          </w:p>
          <w:p w14:paraId="2BA70C28">
            <w:pPr>
              <w:rPr>
                <w:rFonts w:hint="eastAsia" w:ascii="宋体" w:hAnsi="宋体"/>
                <w:color w:val="auto"/>
              </w:rPr>
            </w:pPr>
            <w:r>
              <w:rPr>
                <w:rFonts w:hint="eastAsia" w:ascii="宋体" w:hAnsi="宋体"/>
                <w:color w:val="auto"/>
              </w:rPr>
              <w:t>3.临时增员因招标人临时保障或专项任务需要，可在上述基础上追加人员，追加上限8人，工时8小时/班，月休4天。</w:t>
            </w:r>
          </w:p>
          <w:p w14:paraId="5DA0912D">
            <w:pPr>
              <w:rPr>
                <w:rFonts w:hint="eastAsia" w:ascii="宋体" w:hAnsi="宋体"/>
                <w:color w:val="auto"/>
              </w:rPr>
            </w:pPr>
            <w:r>
              <w:rPr>
                <w:rFonts w:hint="eastAsia" w:ascii="宋体" w:hAnsi="宋体"/>
                <w:color w:val="auto"/>
              </w:rPr>
              <w:t>（二）人员要求</w:t>
            </w:r>
          </w:p>
          <w:p w14:paraId="2E122518">
            <w:pPr>
              <w:rPr>
                <w:rFonts w:hint="eastAsia" w:ascii="宋体" w:hAnsi="宋体"/>
                <w:color w:val="auto"/>
              </w:rPr>
            </w:pPr>
            <w:r>
              <w:rPr>
                <w:rFonts w:hint="eastAsia" w:ascii="宋体" w:hAnsi="宋体"/>
                <w:color w:val="auto"/>
              </w:rPr>
              <w:t>1.拟派专项服务队伍人员均须具有由公安机关颁发的保安员证。</w:t>
            </w:r>
          </w:p>
          <w:p w14:paraId="49BAC9C1">
            <w:pPr>
              <w:rPr>
                <w:rFonts w:hint="eastAsia" w:ascii="宋体" w:hAnsi="宋体"/>
                <w:color w:val="auto"/>
              </w:rPr>
            </w:pPr>
            <w:r>
              <w:rPr>
                <w:rFonts w:hint="eastAsia" w:ascii="宋体" w:hAnsi="宋体"/>
                <w:color w:val="auto"/>
              </w:rPr>
              <w:t>2.拟派专项服务队伍须具有高级保安管理师(国家资格)、高级安全技术管理师、高级建(构)筑物消防员证书的人员为本项目提供管理服务，并提供相应的现场服务。</w:t>
            </w:r>
          </w:p>
          <w:p w14:paraId="78AC7FA0">
            <w:pPr>
              <w:rPr>
                <w:rFonts w:hint="eastAsia" w:ascii="宋体" w:hAnsi="宋体"/>
                <w:color w:val="auto"/>
              </w:rPr>
            </w:pPr>
            <w:r>
              <w:rPr>
                <w:rFonts w:hint="eastAsia" w:ascii="宋体" w:hAnsi="宋体"/>
                <w:color w:val="auto"/>
              </w:rPr>
              <w:t>3.中标人应向招标人提供服务人员的身份证件、保安员证、健康证明材料等相关资料供招标人备案（该备案仅为程序性备案，不减免中标人对人员的管理责任、不减免中标人对人员信息真实性的核查责任）；招标人有权对拟派的保安员进行岗前培训，对不符合要求的人员，招标人有权提出撤换。在服务期间，中标人不得随意调换在岗服务人员，如需进行调换时，应事先与招标人沟通，经招标人同意后方可更换。如中标人在岗服务人员因病或因事请假的，中标人应安排替补符合资质要求的人员到岗，保证本合同约定的固定岗位数量，不得影响招标人的工作。</w:t>
            </w:r>
          </w:p>
          <w:p w14:paraId="35039081">
            <w:pPr>
              <w:rPr>
                <w:rFonts w:hint="eastAsia" w:ascii="宋体" w:hAnsi="宋体"/>
                <w:color w:val="auto"/>
              </w:rPr>
            </w:pPr>
            <w:r>
              <w:rPr>
                <w:rFonts w:hint="eastAsia" w:ascii="宋体" w:hAnsi="宋体"/>
                <w:color w:val="auto"/>
              </w:rPr>
              <w:t>4.男女不限（女性年龄18-50岁，男性年龄为18-55岁），初中及以上文化水平。</w:t>
            </w:r>
          </w:p>
          <w:p w14:paraId="23A56EDE">
            <w:pPr>
              <w:rPr>
                <w:rFonts w:hint="eastAsia" w:ascii="宋体" w:hAnsi="宋体"/>
                <w:color w:val="auto"/>
              </w:rPr>
            </w:pPr>
            <w:r>
              <w:rPr>
                <w:rFonts w:hint="eastAsia" w:ascii="宋体" w:hAnsi="宋体"/>
                <w:color w:val="auto"/>
              </w:rPr>
              <w:t>5.身体健康，无传染病及精神病史。</w:t>
            </w:r>
          </w:p>
          <w:p w14:paraId="654365B4">
            <w:pPr>
              <w:rPr>
                <w:rFonts w:hint="eastAsia" w:ascii="宋体" w:hAnsi="宋体"/>
                <w:color w:val="auto"/>
              </w:rPr>
            </w:pPr>
            <w:r>
              <w:rPr>
                <w:rFonts w:hint="eastAsia" w:ascii="宋体" w:hAnsi="宋体"/>
                <w:color w:val="auto"/>
              </w:rPr>
              <w:t>6.遵纪守法，品行良好，人格健全，保证派造人员无违法犯罪记录。</w:t>
            </w:r>
          </w:p>
          <w:p w14:paraId="12AFBA8D">
            <w:pPr>
              <w:rPr>
                <w:rFonts w:hint="eastAsia" w:ascii="宋体" w:hAnsi="宋体"/>
                <w:color w:val="auto"/>
              </w:rPr>
            </w:pPr>
            <w:r>
              <w:rPr>
                <w:rFonts w:hint="eastAsia" w:ascii="宋体" w:hAnsi="宋体"/>
                <w:color w:val="auto"/>
              </w:rPr>
              <w:t>7.衣貌整洁，服装统一，服从管理，佩戴统一工作牌（卡）；敬业爱岗，工作认真，责任心强；会讲普通话，以礼待人。</w:t>
            </w:r>
          </w:p>
          <w:p w14:paraId="055EA6BD">
            <w:pPr>
              <w:rPr>
                <w:rFonts w:hint="eastAsia" w:ascii="宋体" w:hAnsi="宋体"/>
                <w:color w:val="auto"/>
              </w:rPr>
            </w:pPr>
            <w:r>
              <w:rPr>
                <w:rFonts w:hint="eastAsia" w:ascii="宋体" w:hAnsi="宋体"/>
                <w:color w:val="auto"/>
              </w:rPr>
              <w:t>8.掌握安全保卫基本技能，能正确使用多类消防、物防、技防器械和设备。</w:t>
            </w:r>
          </w:p>
          <w:p w14:paraId="26428D60">
            <w:pPr>
              <w:rPr>
                <w:rFonts w:hint="eastAsia" w:ascii="宋体" w:hAnsi="宋体"/>
                <w:color w:val="auto"/>
              </w:rPr>
            </w:pPr>
            <w:r>
              <w:rPr>
                <w:rFonts w:hint="eastAsia" w:ascii="宋体" w:hAnsi="宋体"/>
                <w:color w:val="auto"/>
              </w:rPr>
              <w:t>9.熟悉安保警械的使用，具有一定的搏击能力。</w:t>
            </w:r>
          </w:p>
          <w:p w14:paraId="5EB34302">
            <w:pPr>
              <w:rPr>
                <w:rFonts w:hint="eastAsia" w:ascii="宋体" w:hAnsi="宋体"/>
                <w:color w:val="auto"/>
              </w:rPr>
            </w:pPr>
            <w:r>
              <w:rPr>
                <w:rFonts w:hint="eastAsia" w:ascii="宋体" w:hAnsi="宋体"/>
                <w:color w:val="auto"/>
              </w:rPr>
              <w:t>10.根据工作需要，要求保安员站形象岗（男性保安员身高不低于1.68米，女性保安身高不低于1.6米）；夜间作业或天气阴暗时应穿反光衣。</w:t>
            </w:r>
          </w:p>
          <w:p w14:paraId="6BC3F698">
            <w:pPr>
              <w:rPr>
                <w:rFonts w:hint="eastAsia" w:ascii="宋体" w:hAnsi="宋体"/>
                <w:color w:val="auto"/>
              </w:rPr>
            </w:pPr>
            <w:r>
              <w:rPr>
                <w:rFonts w:hint="eastAsia" w:ascii="宋体" w:hAnsi="宋体"/>
                <w:color w:val="auto"/>
              </w:rPr>
              <w:t>11.中标人自主安排人员轮值，但必须保证每个固定岗位24小时有人值守。</w:t>
            </w:r>
          </w:p>
        </w:tc>
        <w:tc>
          <w:tcPr>
            <w:tcW w:w="2505" w:type="dxa"/>
            <w:noWrap w:val="0"/>
            <w:vAlign w:val="center"/>
          </w:tcPr>
          <w:p w14:paraId="72BA9E87">
            <w:pPr>
              <w:jc w:val="center"/>
              <w:rPr>
                <w:rFonts w:hint="eastAsia" w:ascii="宋体" w:hAnsi="宋体"/>
                <w:color w:val="auto"/>
              </w:rPr>
            </w:pPr>
          </w:p>
        </w:tc>
        <w:tc>
          <w:tcPr>
            <w:tcW w:w="2003" w:type="dxa"/>
            <w:tcBorders>
              <w:right w:val="single" w:color="auto" w:sz="2" w:space="0"/>
            </w:tcBorders>
            <w:noWrap w:val="0"/>
            <w:vAlign w:val="center"/>
          </w:tcPr>
          <w:p w14:paraId="21A39D71">
            <w:pPr>
              <w:jc w:val="center"/>
              <w:rPr>
                <w:rFonts w:hint="eastAsia" w:ascii="宋体" w:hAnsi="宋体"/>
                <w:color w:val="auto"/>
              </w:rPr>
            </w:pPr>
          </w:p>
        </w:tc>
        <w:tc>
          <w:tcPr>
            <w:tcW w:w="1440" w:type="dxa"/>
            <w:tcBorders>
              <w:left w:val="single" w:color="auto" w:sz="2" w:space="0"/>
            </w:tcBorders>
            <w:noWrap w:val="0"/>
            <w:vAlign w:val="center"/>
          </w:tcPr>
          <w:p w14:paraId="176D6107">
            <w:pPr>
              <w:jc w:val="center"/>
              <w:rPr>
                <w:rFonts w:hint="eastAsia" w:ascii="宋体" w:hAnsi="宋体"/>
                <w:color w:val="auto"/>
                <w:sz w:val="18"/>
                <w:szCs w:val="18"/>
              </w:rPr>
            </w:pPr>
            <w:r>
              <w:rPr>
                <w:rFonts w:hint="eastAsia" w:ascii="宋体" w:hAnsi="宋体" w:cs="宋体"/>
                <w:color w:val="auto"/>
                <w:szCs w:val="21"/>
              </w:rPr>
              <w:t>见《</w:t>
            </w:r>
            <w:r>
              <w:rPr>
                <w:rFonts w:hint="eastAsia" w:ascii="宋体" w:hAnsi="宋体" w:cs="宋体"/>
                <w:color w:val="auto"/>
                <w:szCs w:val="21"/>
                <w:lang w:eastAsia="zh-CN"/>
              </w:rPr>
              <w:t>投标文件</w:t>
            </w:r>
            <w:r>
              <w:rPr>
                <w:rFonts w:hint="eastAsia" w:ascii="宋体" w:hAnsi="宋体" w:cs="宋体"/>
                <w:color w:val="auto"/>
                <w:szCs w:val="21"/>
              </w:rPr>
              <w:t>》第</w:t>
            </w:r>
            <w:r>
              <w:rPr>
                <w:rFonts w:hint="eastAsia" w:ascii="宋体" w:hAnsi="宋体" w:cs="宋体"/>
                <w:color w:val="auto"/>
                <w:szCs w:val="21"/>
                <w:u w:val="single"/>
              </w:rPr>
              <w:t xml:space="preserve">   </w:t>
            </w:r>
            <w:r>
              <w:rPr>
                <w:rFonts w:hint="eastAsia" w:ascii="宋体" w:hAnsi="宋体" w:cs="宋体"/>
                <w:color w:val="auto"/>
                <w:szCs w:val="21"/>
              </w:rPr>
              <w:t>页</w:t>
            </w:r>
          </w:p>
        </w:tc>
      </w:tr>
      <w:tr w14:paraId="3A7B5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59" w:type="dxa"/>
            <w:noWrap w:val="0"/>
            <w:vAlign w:val="center"/>
          </w:tcPr>
          <w:p w14:paraId="3D12E874">
            <w:pPr>
              <w:numPr>
                <w:ilvl w:val="0"/>
                <w:numId w:val="69"/>
              </w:numPr>
              <w:ind w:left="425" w:leftChars="0" w:hanging="425" w:firstLineChars="0"/>
              <w:jc w:val="center"/>
              <w:rPr>
                <w:rFonts w:hint="eastAsia" w:ascii="宋体" w:hAnsi="宋体" w:eastAsia="宋体" w:cs="Times New Roman"/>
                <w:color w:val="auto"/>
                <w:szCs w:val="21"/>
              </w:rPr>
            </w:pPr>
          </w:p>
        </w:tc>
        <w:tc>
          <w:tcPr>
            <w:tcW w:w="3121" w:type="dxa"/>
            <w:noWrap w:val="0"/>
            <w:vAlign w:val="center"/>
          </w:tcPr>
          <w:p w14:paraId="5B4A1BE3">
            <w:pPr>
              <w:rPr>
                <w:rFonts w:hint="eastAsia" w:ascii="宋体" w:hAnsi="宋体" w:cs="宋体"/>
                <w:b/>
                <w:bCs/>
                <w:color w:val="auto"/>
                <w:sz w:val="21"/>
                <w:szCs w:val="24"/>
                <w:lang w:val="en-US" w:eastAsia="zh-CN"/>
              </w:rPr>
            </w:pPr>
            <w:r>
              <w:rPr>
                <w:rFonts w:hint="eastAsia" w:ascii="宋体" w:hAnsi="宋体" w:cs="宋体"/>
                <w:b/>
                <w:bCs/>
                <w:color w:val="auto"/>
                <w:sz w:val="21"/>
                <w:szCs w:val="24"/>
                <w:lang w:val="en-US" w:eastAsia="zh-CN"/>
              </w:rPr>
              <w:t>四、人员配备要求</w:t>
            </w:r>
          </w:p>
          <w:p w14:paraId="6F475853">
            <w:pPr>
              <w:rPr>
                <w:rFonts w:hint="eastAsia" w:ascii="宋体" w:hAnsi="宋体" w:cs="宋体"/>
                <w:b w:val="0"/>
                <w:bCs w:val="0"/>
                <w:color w:val="auto"/>
                <w:sz w:val="21"/>
                <w:szCs w:val="24"/>
                <w:lang w:val="en-US" w:eastAsia="zh-CN"/>
              </w:rPr>
            </w:pPr>
            <w:r>
              <w:rPr>
                <w:rFonts w:hint="eastAsia" w:ascii="宋体" w:hAnsi="宋体" w:cs="宋体"/>
                <w:b w:val="0"/>
                <w:bCs w:val="0"/>
                <w:color w:val="auto"/>
                <w:sz w:val="21"/>
                <w:szCs w:val="24"/>
                <w:lang w:val="en-US" w:eastAsia="zh-CN"/>
              </w:rPr>
              <w:t>（一）中标人按照招标人实际要求配备的服务人员不得随意更换；如需更换的，则必须征得招标人的同意，经试用符合要求方可更换，且在更换前应保证不少于原有数量的服务人员在岗。</w:t>
            </w:r>
          </w:p>
          <w:p w14:paraId="74D715A9">
            <w:pPr>
              <w:rPr>
                <w:rFonts w:hint="eastAsia" w:ascii="宋体" w:hAnsi="宋体" w:cs="宋体"/>
                <w:b w:val="0"/>
                <w:bCs w:val="0"/>
                <w:color w:val="auto"/>
                <w:sz w:val="21"/>
                <w:szCs w:val="24"/>
                <w:lang w:val="en-US" w:eastAsia="zh-CN"/>
              </w:rPr>
            </w:pPr>
            <w:r>
              <w:rPr>
                <w:rFonts w:hint="eastAsia" w:ascii="宋体" w:hAnsi="宋体" w:cs="宋体"/>
                <w:b w:val="0"/>
                <w:bCs w:val="0"/>
                <w:color w:val="auto"/>
                <w:sz w:val="21"/>
                <w:szCs w:val="24"/>
                <w:lang w:val="en-US" w:eastAsia="zh-CN"/>
              </w:rPr>
              <w:t>（二）中标人有义务做好服务人员的岗前培训工作，中标人须遵守与本项目相关的法律法规，对违反相关法律要求的，招标人有权追究其法律责任。</w:t>
            </w:r>
          </w:p>
          <w:p w14:paraId="0EFCA1BB">
            <w:pPr>
              <w:rPr>
                <w:rFonts w:hint="eastAsia" w:ascii="宋体" w:hAnsi="宋体" w:cs="宋体"/>
                <w:b w:val="0"/>
                <w:bCs w:val="0"/>
                <w:color w:val="auto"/>
                <w:sz w:val="21"/>
                <w:szCs w:val="24"/>
                <w:lang w:val="en-US" w:eastAsia="zh-CN"/>
              </w:rPr>
            </w:pPr>
            <w:r>
              <w:rPr>
                <w:rFonts w:hint="eastAsia" w:ascii="宋体" w:hAnsi="宋体" w:cs="宋体"/>
                <w:b w:val="0"/>
                <w:bCs w:val="0"/>
                <w:color w:val="auto"/>
                <w:sz w:val="21"/>
                <w:szCs w:val="24"/>
                <w:lang w:val="en-US" w:eastAsia="zh-CN"/>
              </w:rPr>
              <w:t>（三）在中标人服务过程中，招标人有权要求中标人对服务人员进行岗位调配，对不能胜任或不符合业务要求的服务人员进行更换。因服务人员个人出现违反工作纪律问题及业务过失，遭受投诉且造成不良影响等行为的，招标人有权利要求中标人及时更换服务人员。</w:t>
            </w:r>
          </w:p>
          <w:p w14:paraId="4C900946">
            <w:pPr>
              <w:rPr>
                <w:rFonts w:hint="eastAsia" w:ascii="宋体" w:hAnsi="宋体" w:cs="宋体"/>
                <w:b w:val="0"/>
                <w:bCs w:val="0"/>
                <w:color w:val="auto"/>
                <w:sz w:val="21"/>
                <w:szCs w:val="24"/>
                <w:lang w:val="en-US" w:eastAsia="zh-CN"/>
              </w:rPr>
            </w:pPr>
            <w:r>
              <w:rPr>
                <w:rFonts w:hint="eastAsia" w:ascii="宋体" w:hAnsi="宋体" w:cs="宋体"/>
                <w:b w:val="0"/>
                <w:bCs w:val="0"/>
                <w:color w:val="auto"/>
                <w:sz w:val="21"/>
                <w:szCs w:val="24"/>
                <w:lang w:val="en-US" w:eastAsia="zh-CN"/>
              </w:rPr>
              <w:t>（四）服务人员须经招标人审核确认后方能上岗。未经招标人审核确认的人员，招标人可以不予接纳，中标人与服务人员成立劳动合同关系而承担的法律责任与招标人无关。</w:t>
            </w:r>
          </w:p>
          <w:p w14:paraId="64D93F25">
            <w:pPr>
              <w:rPr>
                <w:rFonts w:hint="eastAsia" w:ascii="宋体" w:hAnsi="宋体" w:cs="宋体"/>
                <w:b w:val="0"/>
                <w:bCs w:val="0"/>
                <w:color w:val="auto"/>
                <w:sz w:val="21"/>
                <w:szCs w:val="24"/>
                <w:lang w:val="en-US" w:eastAsia="zh-CN"/>
              </w:rPr>
            </w:pPr>
            <w:r>
              <w:rPr>
                <w:rFonts w:hint="eastAsia" w:ascii="宋体" w:hAnsi="宋体" w:cs="宋体"/>
                <w:b w:val="0"/>
                <w:bCs w:val="0"/>
                <w:color w:val="auto"/>
                <w:sz w:val="21"/>
                <w:szCs w:val="24"/>
                <w:lang w:val="en-US" w:eastAsia="zh-CN"/>
              </w:rPr>
              <w:t>（五）中标人须按有关劳动法规为本项目服务人员签订劳动合同；为其办理社会保险、公积金；按时发放薪酬；缴纳个人所得税等；中标人应根据当地有关社保规定征缴服务人员的社会保险等，若国家、省、市政府在征缴期间有新的政策规定，中标人必须及时按新规定进行调整。因中标人违法用工导致影响本合同履行的，招标人有权单方解除本合同并没收中标人履约保证金；因中标人违法用工导致招标人产生损失的，中标人须赔偿招标人损失，招标人有权将本项目项下的服务费用、履约保证金优先用于抵扣损失。</w:t>
            </w:r>
          </w:p>
          <w:p w14:paraId="0AF9F232">
            <w:pPr>
              <w:rPr>
                <w:rFonts w:hint="eastAsia" w:ascii="宋体" w:hAnsi="宋体" w:cs="宋体"/>
                <w:b/>
                <w:bCs/>
                <w:color w:val="auto"/>
                <w:sz w:val="21"/>
                <w:szCs w:val="24"/>
                <w:lang w:val="en-US" w:eastAsia="zh-CN"/>
              </w:rPr>
            </w:pPr>
            <w:r>
              <w:rPr>
                <w:rFonts w:hint="eastAsia" w:ascii="宋体" w:hAnsi="宋体" w:cs="宋体"/>
                <w:b w:val="0"/>
                <w:bCs w:val="0"/>
                <w:color w:val="auto"/>
                <w:sz w:val="21"/>
                <w:szCs w:val="24"/>
                <w:lang w:val="en-US" w:eastAsia="zh-CN"/>
              </w:rPr>
              <w:t>服务期间，服务人员发生各种事故，包括治安、安全、交通和违反计划生育、劳资纠纷、工伤等事件及其他各种损失，由中标人自行承担和负责赔偿，与招标人无关；如由此造成招标人承担损失的，招标人保留向中标人追索的权利，招标人有权将本项目项下的服务费用、履约保证金优先用于抵扣损失。</w:t>
            </w:r>
          </w:p>
        </w:tc>
        <w:tc>
          <w:tcPr>
            <w:tcW w:w="2505" w:type="dxa"/>
            <w:noWrap w:val="0"/>
            <w:vAlign w:val="center"/>
          </w:tcPr>
          <w:p w14:paraId="3ABC7747">
            <w:pPr>
              <w:jc w:val="center"/>
              <w:rPr>
                <w:rFonts w:hint="eastAsia" w:ascii="宋体" w:hAnsi="宋体"/>
                <w:color w:val="auto"/>
              </w:rPr>
            </w:pPr>
          </w:p>
        </w:tc>
        <w:tc>
          <w:tcPr>
            <w:tcW w:w="2003" w:type="dxa"/>
            <w:tcBorders>
              <w:right w:val="single" w:color="auto" w:sz="2" w:space="0"/>
            </w:tcBorders>
            <w:noWrap w:val="0"/>
            <w:vAlign w:val="center"/>
          </w:tcPr>
          <w:p w14:paraId="1D5B6E37">
            <w:pPr>
              <w:jc w:val="center"/>
              <w:rPr>
                <w:rFonts w:hint="eastAsia" w:ascii="宋体" w:hAnsi="宋体"/>
                <w:color w:val="auto"/>
              </w:rPr>
            </w:pPr>
          </w:p>
        </w:tc>
        <w:tc>
          <w:tcPr>
            <w:tcW w:w="1440" w:type="dxa"/>
            <w:tcBorders>
              <w:left w:val="single" w:color="auto" w:sz="2" w:space="0"/>
            </w:tcBorders>
            <w:noWrap w:val="0"/>
            <w:vAlign w:val="center"/>
          </w:tcPr>
          <w:p w14:paraId="3070BE12">
            <w:pPr>
              <w:jc w:val="center"/>
              <w:rPr>
                <w:rFonts w:hint="eastAsia" w:ascii="宋体" w:hAnsi="宋体" w:cs="宋体"/>
                <w:color w:val="auto"/>
                <w:szCs w:val="21"/>
              </w:rPr>
            </w:pPr>
            <w:r>
              <w:rPr>
                <w:rFonts w:hint="eastAsia" w:ascii="宋体" w:hAnsi="宋体" w:cs="宋体"/>
                <w:color w:val="auto"/>
                <w:szCs w:val="21"/>
              </w:rPr>
              <w:t>见《</w:t>
            </w:r>
            <w:r>
              <w:rPr>
                <w:rFonts w:hint="eastAsia" w:ascii="宋体" w:hAnsi="宋体" w:cs="宋体"/>
                <w:color w:val="auto"/>
                <w:szCs w:val="21"/>
                <w:lang w:eastAsia="zh-CN"/>
              </w:rPr>
              <w:t>投标文件</w:t>
            </w:r>
            <w:r>
              <w:rPr>
                <w:rFonts w:hint="eastAsia" w:ascii="宋体" w:hAnsi="宋体" w:cs="宋体"/>
                <w:color w:val="auto"/>
                <w:szCs w:val="21"/>
              </w:rPr>
              <w:t>》第</w:t>
            </w:r>
            <w:r>
              <w:rPr>
                <w:rFonts w:hint="eastAsia" w:ascii="宋体" w:hAnsi="宋体" w:cs="宋体"/>
                <w:color w:val="auto"/>
                <w:szCs w:val="21"/>
                <w:u w:val="single"/>
              </w:rPr>
              <w:t xml:space="preserve">   </w:t>
            </w:r>
            <w:r>
              <w:rPr>
                <w:rFonts w:hint="eastAsia" w:ascii="宋体" w:hAnsi="宋体" w:cs="宋体"/>
                <w:color w:val="auto"/>
                <w:szCs w:val="21"/>
              </w:rPr>
              <w:t>页</w:t>
            </w:r>
          </w:p>
        </w:tc>
      </w:tr>
      <w:tr w14:paraId="138F5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59" w:type="dxa"/>
            <w:noWrap w:val="0"/>
            <w:vAlign w:val="center"/>
          </w:tcPr>
          <w:p w14:paraId="45291B98">
            <w:pPr>
              <w:numPr>
                <w:ilvl w:val="0"/>
                <w:numId w:val="69"/>
              </w:numPr>
              <w:ind w:left="425" w:leftChars="0" w:hanging="425" w:firstLineChars="0"/>
              <w:jc w:val="center"/>
              <w:rPr>
                <w:rFonts w:hint="eastAsia" w:ascii="宋体" w:hAnsi="宋体" w:eastAsia="宋体" w:cs="Times New Roman"/>
                <w:color w:val="auto"/>
                <w:szCs w:val="21"/>
              </w:rPr>
            </w:pPr>
          </w:p>
        </w:tc>
        <w:tc>
          <w:tcPr>
            <w:tcW w:w="3121" w:type="dxa"/>
            <w:noWrap w:val="0"/>
            <w:vAlign w:val="center"/>
          </w:tcPr>
          <w:p w14:paraId="11D39F53">
            <w:pPr>
              <w:rPr>
                <w:rFonts w:hint="eastAsia" w:ascii="宋体" w:hAnsi="宋体" w:eastAsia="宋体" w:cs="宋体"/>
                <w:b w:val="0"/>
                <w:bCs w:val="0"/>
                <w:color w:val="000000"/>
                <w:sz w:val="21"/>
                <w:szCs w:val="21"/>
                <w:highlight w:val="white"/>
              </w:rPr>
            </w:pPr>
            <w:r>
              <w:rPr>
                <w:rFonts w:hint="eastAsia" w:ascii="宋体" w:hAnsi="宋体" w:cs="宋体"/>
                <w:b/>
                <w:bCs/>
                <w:color w:val="000000"/>
                <w:sz w:val="21"/>
                <w:szCs w:val="21"/>
                <w:highlight w:val="white"/>
                <w:lang w:val="en-US" w:eastAsia="zh-CN"/>
              </w:rPr>
              <w:t>五、</w:t>
            </w:r>
            <w:r>
              <w:rPr>
                <w:rFonts w:hint="eastAsia" w:ascii="宋体" w:hAnsi="宋体" w:eastAsia="宋体" w:cs="宋体"/>
                <w:b/>
                <w:bCs/>
                <w:color w:val="000000"/>
                <w:sz w:val="21"/>
                <w:szCs w:val="21"/>
                <w:highlight w:val="white"/>
              </w:rPr>
              <w:t>服务对照执行标准</w:t>
            </w:r>
            <w:r>
              <w:rPr>
                <w:rFonts w:hint="eastAsia" w:ascii="宋体" w:hAnsi="宋体" w:eastAsia="宋体" w:cs="宋体"/>
                <w:b/>
                <w:bCs/>
                <w:color w:val="000000"/>
                <w:sz w:val="21"/>
                <w:szCs w:val="21"/>
                <w:highlight w:val="white"/>
              </w:rPr>
              <w:br w:type="textWrapping"/>
            </w:r>
            <w:r>
              <w:rPr>
                <w:rFonts w:hint="eastAsia" w:ascii="宋体" w:hAnsi="宋体" w:eastAsia="宋体" w:cs="宋体"/>
                <w:b w:val="0"/>
                <w:bCs w:val="0"/>
                <w:color w:val="000000"/>
                <w:sz w:val="21"/>
                <w:szCs w:val="21"/>
                <w:highlight w:val="white"/>
              </w:rPr>
              <w:t>（一）符合中华人民共和国国家和履约地相关安全质量标准、行业技术规范标准；</w:t>
            </w:r>
          </w:p>
          <w:p w14:paraId="269BF653">
            <w:pPr>
              <w:rPr>
                <w:rFonts w:hint="eastAsia" w:ascii="宋体" w:hAnsi="宋体" w:eastAsia="宋体" w:cs="宋体"/>
                <w:b w:val="0"/>
                <w:bCs w:val="0"/>
                <w:color w:val="000000"/>
                <w:sz w:val="21"/>
                <w:szCs w:val="21"/>
                <w:highlight w:val="white"/>
              </w:rPr>
            </w:pPr>
            <w:r>
              <w:rPr>
                <w:rFonts w:hint="eastAsia" w:ascii="宋体" w:hAnsi="宋体" w:eastAsia="宋体" w:cs="宋体"/>
                <w:b w:val="0"/>
                <w:bCs w:val="0"/>
                <w:color w:val="000000"/>
                <w:sz w:val="21"/>
                <w:szCs w:val="21"/>
                <w:highlight w:val="white"/>
              </w:rPr>
              <w:t>（二）符合采购文件和响应承诺中各方共同认可的合理要求；</w:t>
            </w:r>
          </w:p>
          <w:p w14:paraId="1D466D5D">
            <w:pPr>
              <w:rPr>
                <w:rFonts w:hint="eastAsia" w:ascii="宋体" w:hAnsi="宋体" w:cs="宋体"/>
                <w:b w:val="0"/>
                <w:bCs w:val="0"/>
                <w:color w:val="auto"/>
                <w:sz w:val="21"/>
                <w:szCs w:val="24"/>
                <w:lang w:val="en-US" w:eastAsia="zh-CN"/>
              </w:rPr>
            </w:pPr>
            <w:r>
              <w:rPr>
                <w:rFonts w:hint="eastAsia" w:ascii="宋体" w:hAnsi="宋体" w:eastAsia="宋体" w:cs="宋体"/>
                <w:b w:val="0"/>
                <w:bCs w:val="0"/>
                <w:color w:val="000000"/>
                <w:sz w:val="21"/>
                <w:szCs w:val="21"/>
                <w:highlight w:val="white"/>
              </w:rPr>
              <w:t>（三）上述各类标准与法规必须是有关官方机构最新发布的现行标准版本。</w:t>
            </w:r>
          </w:p>
        </w:tc>
        <w:tc>
          <w:tcPr>
            <w:tcW w:w="2505" w:type="dxa"/>
            <w:noWrap w:val="0"/>
            <w:vAlign w:val="center"/>
          </w:tcPr>
          <w:p w14:paraId="02473668">
            <w:pPr>
              <w:jc w:val="center"/>
              <w:rPr>
                <w:rFonts w:hint="eastAsia" w:ascii="宋体" w:hAnsi="宋体"/>
                <w:color w:val="auto"/>
              </w:rPr>
            </w:pPr>
          </w:p>
        </w:tc>
        <w:tc>
          <w:tcPr>
            <w:tcW w:w="2003" w:type="dxa"/>
            <w:tcBorders>
              <w:right w:val="single" w:color="auto" w:sz="2" w:space="0"/>
            </w:tcBorders>
            <w:noWrap w:val="0"/>
            <w:vAlign w:val="center"/>
          </w:tcPr>
          <w:p w14:paraId="0B962FD5">
            <w:pPr>
              <w:jc w:val="center"/>
              <w:rPr>
                <w:rFonts w:hint="eastAsia" w:ascii="宋体" w:hAnsi="宋体"/>
                <w:color w:val="auto"/>
              </w:rPr>
            </w:pPr>
          </w:p>
        </w:tc>
        <w:tc>
          <w:tcPr>
            <w:tcW w:w="1440" w:type="dxa"/>
            <w:tcBorders>
              <w:left w:val="single" w:color="auto" w:sz="2" w:space="0"/>
            </w:tcBorders>
            <w:noWrap w:val="0"/>
            <w:vAlign w:val="center"/>
          </w:tcPr>
          <w:p w14:paraId="169389C4">
            <w:pPr>
              <w:jc w:val="center"/>
              <w:rPr>
                <w:rFonts w:hint="eastAsia" w:ascii="宋体" w:hAnsi="宋体" w:cs="宋体"/>
                <w:color w:val="auto"/>
                <w:szCs w:val="21"/>
              </w:rPr>
            </w:pPr>
            <w:r>
              <w:rPr>
                <w:rFonts w:hint="eastAsia" w:ascii="宋体" w:hAnsi="宋体" w:cs="宋体"/>
                <w:color w:val="auto"/>
                <w:szCs w:val="21"/>
              </w:rPr>
              <w:t>见《</w:t>
            </w:r>
            <w:r>
              <w:rPr>
                <w:rFonts w:hint="eastAsia" w:ascii="宋体" w:hAnsi="宋体" w:cs="宋体"/>
                <w:color w:val="auto"/>
                <w:szCs w:val="21"/>
                <w:lang w:eastAsia="zh-CN"/>
              </w:rPr>
              <w:t>投标文件</w:t>
            </w:r>
            <w:r>
              <w:rPr>
                <w:rFonts w:hint="eastAsia" w:ascii="宋体" w:hAnsi="宋体" w:cs="宋体"/>
                <w:color w:val="auto"/>
                <w:szCs w:val="21"/>
              </w:rPr>
              <w:t>》第</w:t>
            </w:r>
            <w:r>
              <w:rPr>
                <w:rFonts w:hint="eastAsia" w:ascii="宋体" w:hAnsi="宋体" w:cs="宋体"/>
                <w:color w:val="auto"/>
                <w:szCs w:val="21"/>
                <w:u w:val="single"/>
              </w:rPr>
              <w:t xml:space="preserve">   </w:t>
            </w:r>
            <w:r>
              <w:rPr>
                <w:rFonts w:hint="eastAsia" w:ascii="宋体" w:hAnsi="宋体" w:cs="宋体"/>
                <w:color w:val="auto"/>
                <w:szCs w:val="21"/>
              </w:rPr>
              <w:t>页</w:t>
            </w:r>
          </w:p>
        </w:tc>
      </w:tr>
    </w:tbl>
    <w:p w14:paraId="74E8F70E">
      <w:pPr>
        <w:numPr>
          <w:ilvl w:val="0"/>
          <w:numId w:val="0"/>
        </w:numPr>
        <w:adjustRightInd w:val="0"/>
        <w:snapToGrid w:val="0"/>
        <w:spacing w:line="460" w:lineRule="exact"/>
        <w:ind w:leftChars="0"/>
        <w:rPr>
          <w:rFonts w:hint="eastAsia" w:ascii="宋体" w:hAnsi="宋体" w:eastAsia="宋体"/>
          <w:color w:val="auto"/>
          <w:szCs w:val="21"/>
          <w:lang w:val="en-US" w:eastAsia="zh-CN"/>
        </w:rPr>
      </w:pPr>
      <w:r>
        <w:rPr>
          <w:rFonts w:hint="eastAsia" w:ascii="宋体" w:hAnsi="宋体"/>
          <w:color w:val="auto"/>
          <w:szCs w:val="21"/>
          <w:lang w:val="en-US" w:eastAsia="zh-CN"/>
        </w:rPr>
        <w:t>备注：</w:t>
      </w:r>
    </w:p>
    <w:p w14:paraId="7B56F17A">
      <w:pPr>
        <w:numPr>
          <w:ilvl w:val="0"/>
          <w:numId w:val="70"/>
        </w:numPr>
        <w:adjustRightInd w:val="0"/>
        <w:snapToGrid w:val="0"/>
        <w:spacing w:line="460" w:lineRule="exact"/>
        <w:rPr>
          <w:rFonts w:ascii="宋体" w:hAnsi="宋体"/>
          <w:color w:val="auto"/>
          <w:szCs w:val="21"/>
        </w:rPr>
      </w:pPr>
      <w:r>
        <w:rPr>
          <w:rFonts w:hint="eastAsia" w:ascii="宋体" w:hAnsi="宋体" w:cs="宋体"/>
          <w:color w:val="auto"/>
          <w:kern w:val="0"/>
          <w:szCs w:val="21"/>
        </w:rPr>
        <w:t>用户需求中要求提供的相关证明资料必须一并提供，否则视为不响应。</w:t>
      </w:r>
    </w:p>
    <w:p w14:paraId="70228283">
      <w:pPr>
        <w:numPr>
          <w:ilvl w:val="0"/>
          <w:numId w:val="70"/>
        </w:numPr>
        <w:adjustRightInd w:val="0"/>
        <w:snapToGrid w:val="0"/>
        <w:spacing w:line="460" w:lineRule="exact"/>
        <w:rPr>
          <w:rFonts w:ascii="宋体" w:hAnsi="宋体"/>
          <w:b/>
          <w:color w:val="auto"/>
          <w:szCs w:val="21"/>
        </w:rPr>
      </w:pPr>
      <w:r>
        <w:rPr>
          <w:rFonts w:hint="eastAsia" w:ascii="宋体" w:hAnsi="宋体"/>
          <w:b/>
          <w:color w:val="auto"/>
          <w:szCs w:val="21"/>
        </w:rPr>
        <w:t>“</w:t>
      </w:r>
      <w:r>
        <w:rPr>
          <w:rFonts w:hint="eastAsia" w:ascii="宋体" w:hAnsi="宋体"/>
          <w:color w:val="auto"/>
        </w:rPr>
        <w:t>原条款描述</w:t>
      </w:r>
      <w:r>
        <w:rPr>
          <w:rFonts w:hint="eastAsia" w:ascii="宋体" w:hAnsi="宋体"/>
          <w:b/>
          <w:color w:val="auto"/>
          <w:szCs w:val="21"/>
        </w:rPr>
        <w:t>”的条款与用户需求中的条款描述不一致的，以用户需求中规定的为准。</w:t>
      </w:r>
    </w:p>
    <w:p w14:paraId="1DB26A18">
      <w:pPr>
        <w:spacing w:line="500" w:lineRule="exact"/>
        <w:rPr>
          <w:rFonts w:hint="eastAsia"/>
          <w:color w:val="auto"/>
          <w:spacing w:val="4"/>
        </w:rPr>
      </w:pPr>
    </w:p>
    <w:p w14:paraId="67C410DD">
      <w:pPr>
        <w:spacing w:line="500" w:lineRule="exact"/>
        <w:rPr>
          <w:rFonts w:hint="eastAsia" w:ascii="宋体" w:hAnsi="宋体"/>
          <w:color w:val="auto"/>
          <w:u w:val="single"/>
        </w:rPr>
      </w:pPr>
      <w:r>
        <w:rPr>
          <w:rFonts w:hint="eastAsia"/>
          <w:color w:val="auto"/>
          <w:spacing w:val="4"/>
        </w:rPr>
        <w:t>投标人名称（加盖公章）：</w:t>
      </w:r>
      <w:r>
        <w:rPr>
          <w:rFonts w:hint="eastAsia"/>
          <w:color w:val="auto"/>
          <w:spacing w:val="4"/>
          <w:u w:val="single"/>
        </w:rPr>
        <w:t xml:space="preserve">                             </w:t>
      </w:r>
    </w:p>
    <w:p w14:paraId="151337FF">
      <w:pPr>
        <w:spacing w:line="520" w:lineRule="exact"/>
        <w:rPr>
          <w:color w:val="auto"/>
          <w:spacing w:val="4"/>
          <w:u w:val="single"/>
        </w:rPr>
      </w:pPr>
      <w:r>
        <w:rPr>
          <w:rFonts w:hint="eastAsia"/>
          <w:color w:val="auto"/>
          <w:spacing w:val="4"/>
        </w:rPr>
        <w:t>日期</w:t>
      </w:r>
      <w:r>
        <w:rPr>
          <w:rFonts w:hint="eastAsia"/>
          <w:color w:val="auto"/>
          <w:spacing w:val="4"/>
          <w:lang w:eastAsia="zh-CN"/>
        </w:rPr>
        <w:t>：</w:t>
      </w:r>
      <w:r>
        <w:rPr>
          <w:color w:val="auto"/>
          <w:spacing w:val="4"/>
          <w:u w:val="single"/>
        </w:rPr>
        <w:t xml:space="preserve">         </w:t>
      </w:r>
      <w:bookmarkStart w:id="215" w:name="_Toc275865614"/>
    </w:p>
    <w:p w14:paraId="5EA7C872">
      <w:pPr>
        <w:rPr>
          <w:rFonts w:hint="eastAsia" w:cs="Times New Roman"/>
          <w:b w:val="0"/>
          <w:bCs w:val="0"/>
          <w:color w:val="auto"/>
          <w:lang w:val="en-US" w:eastAsia="zh-CN"/>
        </w:rPr>
      </w:pPr>
      <w:r>
        <w:rPr>
          <w:rFonts w:hint="eastAsia" w:cs="Times New Roman"/>
          <w:b w:val="0"/>
          <w:bCs w:val="0"/>
          <w:color w:val="auto"/>
          <w:lang w:val="en-US" w:eastAsia="zh-CN"/>
        </w:rPr>
        <w:br w:type="page"/>
      </w:r>
    </w:p>
    <w:p w14:paraId="5BE278CA">
      <w:pPr>
        <w:numPr>
          <w:ilvl w:val="0"/>
          <w:numId w:val="60"/>
        </w:numPr>
        <w:spacing w:line="440" w:lineRule="exact"/>
        <w:rPr>
          <w:rFonts w:hint="eastAsia" w:cs="Times New Roman"/>
          <w:b w:val="0"/>
          <w:bCs w:val="0"/>
          <w:color w:val="auto"/>
          <w:lang w:val="en-US" w:eastAsia="zh-CN"/>
        </w:rPr>
      </w:pPr>
    </w:p>
    <w:p w14:paraId="6122A915">
      <w:pPr>
        <w:pStyle w:val="4"/>
        <w:adjustRightInd w:val="0"/>
        <w:snapToGrid w:val="0"/>
        <w:spacing w:before="156" w:beforeLines="50" w:after="156" w:afterLines="50" w:line="360" w:lineRule="auto"/>
        <w:jc w:val="center"/>
        <w:rPr>
          <w:rFonts w:hint="eastAsia" w:cs="Times New Roman"/>
          <w:b w:val="0"/>
          <w:color w:val="auto"/>
          <w:lang w:val="en-US" w:eastAsia="zh-CN"/>
        </w:rPr>
      </w:pPr>
      <w:r>
        <w:rPr>
          <w:rFonts w:hint="eastAsia" w:cs="Times New Roman"/>
          <w:b w:val="0"/>
          <w:color w:val="auto"/>
          <w:lang w:val="en-US" w:eastAsia="zh-CN"/>
        </w:rPr>
        <w:t>投标技术服务方案</w:t>
      </w:r>
      <w:bookmarkEnd w:id="215"/>
    </w:p>
    <w:p w14:paraId="7C495BB3">
      <w:pPr>
        <w:spacing w:after="156" w:afterLines="50"/>
        <w:jc w:val="center"/>
        <w:outlineLvl w:val="2"/>
        <w:rPr>
          <w:rFonts w:hint="eastAsia" w:ascii="仿宋_GB2312" w:eastAsia="宋体"/>
          <w:b/>
          <w:color w:val="auto"/>
          <w:sz w:val="28"/>
          <w:szCs w:val="28"/>
          <w:lang w:eastAsia="zh-CN"/>
        </w:rPr>
      </w:pPr>
      <w:r>
        <w:rPr>
          <w:rFonts w:hint="eastAsia" w:ascii="宋体" w:hAnsi="宋体"/>
          <w:color w:val="auto"/>
        </w:rPr>
        <w:t>投标人名称：                                           项目编号：</w:t>
      </w:r>
      <w:r>
        <w:rPr>
          <w:rFonts w:hint="eastAsia" w:ascii="宋体" w:hAnsi="宋体"/>
          <w:color w:val="auto"/>
          <w:lang w:eastAsia="zh-CN"/>
        </w:rPr>
        <w:t xml:space="preserve">JG2025(SS)XZ0008 </w:t>
      </w:r>
    </w:p>
    <w:p w14:paraId="145E8A20">
      <w:pPr>
        <w:adjustRightInd w:val="0"/>
        <w:snapToGrid w:val="0"/>
        <w:spacing w:line="360" w:lineRule="auto"/>
        <w:rPr>
          <w:rFonts w:hint="eastAsia" w:ascii="宋体" w:hAnsi="宋体"/>
          <w:b/>
          <w:color w:val="auto"/>
        </w:rPr>
      </w:pPr>
      <w:r>
        <w:rPr>
          <w:rFonts w:hint="eastAsia" w:ascii="宋体" w:hAnsi="宋体"/>
          <w:b/>
          <w:color w:val="auto"/>
        </w:rPr>
        <w:t>主要内容应包括但不限于以下内容（格式自定）：</w:t>
      </w:r>
    </w:p>
    <w:p w14:paraId="153DA080">
      <w:pPr>
        <w:numPr>
          <w:ilvl w:val="0"/>
          <w:numId w:val="71"/>
        </w:numPr>
        <w:tabs>
          <w:tab w:val="left" w:pos="420"/>
        </w:tabs>
        <w:spacing w:line="520" w:lineRule="exact"/>
        <w:ind w:left="425" w:leftChars="0" w:hanging="425" w:firstLineChars="0"/>
        <w:rPr>
          <w:rFonts w:ascii="宋体" w:hAnsi="宋体" w:eastAsia="宋体"/>
          <w:color w:val="auto"/>
        </w:rPr>
      </w:pPr>
      <w:r>
        <w:rPr>
          <w:rFonts w:hint="eastAsia" w:ascii="宋体" w:hAnsi="宋体" w:eastAsia="宋体"/>
          <w:color w:val="auto"/>
        </w:rPr>
        <w:t>项目实施方案</w:t>
      </w:r>
      <w:r>
        <w:rPr>
          <w:rFonts w:hint="eastAsia" w:ascii="宋体" w:hAnsi="宋体"/>
          <w:color w:val="auto"/>
          <w:lang w:eastAsia="zh-CN"/>
        </w:rPr>
        <w:t>；</w:t>
      </w:r>
    </w:p>
    <w:p w14:paraId="41D01E60">
      <w:pPr>
        <w:numPr>
          <w:ilvl w:val="0"/>
          <w:numId w:val="71"/>
        </w:numPr>
        <w:tabs>
          <w:tab w:val="left" w:pos="420"/>
        </w:tabs>
        <w:spacing w:line="520" w:lineRule="exact"/>
        <w:ind w:left="425" w:leftChars="0" w:hanging="425" w:firstLineChars="0"/>
        <w:rPr>
          <w:rFonts w:ascii="宋体" w:hAnsi="宋体" w:eastAsia="宋体"/>
          <w:color w:val="auto"/>
        </w:rPr>
      </w:pPr>
      <w:r>
        <w:rPr>
          <w:rFonts w:hint="eastAsia" w:ascii="宋体" w:hAnsi="宋体" w:eastAsia="宋体"/>
          <w:color w:val="auto"/>
        </w:rPr>
        <w:t>专项服务队伍稳定性保障措施</w:t>
      </w:r>
      <w:r>
        <w:rPr>
          <w:rFonts w:hint="eastAsia" w:ascii="宋体" w:hAnsi="宋体"/>
          <w:color w:val="auto"/>
          <w:lang w:eastAsia="zh-CN"/>
        </w:rPr>
        <w:t>；</w:t>
      </w:r>
    </w:p>
    <w:p w14:paraId="24289259">
      <w:pPr>
        <w:numPr>
          <w:ilvl w:val="0"/>
          <w:numId w:val="71"/>
        </w:numPr>
        <w:tabs>
          <w:tab w:val="left" w:pos="420"/>
        </w:tabs>
        <w:spacing w:line="520" w:lineRule="exact"/>
        <w:ind w:left="425" w:leftChars="0" w:hanging="425" w:firstLineChars="0"/>
        <w:rPr>
          <w:rFonts w:ascii="宋体" w:hAnsi="宋体" w:eastAsia="宋体"/>
          <w:color w:val="auto"/>
        </w:rPr>
      </w:pPr>
      <w:r>
        <w:rPr>
          <w:rFonts w:hint="eastAsia" w:ascii="宋体" w:hAnsi="宋体" w:eastAsia="宋体" w:cs="宋体"/>
          <w:color w:val="auto"/>
          <w:sz w:val="21"/>
          <w:szCs w:val="21"/>
          <w:highlight w:val="none"/>
          <w:lang w:val="en-US" w:eastAsia="zh-CN"/>
        </w:rPr>
        <w:t>突发事件应急管理方案；</w:t>
      </w:r>
    </w:p>
    <w:p w14:paraId="37BFBDE5">
      <w:pPr>
        <w:numPr>
          <w:ilvl w:val="0"/>
          <w:numId w:val="71"/>
        </w:numPr>
        <w:tabs>
          <w:tab w:val="left" w:pos="420"/>
        </w:tabs>
        <w:spacing w:line="520" w:lineRule="exact"/>
        <w:ind w:left="425" w:leftChars="0" w:hanging="425" w:firstLineChars="0"/>
        <w:rPr>
          <w:rFonts w:ascii="宋体" w:hAnsi="宋体" w:eastAsia="宋体"/>
          <w:color w:val="auto"/>
        </w:rPr>
      </w:pPr>
      <w:r>
        <w:rPr>
          <w:rFonts w:hint="eastAsia" w:ascii="宋体" w:hAnsi="宋体" w:eastAsia="宋体"/>
          <w:color w:val="auto"/>
        </w:rPr>
        <w:t>须</w:t>
      </w:r>
      <w:r>
        <w:rPr>
          <w:rFonts w:hint="eastAsia" w:ascii="宋体" w:hAnsi="宋体"/>
          <w:color w:val="auto"/>
          <w:lang w:eastAsia="zh-CN"/>
        </w:rPr>
        <w:t>招标人</w:t>
      </w:r>
      <w:r>
        <w:rPr>
          <w:rFonts w:hint="eastAsia" w:ascii="宋体" w:hAnsi="宋体" w:eastAsia="宋体"/>
          <w:color w:val="auto"/>
        </w:rPr>
        <w:t>配合事项；</w:t>
      </w:r>
    </w:p>
    <w:p w14:paraId="236A8ADA">
      <w:pPr>
        <w:numPr>
          <w:ilvl w:val="0"/>
          <w:numId w:val="71"/>
        </w:numPr>
        <w:tabs>
          <w:tab w:val="left" w:pos="420"/>
        </w:tabs>
        <w:adjustRightInd/>
        <w:snapToGrid/>
        <w:spacing w:line="520" w:lineRule="exact"/>
        <w:ind w:left="425" w:leftChars="0" w:hanging="425" w:firstLineChars="0"/>
        <w:rPr>
          <w:rFonts w:ascii="宋体" w:hAnsi="宋体"/>
          <w:color w:val="auto"/>
          <w:sz w:val="24"/>
        </w:rPr>
      </w:pPr>
      <w:r>
        <w:rPr>
          <w:rFonts w:hint="eastAsia" w:ascii="宋体" w:hAnsi="宋体" w:eastAsia="宋体"/>
          <w:color w:val="auto"/>
        </w:rPr>
        <w:t>投标人认为对投标有利的其他资料</w:t>
      </w:r>
      <w:r>
        <w:rPr>
          <w:rFonts w:hint="eastAsia" w:ascii="宋体" w:hAnsi="宋体"/>
          <w:color w:val="auto"/>
        </w:rPr>
        <w:t>。</w:t>
      </w:r>
    </w:p>
    <w:p w14:paraId="5DA849CE">
      <w:pPr>
        <w:spacing w:line="400" w:lineRule="exact"/>
        <w:rPr>
          <w:rFonts w:hint="eastAsia" w:ascii="宋体" w:hAnsi="宋体"/>
          <w:color w:val="auto"/>
        </w:rPr>
      </w:pPr>
    </w:p>
    <w:p w14:paraId="530211AA">
      <w:pPr>
        <w:spacing w:line="400" w:lineRule="exact"/>
        <w:rPr>
          <w:rFonts w:hint="eastAsia" w:ascii="宋体" w:hAnsi="宋体"/>
          <w:color w:val="auto"/>
        </w:rPr>
      </w:pPr>
    </w:p>
    <w:p w14:paraId="425A9F63">
      <w:pPr>
        <w:spacing w:line="500" w:lineRule="exact"/>
        <w:rPr>
          <w:rFonts w:hint="eastAsia" w:ascii="宋体" w:hAnsi="宋体"/>
          <w:color w:val="auto"/>
          <w:u w:val="single"/>
        </w:rPr>
      </w:pPr>
      <w:bookmarkStart w:id="216" w:name="_Toc50703730"/>
      <w:bookmarkStart w:id="217" w:name="_Toc50691037"/>
      <w:bookmarkStart w:id="218" w:name="_Toc43264518"/>
      <w:r>
        <w:rPr>
          <w:rFonts w:hint="eastAsia"/>
          <w:color w:val="auto"/>
          <w:spacing w:val="4"/>
        </w:rPr>
        <w:t>投标人名称（盖公章）：</w:t>
      </w:r>
      <w:r>
        <w:rPr>
          <w:rFonts w:hint="eastAsia"/>
          <w:color w:val="auto"/>
          <w:spacing w:val="4"/>
          <w:u w:val="single"/>
        </w:rPr>
        <w:t xml:space="preserve">                             </w:t>
      </w:r>
    </w:p>
    <w:p w14:paraId="6943F80A">
      <w:pPr>
        <w:rPr>
          <w:rFonts w:hint="eastAsia"/>
          <w:color w:val="auto"/>
          <w:spacing w:val="4"/>
        </w:rPr>
      </w:pPr>
    </w:p>
    <w:p w14:paraId="32E454C1">
      <w:pPr>
        <w:spacing w:line="520" w:lineRule="exact"/>
        <w:rPr>
          <w:rFonts w:hint="eastAsia"/>
          <w:color w:val="auto"/>
          <w:spacing w:val="4"/>
          <w:u w:val="single"/>
        </w:rPr>
      </w:pPr>
      <w:r>
        <w:rPr>
          <w:rFonts w:hint="eastAsia"/>
          <w:color w:val="auto"/>
          <w:spacing w:val="4"/>
        </w:rPr>
        <w:t>日期</w:t>
      </w:r>
      <w:r>
        <w:rPr>
          <w:rFonts w:hint="eastAsia"/>
          <w:color w:val="auto"/>
          <w:spacing w:val="4"/>
          <w:lang w:eastAsia="zh-CN"/>
        </w:rPr>
        <w:t>：</w:t>
      </w:r>
      <w:r>
        <w:rPr>
          <w:color w:val="auto"/>
          <w:spacing w:val="4"/>
          <w:u w:val="single"/>
        </w:rPr>
        <w:t xml:space="preserve">         </w:t>
      </w:r>
    </w:p>
    <w:p w14:paraId="789DEDD3">
      <w:pPr>
        <w:spacing w:line="520" w:lineRule="exact"/>
        <w:ind w:firstLine="436" w:firstLineChars="200"/>
        <w:rPr>
          <w:color w:val="auto"/>
          <w:spacing w:val="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FA4C90C">
      <w:pPr>
        <w:numPr>
          <w:ilvl w:val="0"/>
          <w:numId w:val="60"/>
        </w:numPr>
        <w:spacing w:line="440" w:lineRule="exact"/>
        <w:rPr>
          <w:rFonts w:hint="eastAsia" w:ascii="黑体" w:eastAsia="黑体"/>
          <w:bCs/>
          <w:color w:val="auto"/>
          <w:sz w:val="28"/>
        </w:rPr>
      </w:pPr>
    </w:p>
    <w:p w14:paraId="3654987B">
      <w:pPr>
        <w:pStyle w:val="4"/>
        <w:adjustRightInd w:val="0"/>
        <w:snapToGrid w:val="0"/>
        <w:spacing w:before="156" w:beforeLines="50" w:after="156" w:afterLines="50" w:line="360" w:lineRule="auto"/>
        <w:jc w:val="center"/>
        <w:rPr>
          <w:rFonts w:hint="eastAsia"/>
          <w:b w:val="0"/>
          <w:color w:val="auto"/>
        </w:rPr>
      </w:pPr>
      <w:bookmarkStart w:id="219" w:name="_Toc275865616"/>
      <w:bookmarkStart w:id="220" w:name="_Toc173553182"/>
      <w:r>
        <w:rPr>
          <w:rFonts w:hint="eastAsia"/>
          <w:b w:val="0"/>
          <w:color w:val="auto"/>
        </w:rPr>
        <w:t>投标人基本情况表</w:t>
      </w:r>
      <w:bookmarkEnd w:id="219"/>
      <w:bookmarkEnd w:id="220"/>
    </w:p>
    <w:p w14:paraId="34035CBF">
      <w:pPr>
        <w:numPr>
          <w:ilvl w:val="0"/>
          <w:numId w:val="72"/>
        </w:numPr>
        <w:spacing w:line="360" w:lineRule="auto"/>
        <w:rPr>
          <w:rFonts w:ascii="宋体" w:hAnsi="宋体" w:cs="Arial"/>
          <w:color w:val="auto"/>
          <w:szCs w:val="21"/>
        </w:rPr>
      </w:pPr>
      <w:r>
        <w:rPr>
          <w:rFonts w:ascii="宋体" w:hAnsi="宋体" w:cs="Arial"/>
          <w:color w:val="auto"/>
          <w:szCs w:val="21"/>
        </w:rPr>
        <w:t>公司基本情况</w:t>
      </w:r>
    </w:p>
    <w:p w14:paraId="190D7D88">
      <w:pPr>
        <w:numPr>
          <w:ilvl w:val="1"/>
          <w:numId w:val="72"/>
        </w:numPr>
        <w:tabs>
          <w:tab w:val="left" w:pos="420"/>
          <w:tab w:val="clear" w:pos="840"/>
        </w:tabs>
        <w:spacing w:line="360" w:lineRule="auto"/>
        <w:ind w:left="420"/>
        <w:rPr>
          <w:rFonts w:ascii="宋体" w:hAnsi="宋体" w:cs="Arial"/>
          <w:color w:val="auto"/>
          <w:szCs w:val="21"/>
        </w:rPr>
      </w:pPr>
      <w:r>
        <w:rPr>
          <w:rFonts w:ascii="宋体" w:hAnsi="宋体" w:cs="Arial"/>
          <w:color w:val="auto"/>
          <w:szCs w:val="21"/>
        </w:rPr>
        <w:t>公司名称：</w:t>
      </w:r>
      <w:r>
        <w:rPr>
          <w:rFonts w:ascii="宋体" w:hAnsi="宋体" w:cs="Arial"/>
          <w:color w:val="auto"/>
          <w:szCs w:val="21"/>
          <w:u w:val="single"/>
        </w:rPr>
        <w:t xml:space="preserve">                              </w:t>
      </w:r>
      <w:r>
        <w:rPr>
          <w:rFonts w:ascii="宋体" w:hAnsi="宋体" w:cs="Arial"/>
          <w:color w:val="auto"/>
          <w:szCs w:val="21"/>
        </w:rPr>
        <w:t xml:space="preserve">  电话号码：</w:t>
      </w:r>
      <w:r>
        <w:rPr>
          <w:rFonts w:ascii="宋体" w:hAnsi="宋体" w:cs="Arial"/>
          <w:color w:val="auto"/>
          <w:szCs w:val="21"/>
          <w:u w:val="single"/>
        </w:rPr>
        <w:t xml:space="preserve">          </w:t>
      </w:r>
      <w:r>
        <w:rPr>
          <w:rFonts w:ascii="宋体" w:hAnsi="宋体" w:cs="Arial"/>
          <w:color w:val="auto"/>
          <w:szCs w:val="21"/>
        </w:rPr>
        <w:t xml:space="preserve">                  </w:t>
      </w:r>
    </w:p>
    <w:p w14:paraId="271214C8">
      <w:pPr>
        <w:numPr>
          <w:ilvl w:val="1"/>
          <w:numId w:val="72"/>
        </w:numPr>
        <w:tabs>
          <w:tab w:val="left" w:pos="420"/>
          <w:tab w:val="clear" w:pos="840"/>
        </w:tabs>
        <w:spacing w:line="360" w:lineRule="auto"/>
        <w:ind w:left="420"/>
        <w:rPr>
          <w:rFonts w:ascii="宋体" w:hAnsi="宋体" w:cs="Arial"/>
          <w:color w:val="auto"/>
          <w:szCs w:val="21"/>
        </w:rPr>
      </w:pPr>
      <w:r>
        <w:rPr>
          <w:rFonts w:ascii="宋体" w:hAnsi="宋体" w:cs="Arial"/>
          <w:color w:val="auto"/>
          <w:szCs w:val="21"/>
        </w:rPr>
        <w:t>地    址：</w:t>
      </w:r>
      <w:r>
        <w:rPr>
          <w:rFonts w:ascii="宋体" w:hAnsi="宋体" w:cs="Arial"/>
          <w:color w:val="auto"/>
          <w:szCs w:val="21"/>
          <w:u w:val="single"/>
        </w:rPr>
        <w:t xml:space="preserve">                              </w:t>
      </w:r>
      <w:r>
        <w:rPr>
          <w:rFonts w:ascii="宋体" w:hAnsi="宋体" w:cs="Arial"/>
          <w:color w:val="auto"/>
          <w:szCs w:val="21"/>
        </w:rPr>
        <w:t xml:space="preserve">  传    真：</w:t>
      </w:r>
      <w:r>
        <w:rPr>
          <w:rFonts w:ascii="宋体" w:hAnsi="宋体" w:cs="Arial"/>
          <w:color w:val="auto"/>
          <w:szCs w:val="21"/>
          <w:u w:val="single"/>
        </w:rPr>
        <w:t xml:space="preserve">           </w:t>
      </w:r>
      <w:r>
        <w:rPr>
          <w:rFonts w:ascii="宋体" w:hAnsi="宋体" w:cs="Arial"/>
          <w:color w:val="auto"/>
          <w:szCs w:val="21"/>
        </w:rPr>
        <w:t xml:space="preserve">                  </w:t>
      </w:r>
    </w:p>
    <w:p w14:paraId="58D5FD72">
      <w:pPr>
        <w:numPr>
          <w:ilvl w:val="1"/>
          <w:numId w:val="72"/>
        </w:numPr>
        <w:tabs>
          <w:tab w:val="left" w:pos="420"/>
          <w:tab w:val="clear" w:pos="840"/>
        </w:tabs>
        <w:spacing w:line="360" w:lineRule="auto"/>
        <w:ind w:left="420"/>
        <w:rPr>
          <w:rFonts w:ascii="宋体" w:hAnsi="宋体" w:cs="Arial"/>
          <w:color w:val="auto"/>
          <w:szCs w:val="21"/>
          <w:u w:val="single"/>
        </w:rPr>
      </w:pPr>
      <w:r>
        <w:rPr>
          <w:rFonts w:ascii="宋体" w:hAnsi="宋体" w:cs="Arial"/>
          <w:color w:val="auto"/>
          <w:szCs w:val="21"/>
        </w:rPr>
        <w:t>注册资金：</w:t>
      </w:r>
      <w:r>
        <w:rPr>
          <w:rFonts w:ascii="宋体" w:hAnsi="宋体" w:cs="Arial"/>
          <w:color w:val="auto"/>
          <w:szCs w:val="21"/>
          <w:u w:val="single"/>
        </w:rPr>
        <w:t xml:space="preserve">                              </w:t>
      </w:r>
      <w:r>
        <w:rPr>
          <w:rFonts w:ascii="宋体" w:hAnsi="宋体" w:cs="Arial"/>
          <w:color w:val="auto"/>
          <w:szCs w:val="21"/>
        </w:rPr>
        <w:t xml:space="preserve">  经济性质：</w:t>
      </w:r>
      <w:r>
        <w:rPr>
          <w:rFonts w:ascii="宋体" w:hAnsi="宋体" w:cs="Arial"/>
          <w:color w:val="auto"/>
          <w:szCs w:val="21"/>
          <w:u w:val="single"/>
        </w:rPr>
        <w:t xml:space="preserve">          </w:t>
      </w:r>
    </w:p>
    <w:p w14:paraId="408BC3B6">
      <w:pPr>
        <w:numPr>
          <w:ilvl w:val="1"/>
          <w:numId w:val="72"/>
        </w:numPr>
        <w:tabs>
          <w:tab w:val="left" w:pos="420"/>
          <w:tab w:val="clear" w:pos="840"/>
        </w:tabs>
        <w:spacing w:line="360" w:lineRule="auto"/>
        <w:ind w:left="420"/>
        <w:rPr>
          <w:rFonts w:hint="eastAsia" w:ascii="宋体" w:hAnsi="宋体" w:cs="Arial"/>
          <w:color w:val="auto"/>
          <w:szCs w:val="21"/>
        </w:rPr>
      </w:pPr>
      <w:r>
        <w:rPr>
          <w:rFonts w:ascii="宋体" w:hAnsi="宋体" w:cs="Arial"/>
          <w:color w:val="auto"/>
          <w:szCs w:val="21"/>
        </w:rPr>
        <w:t xml:space="preserve">公司开户银行名称及账号：     </w:t>
      </w:r>
    </w:p>
    <w:p w14:paraId="24EA03E1">
      <w:pPr>
        <w:numPr>
          <w:ilvl w:val="1"/>
          <w:numId w:val="72"/>
        </w:numPr>
        <w:tabs>
          <w:tab w:val="left" w:pos="420"/>
          <w:tab w:val="clear" w:pos="840"/>
        </w:tabs>
        <w:spacing w:line="360" w:lineRule="auto"/>
        <w:ind w:left="420"/>
        <w:rPr>
          <w:rFonts w:ascii="宋体" w:hAnsi="宋体" w:cs="Arial"/>
          <w:color w:val="auto"/>
          <w:szCs w:val="21"/>
        </w:rPr>
      </w:pPr>
      <w:r>
        <w:rPr>
          <w:rFonts w:ascii="宋体" w:hAnsi="宋体" w:cs="Arial"/>
          <w:color w:val="auto"/>
          <w:szCs w:val="21"/>
        </w:rPr>
        <w:t xml:space="preserve">营业注册执照号：   </w:t>
      </w:r>
    </w:p>
    <w:p w14:paraId="6D8E884F">
      <w:pPr>
        <w:numPr>
          <w:ilvl w:val="1"/>
          <w:numId w:val="72"/>
        </w:numPr>
        <w:tabs>
          <w:tab w:val="left" w:pos="420"/>
          <w:tab w:val="clear" w:pos="840"/>
        </w:tabs>
        <w:spacing w:line="360" w:lineRule="auto"/>
        <w:ind w:left="420"/>
        <w:rPr>
          <w:rFonts w:ascii="宋体" w:hAnsi="宋体" w:cs="Arial"/>
          <w:color w:val="auto"/>
          <w:szCs w:val="21"/>
        </w:rPr>
      </w:pPr>
      <w:r>
        <w:rPr>
          <w:rFonts w:ascii="宋体" w:hAnsi="宋体" w:cs="Arial"/>
          <w:color w:val="auto"/>
          <w:szCs w:val="21"/>
        </w:rPr>
        <w:t>公司简介</w:t>
      </w:r>
    </w:p>
    <w:p w14:paraId="46FEAAF6">
      <w:pPr>
        <w:spacing w:line="360" w:lineRule="auto"/>
        <w:ind w:left="360"/>
        <w:rPr>
          <w:rFonts w:hint="eastAsia" w:ascii="宋体" w:hAnsi="宋体"/>
          <w:color w:val="auto"/>
        </w:rPr>
      </w:pPr>
      <w:r>
        <w:rPr>
          <w:rFonts w:hint="eastAsia" w:ascii="宋体" w:hAnsi="宋体"/>
          <w:color w:val="auto"/>
        </w:rPr>
        <w:t>文字描述：</w:t>
      </w:r>
      <w:r>
        <w:rPr>
          <w:rFonts w:hint="eastAsia" w:ascii="宋体" w:hAnsi="宋体"/>
          <w:bCs/>
          <w:color w:val="auto"/>
          <w:szCs w:val="21"/>
          <w:lang w:val="en-GB"/>
        </w:rPr>
        <w:t>发展历程、经营规模及服务理念</w:t>
      </w:r>
      <w:r>
        <w:rPr>
          <w:rFonts w:hint="eastAsia" w:ascii="宋体" w:hAnsi="宋体"/>
          <w:color w:val="auto"/>
        </w:rPr>
        <w:t>、技术力量、财务状况、</w:t>
      </w:r>
      <w:r>
        <w:rPr>
          <w:rFonts w:ascii="宋体" w:hAnsi="宋体"/>
          <w:color w:val="auto"/>
        </w:rPr>
        <w:t>管理水平</w:t>
      </w:r>
      <w:r>
        <w:rPr>
          <w:rFonts w:hint="eastAsia" w:ascii="宋体" w:hAnsi="宋体"/>
          <w:color w:val="auto"/>
        </w:rPr>
        <w:t>等方面进行阐述</w:t>
      </w:r>
    </w:p>
    <w:p w14:paraId="527AA3CD">
      <w:pPr>
        <w:spacing w:line="360" w:lineRule="auto"/>
        <w:ind w:left="360"/>
        <w:rPr>
          <w:rFonts w:hint="eastAsia" w:ascii="宋体" w:hAnsi="宋体" w:cs="Arial"/>
          <w:color w:val="auto"/>
          <w:szCs w:val="21"/>
        </w:rPr>
      </w:pPr>
      <w:r>
        <w:rPr>
          <w:rFonts w:hint="eastAsia" w:ascii="宋体" w:hAnsi="宋体"/>
          <w:color w:val="auto"/>
        </w:rPr>
        <w:t>图片描述：</w:t>
      </w:r>
      <w:r>
        <w:rPr>
          <w:rFonts w:hint="eastAsia" w:ascii="宋体" w:hAnsi="宋体"/>
          <w:bCs/>
          <w:color w:val="auto"/>
          <w:szCs w:val="21"/>
          <w:lang w:val="en-GB"/>
        </w:rPr>
        <w:t>经营场所、主要或关键产品介绍、生产场所及工艺流程等。</w:t>
      </w:r>
    </w:p>
    <w:p w14:paraId="01CC35D4">
      <w:pPr>
        <w:numPr>
          <w:ilvl w:val="0"/>
          <w:numId w:val="72"/>
        </w:numPr>
        <w:spacing w:line="360" w:lineRule="auto"/>
        <w:rPr>
          <w:rFonts w:ascii="宋体" w:hAnsi="宋体" w:cs="Arial"/>
          <w:color w:val="auto"/>
          <w:szCs w:val="21"/>
        </w:rPr>
      </w:pPr>
      <w:r>
        <w:rPr>
          <w:rFonts w:ascii="宋体" w:hAnsi="宋体" w:cs="Arial"/>
          <w:color w:val="auto"/>
          <w:szCs w:val="21"/>
        </w:rPr>
        <w:t>投标人获得国家有关部门颁发的资质</w:t>
      </w:r>
      <w:r>
        <w:rPr>
          <w:rFonts w:hint="eastAsia" w:ascii="宋体" w:hAnsi="宋体" w:cs="Arial"/>
          <w:color w:val="auto"/>
          <w:szCs w:val="21"/>
        </w:rPr>
        <w:t>证书和奖项</w:t>
      </w:r>
      <w:r>
        <w:rPr>
          <w:rFonts w:ascii="宋体" w:hAnsi="宋体" w:cs="Arial"/>
          <w:color w:val="auto"/>
          <w:szCs w:val="21"/>
        </w:rPr>
        <w:t>：</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2349"/>
        <w:gridCol w:w="2349"/>
        <w:gridCol w:w="2349"/>
      </w:tblGrid>
      <w:tr w14:paraId="1C34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1250" w:type="pct"/>
            <w:tcBorders>
              <w:top w:val="single" w:color="auto" w:sz="12" w:space="0"/>
              <w:left w:val="single" w:color="auto" w:sz="12" w:space="0"/>
            </w:tcBorders>
            <w:noWrap w:val="0"/>
            <w:vAlign w:val="top"/>
          </w:tcPr>
          <w:p w14:paraId="0DDF8A33">
            <w:pPr>
              <w:spacing w:line="360" w:lineRule="auto"/>
              <w:jc w:val="center"/>
              <w:rPr>
                <w:rFonts w:ascii="宋体" w:hAnsi="宋体" w:cs="Arial"/>
                <w:color w:val="auto"/>
                <w:szCs w:val="21"/>
              </w:rPr>
            </w:pPr>
            <w:r>
              <w:rPr>
                <w:rFonts w:ascii="宋体" w:hAnsi="宋体" w:cs="Arial"/>
                <w:color w:val="auto"/>
                <w:szCs w:val="21"/>
              </w:rPr>
              <w:t xml:space="preserve">  证书名称</w:t>
            </w:r>
          </w:p>
        </w:tc>
        <w:tc>
          <w:tcPr>
            <w:tcW w:w="1250" w:type="pct"/>
            <w:tcBorders>
              <w:top w:val="single" w:color="auto" w:sz="12" w:space="0"/>
            </w:tcBorders>
            <w:noWrap w:val="0"/>
            <w:vAlign w:val="top"/>
          </w:tcPr>
          <w:p w14:paraId="5AE6BD2C">
            <w:pPr>
              <w:spacing w:line="360" w:lineRule="auto"/>
              <w:jc w:val="center"/>
              <w:rPr>
                <w:rFonts w:ascii="宋体" w:hAnsi="宋体" w:cs="Arial"/>
                <w:color w:val="auto"/>
                <w:szCs w:val="21"/>
              </w:rPr>
            </w:pPr>
            <w:r>
              <w:rPr>
                <w:rFonts w:ascii="宋体" w:hAnsi="宋体" w:cs="Arial"/>
                <w:color w:val="auto"/>
                <w:szCs w:val="21"/>
              </w:rPr>
              <w:t>发证单位</w:t>
            </w:r>
          </w:p>
        </w:tc>
        <w:tc>
          <w:tcPr>
            <w:tcW w:w="1250" w:type="pct"/>
            <w:tcBorders>
              <w:top w:val="single" w:color="auto" w:sz="12" w:space="0"/>
            </w:tcBorders>
            <w:noWrap w:val="0"/>
            <w:vAlign w:val="top"/>
          </w:tcPr>
          <w:p w14:paraId="0A9B99A5">
            <w:pPr>
              <w:spacing w:line="360" w:lineRule="auto"/>
              <w:jc w:val="center"/>
              <w:rPr>
                <w:rFonts w:ascii="宋体" w:hAnsi="宋体" w:cs="Arial"/>
                <w:color w:val="auto"/>
                <w:szCs w:val="21"/>
              </w:rPr>
            </w:pPr>
            <w:r>
              <w:rPr>
                <w:rFonts w:ascii="宋体" w:hAnsi="宋体" w:cs="Arial"/>
                <w:color w:val="auto"/>
                <w:szCs w:val="21"/>
              </w:rPr>
              <w:t>证书等级</w:t>
            </w:r>
          </w:p>
        </w:tc>
        <w:tc>
          <w:tcPr>
            <w:tcW w:w="1250" w:type="pct"/>
            <w:tcBorders>
              <w:top w:val="single" w:color="auto" w:sz="12" w:space="0"/>
              <w:right w:val="single" w:color="auto" w:sz="12" w:space="0"/>
            </w:tcBorders>
            <w:noWrap w:val="0"/>
            <w:vAlign w:val="top"/>
          </w:tcPr>
          <w:p w14:paraId="008B8362">
            <w:pPr>
              <w:spacing w:line="360" w:lineRule="auto"/>
              <w:jc w:val="center"/>
              <w:rPr>
                <w:rFonts w:ascii="宋体" w:hAnsi="宋体" w:cs="Arial"/>
                <w:color w:val="auto"/>
                <w:szCs w:val="21"/>
              </w:rPr>
            </w:pPr>
            <w:r>
              <w:rPr>
                <w:rFonts w:ascii="宋体" w:hAnsi="宋体" w:cs="Arial"/>
                <w:color w:val="auto"/>
                <w:szCs w:val="21"/>
              </w:rPr>
              <w:t>证书有效期</w:t>
            </w:r>
          </w:p>
        </w:tc>
      </w:tr>
      <w:tr w14:paraId="74B5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left w:val="single" w:color="auto" w:sz="12" w:space="0"/>
            </w:tcBorders>
            <w:noWrap w:val="0"/>
            <w:vAlign w:val="top"/>
          </w:tcPr>
          <w:p w14:paraId="6FFB951D">
            <w:pPr>
              <w:spacing w:line="360" w:lineRule="auto"/>
              <w:jc w:val="center"/>
              <w:rPr>
                <w:rFonts w:ascii="宋体" w:hAnsi="宋体" w:cs="Arial"/>
                <w:color w:val="auto"/>
                <w:szCs w:val="21"/>
              </w:rPr>
            </w:pPr>
          </w:p>
        </w:tc>
        <w:tc>
          <w:tcPr>
            <w:tcW w:w="1250" w:type="pct"/>
            <w:noWrap w:val="0"/>
            <w:vAlign w:val="top"/>
          </w:tcPr>
          <w:p w14:paraId="7EAD90BC">
            <w:pPr>
              <w:spacing w:line="360" w:lineRule="auto"/>
              <w:jc w:val="center"/>
              <w:rPr>
                <w:rFonts w:ascii="宋体" w:hAnsi="宋体" w:cs="Arial"/>
                <w:color w:val="auto"/>
                <w:szCs w:val="21"/>
              </w:rPr>
            </w:pPr>
          </w:p>
        </w:tc>
        <w:tc>
          <w:tcPr>
            <w:tcW w:w="1250" w:type="pct"/>
            <w:noWrap w:val="0"/>
            <w:vAlign w:val="top"/>
          </w:tcPr>
          <w:p w14:paraId="58327785">
            <w:pPr>
              <w:spacing w:line="360" w:lineRule="auto"/>
              <w:jc w:val="center"/>
              <w:rPr>
                <w:rFonts w:ascii="宋体" w:hAnsi="宋体" w:cs="Arial"/>
                <w:color w:val="auto"/>
                <w:szCs w:val="21"/>
              </w:rPr>
            </w:pPr>
          </w:p>
        </w:tc>
        <w:tc>
          <w:tcPr>
            <w:tcW w:w="1250" w:type="pct"/>
            <w:tcBorders>
              <w:right w:val="single" w:color="auto" w:sz="12" w:space="0"/>
            </w:tcBorders>
            <w:noWrap w:val="0"/>
            <w:vAlign w:val="top"/>
          </w:tcPr>
          <w:p w14:paraId="56882DEC">
            <w:pPr>
              <w:spacing w:line="360" w:lineRule="auto"/>
              <w:jc w:val="center"/>
              <w:rPr>
                <w:rFonts w:ascii="宋体" w:hAnsi="宋体" w:cs="Arial"/>
                <w:color w:val="auto"/>
                <w:szCs w:val="21"/>
              </w:rPr>
            </w:pPr>
          </w:p>
        </w:tc>
      </w:tr>
      <w:tr w14:paraId="0FF1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left w:val="single" w:color="auto" w:sz="12" w:space="0"/>
              <w:bottom w:val="single" w:color="auto" w:sz="12" w:space="0"/>
            </w:tcBorders>
            <w:noWrap w:val="0"/>
            <w:vAlign w:val="top"/>
          </w:tcPr>
          <w:p w14:paraId="4CCBCC29">
            <w:pPr>
              <w:spacing w:line="360" w:lineRule="auto"/>
              <w:jc w:val="center"/>
              <w:rPr>
                <w:rFonts w:ascii="宋体" w:hAnsi="宋体" w:cs="Arial"/>
                <w:color w:val="auto"/>
                <w:szCs w:val="21"/>
              </w:rPr>
            </w:pPr>
          </w:p>
        </w:tc>
        <w:tc>
          <w:tcPr>
            <w:tcW w:w="1250" w:type="pct"/>
            <w:tcBorders>
              <w:bottom w:val="single" w:color="auto" w:sz="12" w:space="0"/>
            </w:tcBorders>
            <w:noWrap w:val="0"/>
            <w:vAlign w:val="top"/>
          </w:tcPr>
          <w:p w14:paraId="037788BE">
            <w:pPr>
              <w:spacing w:line="360" w:lineRule="auto"/>
              <w:jc w:val="center"/>
              <w:rPr>
                <w:rFonts w:ascii="宋体" w:hAnsi="宋体" w:cs="Arial"/>
                <w:color w:val="auto"/>
                <w:szCs w:val="21"/>
              </w:rPr>
            </w:pPr>
          </w:p>
        </w:tc>
        <w:tc>
          <w:tcPr>
            <w:tcW w:w="1250" w:type="pct"/>
            <w:tcBorders>
              <w:bottom w:val="single" w:color="auto" w:sz="12" w:space="0"/>
            </w:tcBorders>
            <w:noWrap w:val="0"/>
            <w:vAlign w:val="top"/>
          </w:tcPr>
          <w:p w14:paraId="2FA15F20">
            <w:pPr>
              <w:spacing w:line="360" w:lineRule="auto"/>
              <w:jc w:val="center"/>
              <w:rPr>
                <w:rFonts w:ascii="宋体" w:hAnsi="宋体" w:cs="Arial"/>
                <w:color w:val="auto"/>
                <w:szCs w:val="21"/>
              </w:rPr>
            </w:pPr>
          </w:p>
        </w:tc>
        <w:tc>
          <w:tcPr>
            <w:tcW w:w="1250" w:type="pct"/>
            <w:tcBorders>
              <w:bottom w:val="single" w:color="auto" w:sz="12" w:space="0"/>
              <w:right w:val="single" w:color="auto" w:sz="12" w:space="0"/>
            </w:tcBorders>
            <w:noWrap w:val="0"/>
            <w:vAlign w:val="top"/>
          </w:tcPr>
          <w:p w14:paraId="1F5C5203">
            <w:pPr>
              <w:spacing w:line="360" w:lineRule="auto"/>
              <w:jc w:val="center"/>
              <w:rPr>
                <w:rFonts w:ascii="宋体" w:hAnsi="宋体" w:cs="Arial"/>
                <w:color w:val="auto"/>
                <w:szCs w:val="21"/>
              </w:rPr>
            </w:pPr>
          </w:p>
        </w:tc>
      </w:tr>
    </w:tbl>
    <w:p w14:paraId="2DC1F52F">
      <w:pPr>
        <w:spacing w:line="360" w:lineRule="auto"/>
        <w:rPr>
          <w:rFonts w:ascii="宋体" w:hAnsi="宋体" w:cs="Arial"/>
          <w:color w:val="auto"/>
          <w:szCs w:val="21"/>
        </w:rPr>
      </w:pPr>
      <w:r>
        <w:rPr>
          <w:rFonts w:ascii="宋体" w:hAnsi="宋体" w:cs="Arial"/>
          <w:color w:val="auto"/>
          <w:szCs w:val="21"/>
        </w:rPr>
        <w:t xml:space="preserve">                                                                                                </w:t>
      </w:r>
    </w:p>
    <w:p w14:paraId="0A092190">
      <w:pPr>
        <w:spacing w:line="360" w:lineRule="auto"/>
        <w:ind w:firstLine="315" w:firstLineChars="150"/>
        <w:rPr>
          <w:rFonts w:hint="eastAsia" w:ascii="宋体" w:hAnsi="宋体" w:cs="Arial"/>
          <w:color w:val="auto"/>
          <w:szCs w:val="21"/>
        </w:rPr>
      </w:pPr>
      <w:bookmarkStart w:id="221" w:name="_Toc43264525"/>
      <w:r>
        <w:rPr>
          <w:rFonts w:ascii="宋体" w:hAnsi="宋体" w:cs="Arial"/>
          <w:color w:val="auto"/>
          <w:szCs w:val="21"/>
        </w:rPr>
        <w:t>我/我们声明以上所述是正确无误的，您有权进行您认为必要的所有调查</w:t>
      </w:r>
      <w:r>
        <w:rPr>
          <w:rFonts w:hint="eastAsia" w:ascii="宋体" w:hAnsi="宋体" w:cs="Arial"/>
          <w:color w:val="auto"/>
          <w:szCs w:val="21"/>
        </w:rPr>
        <w:t>，</w:t>
      </w:r>
      <w:r>
        <w:rPr>
          <w:rFonts w:hint="eastAsia" w:hAnsi="宋体"/>
          <w:color w:val="auto"/>
          <w:szCs w:val="21"/>
          <w:lang w:val="en-GB"/>
        </w:rPr>
        <w:t>如以上数据有虚假，一经查实，自行承担相关责任。</w:t>
      </w:r>
    </w:p>
    <w:p w14:paraId="12647D31">
      <w:pPr>
        <w:spacing w:line="500" w:lineRule="exact"/>
        <w:rPr>
          <w:color w:val="auto"/>
          <w:spacing w:val="4"/>
        </w:rPr>
      </w:pPr>
    </w:p>
    <w:p w14:paraId="032A300B">
      <w:pPr>
        <w:spacing w:line="500" w:lineRule="exact"/>
        <w:rPr>
          <w:rFonts w:hint="eastAsia" w:ascii="宋体" w:hAnsi="宋体"/>
          <w:color w:val="auto"/>
          <w:u w:val="single"/>
        </w:rPr>
      </w:pPr>
      <w:r>
        <w:rPr>
          <w:rFonts w:hint="eastAsia"/>
          <w:color w:val="auto"/>
          <w:spacing w:val="4"/>
        </w:rPr>
        <w:t>投标人名称（盖公章）：</w:t>
      </w:r>
      <w:r>
        <w:rPr>
          <w:rFonts w:hint="eastAsia"/>
          <w:color w:val="auto"/>
          <w:spacing w:val="4"/>
          <w:u w:val="single"/>
        </w:rPr>
        <w:t xml:space="preserve">                             </w:t>
      </w:r>
    </w:p>
    <w:p w14:paraId="485279F8">
      <w:pPr>
        <w:rPr>
          <w:rFonts w:hint="eastAsia"/>
          <w:color w:val="auto"/>
          <w:spacing w:val="4"/>
        </w:rPr>
      </w:pPr>
    </w:p>
    <w:p w14:paraId="4ACD4E78">
      <w:pPr>
        <w:spacing w:line="520" w:lineRule="exact"/>
        <w:rPr>
          <w:rFonts w:hint="eastAsia"/>
          <w:color w:val="auto"/>
          <w:spacing w:val="4"/>
        </w:rPr>
      </w:pPr>
      <w:r>
        <w:rPr>
          <w:rFonts w:hint="eastAsia"/>
          <w:color w:val="auto"/>
          <w:spacing w:val="4"/>
        </w:rPr>
        <w:t>日期</w:t>
      </w:r>
      <w:r>
        <w:rPr>
          <w:color w:val="auto"/>
          <w:spacing w:val="4"/>
          <w:u w:val="single"/>
        </w:rPr>
        <w:t xml:space="preserve">         </w:t>
      </w:r>
    </w:p>
    <w:p w14:paraId="1C87A7BA">
      <w:pPr>
        <w:spacing w:line="360" w:lineRule="auto"/>
        <w:rPr>
          <w:rFonts w:hint="eastAsia" w:ascii="黑体" w:eastAsia="黑体"/>
          <w:b/>
          <w:bCs/>
          <w:color w:val="auto"/>
          <w:sz w:val="28"/>
        </w:rPr>
      </w:pPr>
    </w:p>
    <w:p w14:paraId="3EFEC548">
      <w:pPr>
        <w:spacing w:line="360" w:lineRule="auto"/>
        <w:rPr>
          <w:rFonts w:hint="eastAsia" w:ascii="黑体" w:eastAsia="黑体"/>
          <w:b/>
          <w:bCs/>
          <w:color w:val="auto"/>
          <w:sz w:val="28"/>
        </w:rPr>
      </w:pPr>
    </w:p>
    <w:p w14:paraId="0448E718">
      <w:pPr>
        <w:numPr>
          <w:ilvl w:val="0"/>
          <w:numId w:val="60"/>
        </w:numPr>
        <w:spacing w:line="440" w:lineRule="exact"/>
        <w:rPr>
          <w:rFonts w:hint="eastAsia" w:hAnsi="宋体"/>
          <w:bCs/>
          <w:color w:val="auto"/>
        </w:rPr>
      </w:pPr>
      <w:r>
        <w:rPr>
          <w:rFonts w:ascii="黑体" w:eastAsia="黑体"/>
          <w:b/>
          <w:bCs/>
          <w:color w:val="auto"/>
          <w:sz w:val="28"/>
        </w:rPr>
        <w:br w:type="page"/>
      </w:r>
      <w:bookmarkEnd w:id="216"/>
      <w:bookmarkEnd w:id="217"/>
      <w:bookmarkEnd w:id="221"/>
      <w:r>
        <w:rPr>
          <w:rFonts w:hint="eastAsia" w:ascii="黑体" w:eastAsia="黑体"/>
          <w:bCs/>
          <w:color w:val="auto"/>
          <w:sz w:val="28"/>
        </w:rPr>
        <w:t xml:space="preserve"> </w:t>
      </w:r>
    </w:p>
    <w:p w14:paraId="154B6AEC">
      <w:pPr>
        <w:pStyle w:val="4"/>
        <w:adjustRightInd w:val="0"/>
        <w:snapToGrid w:val="0"/>
        <w:spacing w:before="156" w:beforeLines="50" w:after="156" w:afterLines="50" w:line="360" w:lineRule="auto"/>
        <w:jc w:val="center"/>
        <w:rPr>
          <w:rFonts w:hint="eastAsia"/>
          <w:b w:val="0"/>
          <w:color w:val="auto"/>
          <w:highlight w:val="none"/>
        </w:rPr>
      </w:pPr>
      <w:bookmarkStart w:id="222" w:name="_Toc50736480"/>
      <w:bookmarkStart w:id="223" w:name="_Toc50691042"/>
      <w:bookmarkStart w:id="224" w:name="_Toc52165084"/>
      <w:bookmarkStart w:id="225" w:name="_Toc275865618"/>
      <w:bookmarkStart w:id="226" w:name="_Toc50737300"/>
      <w:bookmarkStart w:id="227" w:name="_Toc50737332"/>
      <w:r>
        <w:rPr>
          <w:rFonts w:hint="eastAsia"/>
          <w:b w:val="0"/>
          <w:color w:val="auto"/>
          <w:highlight w:val="none"/>
        </w:rPr>
        <w:t>拟派项目负责人</w:t>
      </w:r>
      <w:r>
        <w:rPr>
          <w:rFonts w:hint="eastAsia"/>
          <w:b w:val="0"/>
          <w:color w:val="auto"/>
          <w:highlight w:val="none"/>
          <w:lang w:val="en-US" w:eastAsia="zh-CN"/>
        </w:rPr>
        <w:t>及专项服务队伍人员</w:t>
      </w:r>
      <w:r>
        <w:rPr>
          <w:rFonts w:hint="eastAsia"/>
          <w:b w:val="0"/>
          <w:color w:val="auto"/>
          <w:highlight w:val="none"/>
        </w:rPr>
        <w:t>一览表</w:t>
      </w:r>
      <w:bookmarkEnd w:id="222"/>
      <w:bookmarkEnd w:id="223"/>
      <w:bookmarkEnd w:id="224"/>
      <w:bookmarkEnd w:id="225"/>
      <w:bookmarkEnd w:id="226"/>
      <w:bookmarkEnd w:id="227"/>
    </w:p>
    <w:p w14:paraId="50699E47">
      <w:pPr>
        <w:spacing w:after="156" w:afterLines="50"/>
        <w:jc w:val="center"/>
        <w:outlineLvl w:val="2"/>
        <w:rPr>
          <w:rFonts w:hint="eastAsia" w:eastAsia="宋体"/>
          <w:color w:val="auto"/>
          <w:lang w:eastAsia="zh-CN"/>
        </w:rPr>
      </w:pPr>
      <w:r>
        <w:rPr>
          <w:rFonts w:hint="eastAsia" w:ascii="宋体" w:hAnsi="宋体"/>
          <w:color w:val="auto"/>
        </w:rPr>
        <w:t>投标人名称：                                           项目编号：</w:t>
      </w:r>
      <w:r>
        <w:rPr>
          <w:rFonts w:hint="eastAsia" w:ascii="宋体" w:hAnsi="宋体"/>
          <w:color w:val="auto"/>
          <w:lang w:eastAsia="zh-CN"/>
        </w:rPr>
        <w:t xml:space="preserve">JG2025(SS)XZ0008 </w:t>
      </w:r>
    </w:p>
    <w:tbl>
      <w:tblPr>
        <w:tblStyle w:val="1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024"/>
        <w:gridCol w:w="686"/>
        <w:gridCol w:w="711"/>
        <w:gridCol w:w="814"/>
        <w:gridCol w:w="848"/>
        <w:gridCol w:w="848"/>
        <w:gridCol w:w="1060"/>
        <w:gridCol w:w="1455"/>
        <w:gridCol w:w="1378"/>
      </w:tblGrid>
      <w:tr w14:paraId="0F4C7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01" w:type="pct"/>
            <w:tcBorders>
              <w:top w:val="single" w:color="auto" w:sz="12" w:space="0"/>
              <w:bottom w:val="double" w:color="auto" w:sz="4" w:space="0"/>
            </w:tcBorders>
            <w:shd w:val="clear" w:color="auto" w:fill="EEECE1"/>
            <w:noWrap w:val="0"/>
            <w:vAlign w:val="center"/>
          </w:tcPr>
          <w:p w14:paraId="5E79DE31">
            <w:pPr>
              <w:adjustRightInd w:val="0"/>
              <w:snapToGrid w:val="0"/>
              <w:ind w:left="-84" w:leftChars="-40" w:right="-107" w:rightChars="-51"/>
              <w:jc w:val="center"/>
              <w:rPr>
                <w:color w:val="auto"/>
              </w:rPr>
            </w:pPr>
            <w:r>
              <w:rPr>
                <w:rFonts w:hint="eastAsia"/>
                <w:color w:val="auto"/>
              </w:rPr>
              <w:t>序号</w:t>
            </w:r>
          </w:p>
        </w:tc>
        <w:tc>
          <w:tcPr>
            <w:tcW w:w="545" w:type="pct"/>
            <w:tcBorders>
              <w:top w:val="single" w:color="auto" w:sz="12" w:space="0"/>
              <w:bottom w:val="double" w:color="auto" w:sz="4" w:space="0"/>
            </w:tcBorders>
            <w:shd w:val="clear" w:color="auto" w:fill="EEECE1"/>
            <w:noWrap w:val="0"/>
            <w:vAlign w:val="center"/>
          </w:tcPr>
          <w:p w14:paraId="2E6887FF">
            <w:pPr>
              <w:pStyle w:val="34"/>
              <w:keepNext w:val="0"/>
              <w:snapToGrid w:val="0"/>
              <w:spacing w:before="0" w:after="0" w:line="240" w:lineRule="auto"/>
              <w:ind w:left="-84" w:leftChars="-40" w:right="-107" w:rightChars="-51"/>
              <w:textAlignment w:val="auto"/>
              <w:rPr>
                <w:snapToGrid/>
                <w:color w:val="auto"/>
                <w:spacing w:val="0"/>
                <w:kern w:val="2"/>
                <w:sz w:val="21"/>
                <w:szCs w:val="24"/>
                <w:lang w:val="en-US" w:eastAsia="zh-CN"/>
              </w:rPr>
            </w:pPr>
            <w:r>
              <w:rPr>
                <w:rFonts w:hint="eastAsia"/>
                <w:snapToGrid/>
                <w:color w:val="auto"/>
                <w:spacing w:val="0"/>
                <w:kern w:val="2"/>
                <w:sz w:val="21"/>
                <w:szCs w:val="24"/>
                <w:lang w:val="en-US" w:eastAsia="zh-CN"/>
              </w:rPr>
              <w:t>姓名</w:t>
            </w:r>
          </w:p>
        </w:tc>
        <w:tc>
          <w:tcPr>
            <w:tcW w:w="365" w:type="pct"/>
            <w:tcBorders>
              <w:top w:val="single" w:color="auto" w:sz="12" w:space="0"/>
              <w:bottom w:val="double" w:color="auto" w:sz="4" w:space="0"/>
            </w:tcBorders>
            <w:shd w:val="clear" w:color="auto" w:fill="EEECE1"/>
            <w:noWrap w:val="0"/>
            <w:vAlign w:val="center"/>
          </w:tcPr>
          <w:p w14:paraId="2F6C2642">
            <w:pPr>
              <w:adjustRightInd w:val="0"/>
              <w:snapToGrid w:val="0"/>
              <w:ind w:left="-84" w:leftChars="-40" w:right="-107" w:rightChars="-51"/>
              <w:jc w:val="center"/>
              <w:rPr>
                <w:color w:val="auto"/>
              </w:rPr>
            </w:pPr>
            <w:r>
              <w:rPr>
                <w:rFonts w:hint="eastAsia"/>
                <w:color w:val="auto"/>
              </w:rPr>
              <w:t>性别</w:t>
            </w:r>
          </w:p>
        </w:tc>
        <w:tc>
          <w:tcPr>
            <w:tcW w:w="378" w:type="pct"/>
            <w:tcBorders>
              <w:top w:val="single" w:color="auto" w:sz="12" w:space="0"/>
              <w:bottom w:val="double" w:color="auto" w:sz="4" w:space="0"/>
            </w:tcBorders>
            <w:shd w:val="clear" w:color="auto" w:fill="EEECE1"/>
            <w:noWrap w:val="0"/>
            <w:vAlign w:val="center"/>
          </w:tcPr>
          <w:p w14:paraId="28871E37">
            <w:pPr>
              <w:adjustRightInd w:val="0"/>
              <w:snapToGrid w:val="0"/>
              <w:ind w:left="-84" w:leftChars="-40" w:right="-107" w:rightChars="-51"/>
              <w:jc w:val="center"/>
              <w:rPr>
                <w:color w:val="auto"/>
              </w:rPr>
            </w:pPr>
            <w:r>
              <w:rPr>
                <w:rFonts w:hint="eastAsia"/>
                <w:color w:val="auto"/>
              </w:rPr>
              <w:t>年龄</w:t>
            </w:r>
          </w:p>
        </w:tc>
        <w:tc>
          <w:tcPr>
            <w:tcW w:w="433" w:type="pct"/>
            <w:tcBorders>
              <w:top w:val="single" w:color="auto" w:sz="12" w:space="0"/>
              <w:bottom w:val="double" w:color="auto" w:sz="4" w:space="0"/>
            </w:tcBorders>
            <w:shd w:val="clear" w:color="auto" w:fill="EEECE1"/>
            <w:noWrap w:val="0"/>
            <w:vAlign w:val="center"/>
          </w:tcPr>
          <w:p w14:paraId="6538E1BA">
            <w:pPr>
              <w:adjustRightInd w:val="0"/>
              <w:snapToGrid w:val="0"/>
              <w:ind w:left="-84" w:leftChars="-40" w:right="-107" w:rightChars="-51"/>
              <w:jc w:val="center"/>
              <w:rPr>
                <w:color w:val="auto"/>
              </w:rPr>
            </w:pPr>
            <w:r>
              <w:rPr>
                <w:rFonts w:hint="eastAsia"/>
                <w:color w:val="auto"/>
              </w:rPr>
              <w:t>学历</w:t>
            </w:r>
          </w:p>
        </w:tc>
        <w:tc>
          <w:tcPr>
            <w:tcW w:w="451" w:type="pct"/>
            <w:tcBorders>
              <w:top w:val="single" w:color="auto" w:sz="12" w:space="0"/>
              <w:bottom w:val="double" w:color="auto" w:sz="4" w:space="0"/>
            </w:tcBorders>
            <w:shd w:val="clear" w:color="auto" w:fill="EEECE1"/>
            <w:noWrap w:val="0"/>
            <w:vAlign w:val="center"/>
          </w:tcPr>
          <w:p w14:paraId="0A999E79">
            <w:pPr>
              <w:adjustRightInd w:val="0"/>
              <w:snapToGrid w:val="0"/>
              <w:ind w:left="-84" w:leftChars="-40" w:right="-107" w:rightChars="-51"/>
              <w:jc w:val="center"/>
              <w:rPr>
                <w:color w:val="auto"/>
              </w:rPr>
            </w:pPr>
            <w:r>
              <w:rPr>
                <w:rFonts w:hint="eastAsia"/>
                <w:color w:val="auto"/>
              </w:rPr>
              <w:t>职称</w:t>
            </w:r>
          </w:p>
        </w:tc>
        <w:tc>
          <w:tcPr>
            <w:tcW w:w="451" w:type="pct"/>
            <w:tcBorders>
              <w:top w:val="single" w:color="auto" w:sz="12" w:space="0"/>
              <w:bottom w:val="double" w:color="auto" w:sz="4" w:space="0"/>
            </w:tcBorders>
            <w:shd w:val="clear" w:color="auto" w:fill="EEECE1"/>
            <w:noWrap w:val="0"/>
            <w:vAlign w:val="center"/>
          </w:tcPr>
          <w:p w14:paraId="7FBD18B2">
            <w:pPr>
              <w:adjustRightInd w:val="0"/>
              <w:snapToGrid w:val="0"/>
              <w:ind w:left="-84" w:leftChars="-40" w:right="-107" w:rightChars="-51"/>
              <w:jc w:val="center"/>
              <w:rPr>
                <w:color w:val="auto"/>
              </w:rPr>
            </w:pPr>
            <w:r>
              <w:rPr>
                <w:rFonts w:hint="eastAsia"/>
                <w:color w:val="auto"/>
              </w:rPr>
              <w:t>专业</w:t>
            </w:r>
          </w:p>
        </w:tc>
        <w:tc>
          <w:tcPr>
            <w:tcW w:w="564" w:type="pct"/>
            <w:tcBorders>
              <w:top w:val="single" w:color="auto" w:sz="12" w:space="0"/>
              <w:bottom w:val="double" w:color="auto" w:sz="4" w:space="0"/>
            </w:tcBorders>
            <w:shd w:val="clear" w:color="auto" w:fill="EEECE1"/>
            <w:noWrap w:val="0"/>
            <w:vAlign w:val="center"/>
          </w:tcPr>
          <w:p w14:paraId="25091332">
            <w:pPr>
              <w:adjustRightInd w:val="0"/>
              <w:snapToGrid w:val="0"/>
              <w:ind w:left="-84" w:leftChars="-40" w:right="-107" w:rightChars="-51"/>
              <w:jc w:val="center"/>
              <w:rPr>
                <w:color w:val="auto"/>
              </w:rPr>
            </w:pPr>
            <w:r>
              <w:rPr>
                <w:rFonts w:hint="eastAsia"/>
                <w:color w:val="auto"/>
              </w:rPr>
              <w:t>经验年限</w:t>
            </w:r>
          </w:p>
        </w:tc>
        <w:tc>
          <w:tcPr>
            <w:tcW w:w="774" w:type="pct"/>
            <w:tcBorders>
              <w:top w:val="single" w:color="auto" w:sz="12" w:space="0"/>
              <w:bottom w:val="double" w:color="auto" w:sz="4" w:space="0"/>
            </w:tcBorders>
            <w:shd w:val="clear" w:color="auto" w:fill="EEECE1"/>
            <w:noWrap w:val="0"/>
            <w:vAlign w:val="center"/>
          </w:tcPr>
          <w:p w14:paraId="54042829">
            <w:pPr>
              <w:adjustRightInd w:val="0"/>
              <w:snapToGrid w:val="0"/>
              <w:ind w:left="-84" w:leftChars="-40" w:right="-107" w:rightChars="-51"/>
              <w:jc w:val="center"/>
              <w:rPr>
                <w:color w:val="auto"/>
              </w:rPr>
            </w:pPr>
            <w:r>
              <w:rPr>
                <w:rFonts w:hint="eastAsia"/>
                <w:color w:val="auto"/>
              </w:rPr>
              <w:t>拟担任职务或承担工作内容</w:t>
            </w:r>
          </w:p>
        </w:tc>
        <w:tc>
          <w:tcPr>
            <w:tcW w:w="733" w:type="pct"/>
            <w:tcBorders>
              <w:top w:val="single" w:color="auto" w:sz="12" w:space="0"/>
              <w:bottom w:val="double" w:color="auto" w:sz="4" w:space="0"/>
            </w:tcBorders>
            <w:shd w:val="clear" w:color="auto" w:fill="EEECE1"/>
            <w:noWrap w:val="0"/>
            <w:vAlign w:val="top"/>
          </w:tcPr>
          <w:p w14:paraId="4347501A">
            <w:pPr>
              <w:adjustRightInd w:val="0"/>
              <w:snapToGrid w:val="0"/>
              <w:ind w:left="-84" w:leftChars="-40" w:right="-107" w:rightChars="-51"/>
              <w:jc w:val="center"/>
              <w:rPr>
                <w:color w:val="auto"/>
              </w:rPr>
            </w:pPr>
            <w:r>
              <w:rPr>
                <w:rFonts w:hint="eastAsia"/>
                <w:color w:val="auto"/>
              </w:rPr>
              <w:t>查阅/证明文件指引</w:t>
            </w:r>
          </w:p>
        </w:tc>
      </w:tr>
      <w:tr w14:paraId="6BC12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1" w:type="pct"/>
            <w:noWrap w:val="0"/>
            <w:vAlign w:val="center"/>
          </w:tcPr>
          <w:p w14:paraId="1EE092E2">
            <w:pPr>
              <w:numPr>
                <w:ilvl w:val="0"/>
                <w:numId w:val="73"/>
              </w:numPr>
              <w:tabs>
                <w:tab w:val="left" w:pos="142"/>
              </w:tabs>
              <w:jc w:val="center"/>
              <w:rPr>
                <w:rFonts w:ascii="宋体" w:hAnsi="宋体"/>
                <w:color w:val="auto"/>
              </w:rPr>
            </w:pPr>
          </w:p>
        </w:tc>
        <w:tc>
          <w:tcPr>
            <w:tcW w:w="545" w:type="pct"/>
            <w:noWrap w:val="0"/>
            <w:vAlign w:val="center"/>
          </w:tcPr>
          <w:p w14:paraId="09E11668">
            <w:pPr>
              <w:jc w:val="center"/>
              <w:rPr>
                <w:rFonts w:ascii="宋体" w:hAnsi="宋体"/>
                <w:color w:val="auto"/>
              </w:rPr>
            </w:pPr>
          </w:p>
        </w:tc>
        <w:tc>
          <w:tcPr>
            <w:tcW w:w="365" w:type="pct"/>
            <w:noWrap w:val="0"/>
            <w:vAlign w:val="center"/>
          </w:tcPr>
          <w:p w14:paraId="4462362F">
            <w:pPr>
              <w:jc w:val="center"/>
              <w:rPr>
                <w:rFonts w:ascii="宋体" w:hAnsi="宋体"/>
                <w:color w:val="auto"/>
              </w:rPr>
            </w:pPr>
          </w:p>
        </w:tc>
        <w:tc>
          <w:tcPr>
            <w:tcW w:w="378" w:type="pct"/>
            <w:noWrap w:val="0"/>
            <w:vAlign w:val="center"/>
          </w:tcPr>
          <w:p w14:paraId="5751BC21">
            <w:pPr>
              <w:jc w:val="center"/>
              <w:rPr>
                <w:rFonts w:ascii="宋体" w:hAnsi="宋体"/>
                <w:color w:val="auto"/>
              </w:rPr>
            </w:pPr>
          </w:p>
        </w:tc>
        <w:tc>
          <w:tcPr>
            <w:tcW w:w="433" w:type="pct"/>
            <w:noWrap w:val="0"/>
            <w:vAlign w:val="center"/>
          </w:tcPr>
          <w:p w14:paraId="404D3E2D">
            <w:pPr>
              <w:jc w:val="center"/>
              <w:rPr>
                <w:rFonts w:ascii="宋体" w:hAnsi="宋体"/>
                <w:color w:val="auto"/>
              </w:rPr>
            </w:pPr>
          </w:p>
        </w:tc>
        <w:tc>
          <w:tcPr>
            <w:tcW w:w="451" w:type="pct"/>
            <w:noWrap w:val="0"/>
            <w:vAlign w:val="center"/>
          </w:tcPr>
          <w:p w14:paraId="64AE9B96">
            <w:pPr>
              <w:jc w:val="center"/>
              <w:rPr>
                <w:rFonts w:ascii="宋体" w:hAnsi="宋体"/>
                <w:color w:val="auto"/>
              </w:rPr>
            </w:pPr>
          </w:p>
        </w:tc>
        <w:tc>
          <w:tcPr>
            <w:tcW w:w="451" w:type="pct"/>
            <w:noWrap w:val="0"/>
            <w:vAlign w:val="center"/>
          </w:tcPr>
          <w:p w14:paraId="565F6BC1">
            <w:pPr>
              <w:jc w:val="center"/>
              <w:rPr>
                <w:rFonts w:ascii="宋体" w:hAnsi="宋体"/>
                <w:color w:val="auto"/>
              </w:rPr>
            </w:pPr>
          </w:p>
        </w:tc>
        <w:tc>
          <w:tcPr>
            <w:tcW w:w="564" w:type="pct"/>
            <w:noWrap w:val="0"/>
            <w:vAlign w:val="center"/>
          </w:tcPr>
          <w:p w14:paraId="789E5385">
            <w:pPr>
              <w:jc w:val="center"/>
              <w:rPr>
                <w:rFonts w:ascii="宋体" w:hAnsi="宋体"/>
                <w:color w:val="auto"/>
              </w:rPr>
            </w:pPr>
          </w:p>
        </w:tc>
        <w:tc>
          <w:tcPr>
            <w:tcW w:w="774" w:type="pct"/>
            <w:noWrap w:val="0"/>
            <w:vAlign w:val="center"/>
          </w:tcPr>
          <w:p w14:paraId="45D65CE4">
            <w:pPr>
              <w:jc w:val="center"/>
              <w:rPr>
                <w:rFonts w:ascii="宋体" w:hAnsi="宋体"/>
                <w:color w:val="auto"/>
              </w:rPr>
            </w:pPr>
          </w:p>
        </w:tc>
        <w:tc>
          <w:tcPr>
            <w:tcW w:w="733" w:type="pct"/>
            <w:noWrap w:val="0"/>
            <w:vAlign w:val="center"/>
          </w:tcPr>
          <w:p w14:paraId="2656BFE3">
            <w:pPr>
              <w:adjustRightInd w:val="0"/>
              <w:snapToGrid w:val="0"/>
              <w:ind w:left="-84" w:leftChars="-40" w:right="-107" w:rightChars="-51"/>
              <w:jc w:val="center"/>
              <w:rPr>
                <w:rFonts w:ascii="宋体" w:hAnsi="宋体"/>
                <w:color w:val="auto"/>
              </w:rPr>
            </w:pPr>
            <w:r>
              <w:rPr>
                <w:rFonts w:hint="eastAsia"/>
                <w:color w:val="auto"/>
              </w:rPr>
              <w:t>见第</w:t>
            </w:r>
            <w:r>
              <w:rPr>
                <w:rFonts w:hint="eastAsia"/>
                <w:color w:val="auto"/>
                <w:u w:val="single"/>
              </w:rPr>
              <w:t xml:space="preserve">   </w:t>
            </w:r>
            <w:r>
              <w:rPr>
                <w:rFonts w:hint="eastAsia"/>
                <w:color w:val="auto"/>
              </w:rPr>
              <w:t>页</w:t>
            </w:r>
          </w:p>
        </w:tc>
      </w:tr>
      <w:tr w14:paraId="34A35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1" w:type="pct"/>
            <w:noWrap w:val="0"/>
            <w:vAlign w:val="center"/>
          </w:tcPr>
          <w:p w14:paraId="4CA4669A">
            <w:pPr>
              <w:numPr>
                <w:ilvl w:val="0"/>
                <w:numId w:val="73"/>
              </w:numPr>
              <w:tabs>
                <w:tab w:val="left" w:pos="142"/>
              </w:tabs>
              <w:jc w:val="center"/>
              <w:rPr>
                <w:rFonts w:ascii="宋体" w:hAnsi="宋体"/>
                <w:color w:val="auto"/>
              </w:rPr>
            </w:pPr>
          </w:p>
        </w:tc>
        <w:tc>
          <w:tcPr>
            <w:tcW w:w="545" w:type="pct"/>
            <w:noWrap w:val="0"/>
            <w:vAlign w:val="center"/>
          </w:tcPr>
          <w:p w14:paraId="355A28E5">
            <w:pPr>
              <w:jc w:val="center"/>
              <w:rPr>
                <w:rFonts w:ascii="宋体" w:hAnsi="宋体"/>
                <w:color w:val="auto"/>
              </w:rPr>
            </w:pPr>
          </w:p>
        </w:tc>
        <w:tc>
          <w:tcPr>
            <w:tcW w:w="365" w:type="pct"/>
            <w:noWrap w:val="0"/>
            <w:vAlign w:val="center"/>
          </w:tcPr>
          <w:p w14:paraId="6E8E072C">
            <w:pPr>
              <w:jc w:val="center"/>
              <w:rPr>
                <w:rFonts w:ascii="宋体" w:hAnsi="宋体"/>
                <w:color w:val="auto"/>
              </w:rPr>
            </w:pPr>
          </w:p>
        </w:tc>
        <w:tc>
          <w:tcPr>
            <w:tcW w:w="378" w:type="pct"/>
            <w:noWrap w:val="0"/>
            <w:vAlign w:val="center"/>
          </w:tcPr>
          <w:p w14:paraId="3E57BBFA">
            <w:pPr>
              <w:jc w:val="center"/>
              <w:rPr>
                <w:rFonts w:ascii="宋体" w:hAnsi="宋体"/>
                <w:color w:val="auto"/>
              </w:rPr>
            </w:pPr>
          </w:p>
        </w:tc>
        <w:tc>
          <w:tcPr>
            <w:tcW w:w="433" w:type="pct"/>
            <w:noWrap w:val="0"/>
            <w:vAlign w:val="center"/>
          </w:tcPr>
          <w:p w14:paraId="7097D206">
            <w:pPr>
              <w:jc w:val="center"/>
              <w:rPr>
                <w:rFonts w:ascii="宋体" w:hAnsi="宋体"/>
                <w:color w:val="auto"/>
              </w:rPr>
            </w:pPr>
          </w:p>
        </w:tc>
        <w:tc>
          <w:tcPr>
            <w:tcW w:w="451" w:type="pct"/>
            <w:noWrap w:val="0"/>
            <w:vAlign w:val="center"/>
          </w:tcPr>
          <w:p w14:paraId="05394A84">
            <w:pPr>
              <w:jc w:val="center"/>
              <w:rPr>
                <w:rFonts w:ascii="宋体" w:hAnsi="宋体"/>
                <w:color w:val="auto"/>
              </w:rPr>
            </w:pPr>
          </w:p>
        </w:tc>
        <w:tc>
          <w:tcPr>
            <w:tcW w:w="451" w:type="pct"/>
            <w:noWrap w:val="0"/>
            <w:vAlign w:val="center"/>
          </w:tcPr>
          <w:p w14:paraId="5B7C0ECC">
            <w:pPr>
              <w:jc w:val="center"/>
              <w:rPr>
                <w:rFonts w:ascii="宋体" w:hAnsi="宋体"/>
                <w:color w:val="auto"/>
              </w:rPr>
            </w:pPr>
          </w:p>
        </w:tc>
        <w:tc>
          <w:tcPr>
            <w:tcW w:w="564" w:type="pct"/>
            <w:noWrap w:val="0"/>
            <w:vAlign w:val="center"/>
          </w:tcPr>
          <w:p w14:paraId="6757029E">
            <w:pPr>
              <w:jc w:val="center"/>
              <w:rPr>
                <w:rFonts w:ascii="宋体" w:hAnsi="宋体"/>
                <w:color w:val="auto"/>
              </w:rPr>
            </w:pPr>
          </w:p>
        </w:tc>
        <w:tc>
          <w:tcPr>
            <w:tcW w:w="774" w:type="pct"/>
            <w:noWrap w:val="0"/>
            <w:vAlign w:val="center"/>
          </w:tcPr>
          <w:p w14:paraId="03926A9C">
            <w:pPr>
              <w:jc w:val="center"/>
              <w:rPr>
                <w:rFonts w:ascii="宋体" w:hAnsi="宋体"/>
                <w:color w:val="auto"/>
              </w:rPr>
            </w:pPr>
          </w:p>
        </w:tc>
        <w:tc>
          <w:tcPr>
            <w:tcW w:w="733" w:type="pct"/>
            <w:noWrap w:val="0"/>
            <w:vAlign w:val="center"/>
          </w:tcPr>
          <w:p w14:paraId="091E9A34">
            <w:pPr>
              <w:adjustRightInd w:val="0"/>
              <w:snapToGrid w:val="0"/>
              <w:ind w:left="-84" w:leftChars="-40" w:right="-107" w:rightChars="-51"/>
              <w:jc w:val="center"/>
              <w:rPr>
                <w:color w:val="auto"/>
              </w:rPr>
            </w:pPr>
            <w:r>
              <w:rPr>
                <w:rFonts w:hint="eastAsia"/>
                <w:color w:val="auto"/>
              </w:rPr>
              <w:t>见第</w:t>
            </w:r>
            <w:r>
              <w:rPr>
                <w:rFonts w:hint="eastAsia"/>
                <w:color w:val="auto"/>
                <w:u w:val="single"/>
              </w:rPr>
              <w:t xml:space="preserve">   </w:t>
            </w:r>
            <w:r>
              <w:rPr>
                <w:rFonts w:hint="eastAsia"/>
                <w:color w:val="auto"/>
              </w:rPr>
              <w:t>页</w:t>
            </w:r>
          </w:p>
        </w:tc>
      </w:tr>
      <w:tr w14:paraId="716CA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1" w:type="pct"/>
            <w:noWrap w:val="0"/>
            <w:vAlign w:val="center"/>
          </w:tcPr>
          <w:p w14:paraId="7993C79B">
            <w:pPr>
              <w:numPr>
                <w:ilvl w:val="0"/>
                <w:numId w:val="73"/>
              </w:numPr>
              <w:tabs>
                <w:tab w:val="left" w:pos="142"/>
              </w:tabs>
              <w:jc w:val="center"/>
              <w:rPr>
                <w:rFonts w:ascii="宋体" w:hAnsi="宋体"/>
                <w:color w:val="auto"/>
              </w:rPr>
            </w:pPr>
          </w:p>
        </w:tc>
        <w:tc>
          <w:tcPr>
            <w:tcW w:w="545" w:type="pct"/>
            <w:noWrap w:val="0"/>
            <w:vAlign w:val="center"/>
          </w:tcPr>
          <w:p w14:paraId="77992178">
            <w:pPr>
              <w:jc w:val="center"/>
              <w:rPr>
                <w:rFonts w:ascii="宋体" w:hAnsi="宋体"/>
                <w:color w:val="auto"/>
              </w:rPr>
            </w:pPr>
          </w:p>
        </w:tc>
        <w:tc>
          <w:tcPr>
            <w:tcW w:w="365" w:type="pct"/>
            <w:noWrap w:val="0"/>
            <w:vAlign w:val="center"/>
          </w:tcPr>
          <w:p w14:paraId="78C41A29">
            <w:pPr>
              <w:jc w:val="center"/>
              <w:rPr>
                <w:rFonts w:ascii="宋体" w:hAnsi="宋体"/>
                <w:color w:val="auto"/>
              </w:rPr>
            </w:pPr>
          </w:p>
        </w:tc>
        <w:tc>
          <w:tcPr>
            <w:tcW w:w="378" w:type="pct"/>
            <w:noWrap w:val="0"/>
            <w:vAlign w:val="center"/>
          </w:tcPr>
          <w:p w14:paraId="7EADCE08">
            <w:pPr>
              <w:jc w:val="center"/>
              <w:rPr>
                <w:rFonts w:ascii="宋体" w:hAnsi="宋体"/>
                <w:color w:val="auto"/>
              </w:rPr>
            </w:pPr>
          </w:p>
        </w:tc>
        <w:tc>
          <w:tcPr>
            <w:tcW w:w="433" w:type="pct"/>
            <w:noWrap w:val="0"/>
            <w:vAlign w:val="center"/>
          </w:tcPr>
          <w:p w14:paraId="61F0C0C3">
            <w:pPr>
              <w:jc w:val="center"/>
              <w:rPr>
                <w:rFonts w:ascii="宋体" w:hAnsi="宋体"/>
                <w:color w:val="auto"/>
              </w:rPr>
            </w:pPr>
          </w:p>
        </w:tc>
        <w:tc>
          <w:tcPr>
            <w:tcW w:w="451" w:type="pct"/>
            <w:noWrap w:val="0"/>
            <w:vAlign w:val="center"/>
          </w:tcPr>
          <w:p w14:paraId="51CAF76B">
            <w:pPr>
              <w:jc w:val="center"/>
              <w:rPr>
                <w:rFonts w:ascii="宋体" w:hAnsi="宋体"/>
                <w:color w:val="auto"/>
              </w:rPr>
            </w:pPr>
          </w:p>
        </w:tc>
        <w:tc>
          <w:tcPr>
            <w:tcW w:w="451" w:type="pct"/>
            <w:noWrap w:val="0"/>
            <w:vAlign w:val="center"/>
          </w:tcPr>
          <w:p w14:paraId="050CC551">
            <w:pPr>
              <w:jc w:val="center"/>
              <w:rPr>
                <w:rFonts w:ascii="宋体" w:hAnsi="宋体"/>
                <w:color w:val="auto"/>
              </w:rPr>
            </w:pPr>
          </w:p>
        </w:tc>
        <w:tc>
          <w:tcPr>
            <w:tcW w:w="564" w:type="pct"/>
            <w:noWrap w:val="0"/>
            <w:vAlign w:val="center"/>
          </w:tcPr>
          <w:p w14:paraId="159E9897">
            <w:pPr>
              <w:jc w:val="center"/>
              <w:rPr>
                <w:rFonts w:ascii="宋体" w:hAnsi="宋体"/>
                <w:color w:val="auto"/>
              </w:rPr>
            </w:pPr>
          </w:p>
        </w:tc>
        <w:tc>
          <w:tcPr>
            <w:tcW w:w="774" w:type="pct"/>
            <w:noWrap w:val="0"/>
            <w:vAlign w:val="center"/>
          </w:tcPr>
          <w:p w14:paraId="6EBEAC8D">
            <w:pPr>
              <w:jc w:val="center"/>
              <w:rPr>
                <w:rFonts w:ascii="宋体" w:hAnsi="宋体"/>
                <w:color w:val="auto"/>
              </w:rPr>
            </w:pPr>
          </w:p>
        </w:tc>
        <w:tc>
          <w:tcPr>
            <w:tcW w:w="733" w:type="pct"/>
            <w:noWrap w:val="0"/>
            <w:vAlign w:val="center"/>
          </w:tcPr>
          <w:p w14:paraId="4F660334">
            <w:pPr>
              <w:adjustRightInd w:val="0"/>
              <w:snapToGrid w:val="0"/>
              <w:ind w:left="-84" w:leftChars="-40" w:right="-107" w:rightChars="-51"/>
              <w:jc w:val="center"/>
              <w:rPr>
                <w:rFonts w:hint="eastAsia"/>
                <w:color w:val="auto"/>
              </w:rPr>
            </w:pPr>
            <w:r>
              <w:rPr>
                <w:rFonts w:hint="eastAsia"/>
                <w:color w:val="auto"/>
              </w:rPr>
              <w:t>见第</w:t>
            </w:r>
            <w:r>
              <w:rPr>
                <w:rFonts w:hint="eastAsia"/>
                <w:color w:val="auto"/>
                <w:u w:val="single"/>
              </w:rPr>
              <w:t xml:space="preserve">   </w:t>
            </w:r>
            <w:r>
              <w:rPr>
                <w:rFonts w:hint="eastAsia"/>
                <w:color w:val="auto"/>
              </w:rPr>
              <w:t>页</w:t>
            </w:r>
          </w:p>
        </w:tc>
      </w:tr>
      <w:tr w14:paraId="643E8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1" w:type="pct"/>
            <w:noWrap w:val="0"/>
            <w:vAlign w:val="center"/>
          </w:tcPr>
          <w:p w14:paraId="24962212">
            <w:pPr>
              <w:numPr>
                <w:ilvl w:val="0"/>
                <w:numId w:val="73"/>
              </w:numPr>
              <w:tabs>
                <w:tab w:val="left" w:pos="142"/>
              </w:tabs>
              <w:jc w:val="center"/>
              <w:rPr>
                <w:rFonts w:ascii="宋体" w:hAnsi="宋体"/>
                <w:color w:val="auto"/>
              </w:rPr>
            </w:pPr>
          </w:p>
        </w:tc>
        <w:tc>
          <w:tcPr>
            <w:tcW w:w="545" w:type="pct"/>
            <w:noWrap w:val="0"/>
            <w:vAlign w:val="center"/>
          </w:tcPr>
          <w:p w14:paraId="6FA27665">
            <w:pPr>
              <w:jc w:val="center"/>
              <w:rPr>
                <w:rFonts w:ascii="宋体" w:hAnsi="宋体"/>
                <w:color w:val="auto"/>
              </w:rPr>
            </w:pPr>
          </w:p>
        </w:tc>
        <w:tc>
          <w:tcPr>
            <w:tcW w:w="365" w:type="pct"/>
            <w:noWrap w:val="0"/>
            <w:vAlign w:val="center"/>
          </w:tcPr>
          <w:p w14:paraId="208458B2">
            <w:pPr>
              <w:jc w:val="center"/>
              <w:rPr>
                <w:rFonts w:ascii="宋体" w:hAnsi="宋体"/>
                <w:color w:val="auto"/>
              </w:rPr>
            </w:pPr>
          </w:p>
        </w:tc>
        <w:tc>
          <w:tcPr>
            <w:tcW w:w="378" w:type="pct"/>
            <w:noWrap w:val="0"/>
            <w:vAlign w:val="center"/>
          </w:tcPr>
          <w:p w14:paraId="4E546CBE">
            <w:pPr>
              <w:jc w:val="center"/>
              <w:rPr>
                <w:rFonts w:ascii="宋体" w:hAnsi="宋体"/>
                <w:color w:val="auto"/>
              </w:rPr>
            </w:pPr>
          </w:p>
        </w:tc>
        <w:tc>
          <w:tcPr>
            <w:tcW w:w="433" w:type="pct"/>
            <w:noWrap w:val="0"/>
            <w:vAlign w:val="center"/>
          </w:tcPr>
          <w:p w14:paraId="21DDFE65">
            <w:pPr>
              <w:jc w:val="center"/>
              <w:rPr>
                <w:rFonts w:ascii="宋体" w:hAnsi="宋体"/>
                <w:color w:val="auto"/>
              </w:rPr>
            </w:pPr>
          </w:p>
        </w:tc>
        <w:tc>
          <w:tcPr>
            <w:tcW w:w="451" w:type="pct"/>
            <w:noWrap w:val="0"/>
            <w:vAlign w:val="center"/>
          </w:tcPr>
          <w:p w14:paraId="0A9388BF">
            <w:pPr>
              <w:jc w:val="center"/>
              <w:rPr>
                <w:rFonts w:ascii="宋体" w:hAnsi="宋体"/>
                <w:color w:val="auto"/>
              </w:rPr>
            </w:pPr>
          </w:p>
        </w:tc>
        <w:tc>
          <w:tcPr>
            <w:tcW w:w="451" w:type="pct"/>
            <w:noWrap w:val="0"/>
            <w:vAlign w:val="center"/>
          </w:tcPr>
          <w:p w14:paraId="033E488D">
            <w:pPr>
              <w:jc w:val="center"/>
              <w:rPr>
                <w:rFonts w:ascii="宋体" w:hAnsi="宋体"/>
                <w:color w:val="auto"/>
              </w:rPr>
            </w:pPr>
          </w:p>
        </w:tc>
        <w:tc>
          <w:tcPr>
            <w:tcW w:w="564" w:type="pct"/>
            <w:noWrap w:val="0"/>
            <w:vAlign w:val="center"/>
          </w:tcPr>
          <w:p w14:paraId="36C2029C">
            <w:pPr>
              <w:jc w:val="center"/>
              <w:rPr>
                <w:rFonts w:ascii="宋体" w:hAnsi="宋体"/>
                <w:color w:val="auto"/>
              </w:rPr>
            </w:pPr>
          </w:p>
        </w:tc>
        <w:tc>
          <w:tcPr>
            <w:tcW w:w="774" w:type="pct"/>
            <w:noWrap w:val="0"/>
            <w:vAlign w:val="center"/>
          </w:tcPr>
          <w:p w14:paraId="69C0EE5F">
            <w:pPr>
              <w:jc w:val="center"/>
              <w:rPr>
                <w:rFonts w:ascii="宋体" w:hAnsi="宋体"/>
                <w:color w:val="auto"/>
              </w:rPr>
            </w:pPr>
          </w:p>
        </w:tc>
        <w:tc>
          <w:tcPr>
            <w:tcW w:w="733" w:type="pct"/>
            <w:noWrap w:val="0"/>
            <w:vAlign w:val="center"/>
          </w:tcPr>
          <w:p w14:paraId="3B9A8103">
            <w:pPr>
              <w:adjustRightInd w:val="0"/>
              <w:snapToGrid w:val="0"/>
              <w:ind w:left="-84" w:leftChars="-40" w:right="-107" w:rightChars="-51"/>
              <w:jc w:val="center"/>
              <w:rPr>
                <w:rFonts w:hint="eastAsia"/>
                <w:color w:val="auto"/>
              </w:rPr>
            </w:pPr>
            <w:r>
              <w:rPr>
                <w:rFonts w:hint="eastAsia"/>
                <w:color w:val="auto"/>
              </w:rPr>
              <w:t>见第</w:t>
            </w:r>
            <w:r>
              <w:rPr>
                <w:rFonts w:hint="eastAsia"/>
                <w:color w:val="auto"/>
                <w:u w:val="single"/>
              </w:rPr>
              <w:t xml:space="preserve">   </w:t>
            </w:r>
            <w:r>
              <w:rPr>
                <w:rFonts w:hint="eastAsia"/>
                <w:color w:val="auto"/>
              </w:rPr>
              <w:t>页</w:t>
            </w:r>
          </w:p>
        </w:tc>
      </w:tr>
      <w:tr w14:paraId="36C5A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1" w:type="pct"/>
            <w:noWrap w:val="0"/>
            <w:vAlign w:val="center"/>
          </w:tcPr>
          <w:p w14:paraId="712F9AB7">
            <w:pPr>
              <w:numPr>
                <w:ilvl w:val="0"/>
                <w:numId w:val="73"/>
              </w:numPr>
              <w:tabs>
                <w:tab w:val="left" w:pos="142"/>
              </w:tabs>
              <w:jc w:val="center"/>
              <w:rPr>
                <w:rFonts w:ascii="宋体" w:hAnsi="宋体"/>
                <w:color w:val="auto"/>
              </w:rPr>
            </w:pPr>
          </w:p>
        </w:tc>
        <w:tc>
          <w:tcPr>
            <w:tcW w:w="545" w:type="pct"/>
            <w:noWrap w:val="0"/>
            <w:vAlign w:val="center"/>
          </w:tcPr>
          <w:p w14:paraId="4AC9FC3B">
            <w:pPr>
              <w:jc w:val="center"/>
              <w:rPr>
                <w:rFonts w:ascii="宋体" w:hAnsi="宋体"/>
                <w:color w:val="auto"/>
              </w:rPr>
            </w:pPr>
          </w:p>
        </w:tc>
        <w:tc>
          <w:tcPr>
            <w:tcW w:w="365" w:type="pct"/>
            <w:noWrap w:val="0"/>
            <w:vAlign w:val="center"/>
          </w:tcPr>
          <w:p w14:paraId="43AC96DC">
            <w:pPr>
              <w:jc w:val="center"/>
              <w:rPr>
                <w:rFonts w:ascii="宋体" w:hAnsi="宋体"/>
                <w:color w:val="auto"/>
              </w:rPr>
            </w:pPr>
          </w:p>
        </w:tc>
        <w:tc>
          <w:tcPr>
            <w:tcW w:w="378" w:type="pct"/>
            <w:noWrap w:val="0"/>
            <w:vAlign w:val="center"/>
          </w:tcPr>
          <w:p w14:paraId="53010F45">
            <w:pPr>
              <w:jc w:val="center"/>
              <w:rPr>
                <w:rFonts w:ascii="宋体" w:hAnsi="宋体"/>
                <w:color w:val="auto"/>
              </w:rPr>
            </w:pPr>
          </w:p>
        </w:tc>
        <w:tc>
          <w:tcPr>
            <w:tcW w:w="433" w:type="pct"/>
            <w:noWrap w:val="0"/>
            <w:vAlign w:val="center"/>
          </w:tcPr>
          <w:p w14:paraId="7865F63B">
            <w:pPr>
              <w:jc w:val="center"/>
              <w:rPr>
                <w:rFonts w:ascii="宋体" w:hAnsi="宋体"/>
                <w:color w:val="auto"/>
              </w:rPr>
            </w:pPr>
          </w:p>
        </w:tc>
        <w:tc>
          <w:tcPr>
            <w:tcW w:w="451" w:type="pct"/>
            <w:noWrap w:val="0"/>
            <w:vAlign w:val="center"/>
          </w:tcPr>
          <w:p w14:paraId="5722FA33">
            <w:pPr>
              <w:jc w:val="center"/>
              <w:rPr>
                <w:rFonts w:ascii="宋体" w:hAnsi="宋体"/>
                <w:color w:val="auto"/>
              </w:rPr>
            </w:pPr>
          </w:p>
        </w:tc>
        <w:tc>
          <w:tcPr>
            <w:tcW w:w="451" w:type="pct"/>
            <w:noWrap w:val="0"/>
            <w:vAlign w:val="center"/>
          </w:tcPr>
          <w:p w14:paraId="51532003">
            <w:pPr>
              <w:jc w:val="center"/>
              <w:rPr>
                <w:rFonts w:ascii="宋体" w:hAnsi="宋体"/>
                <w:color w:val="auto"/>
              </w:rPr>
            </w:pPr>
          </w:p>
        </w:tc>
        <w:tc>
          <w:tcPr>
            <w:tcW w:w="564" w:type="pct"/>
            <w:noWrap w:val="0"/>
            <w:vAlign w:val="center"/>
          </w:tcPr>
          <w:p w14:paraId="33A12896">
            <w:pPr>
              <w:jc w:val="center"/>
              <w:rPr>
                <w:rFonts w:ascii="宋体" w:hAnsi="宋体"/>
                <w:color w:val="auto"/>
              </w:rPr>
            </w:pPr>
          </w:p>
        </w:tc>
        <w:tc>
          <w:tcPr>
            <w:tcW w:w="774" w:type="pct"/>
            <w:noWrap w:val="0"/>
            <w:vAlign w:val="center"/>
          </w:tcPr>
          <w:p w14:paraId="1ED64662">
            <w:pPr>
              <w:jc w:val="center"/>
              <w:rPr>
                <w:rFonts w:ascii="宋体" w:hAnsi="宋体"/>
                <w:color w:val="auto"/>
              </w:rPr>
            </w:pPr>
          </w:p>
        </w:tc>
        <w:tc>
          <w:tcPr>
            <w:tcW w:w="733" w:type="pct"/>
            <w:noWrap w:val="0"/>
            <w:vAlign w:val="center"/>
          </w:tcPr>
          <w:p w14:paraId="4E6C7910">
            <w:pPr>
              <w:adjustRightInd w:val="0"/>
              <w:snapToGrid w:val="0"/>
              <w:ind w:left="-84" w:leftChars="-40" w:right="-107" w:rightChars="-51"/>
              <w:jc w:val="center"/>
              <w:rPr>
                <w:rFonts w:hint="eastAsia"/>
                <w:color w:val="auto"/>
              </w:rPr>
            </w:pPr>
            <w:r>
              <w:rPr>
                <w:rFonts w:hint="eastAsia"/>
                <w:color w:val="auto"/>
              </w:rPr>
              <w:t>见第</w:t>
            </w:r>
            <w:r>
              <w:rPr>
                <w:rFonts w:hint="eastAsia"/>
                <w:color w:val="auto"/>
                <w:u w:val="single"/>
              </w:rPr>
              <w:t xml:space="preserve">   </w:t>
            </w:r>
            <w:r>
              <w:rPr>
                <w:rFonts w:hint="eastAsia"/>
                <w:color w:val="auto"/>
              </w:rPr>
              <w:t>页</w:t>
            </w:r>
          </w:p>
        </w:tc>
      </w:tr>
      <w:tr w14:paraId="32493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1" w:type="pct"/>
            <w:noWrap w:val="0"/>
            <w:vAlign w:val="center"/>
          </w:tcPr>
          <w:p w14:paraId="432EAABB">
            <w:pPr>
              <w:numPr>
                <w:ilvl w:val="0"/>
                <w:numId w:val="73"/>
              </w:numPr>
              <w:tabs>
                <w:tab w:val="left" w:pos="142"/>
              </w:tabs>
              <w:jc w:val="center"/>
              <w:rPr>
                <w:rFonts w:ascii="宋体" w:hAnsi="宋体"/>
                <w:color w:val="auto"/>
              </w:rPr>
            </w:pPr>
          </w:p>
        </w:tc>
        <w:tc>
          <w:tcPr>
            <w:tcW w:w="545" w:type="pct"/>
            <w:noWrap w:val="0"/>
            <w:vAlign w:val="center"/>
          </w:tcPr>
          <w:p w14:paraId="408FDB45">
            <w:pPr>
              <w:jc w:val="center"/>
              <w:rPr>
                <w:rFonts w:ascii="宋体" w:hAnsi="宋体"/>
                <w:color w:val="auto"/>
              </w:rPr>
            </w:pPr>
          </w:p>
        </w:tc>
        <w:tc>
          <w:tcPr>
            <w:tcW w:w="365" w:type="pct"/>
            <w:noWrap w:val="0"/>
            <w:vAlign w:val="center"/>
          </w:tcPr>
          <w:p w14:paraId="37F0880D">
            <w:pPr>
              <w:jc w:val="center"/>
              <w:rPr>
                <w:rFonts w:ascii="宋体" w:hAnsi="宋体"/>
                <w:color w:val="auto"/>
              </w:rPr>
            </w:pPr>
          </w:p>
        </w:tc>
        <w:tc>
          <w:tcPr>
            <w:tcW w:w="378" w:type="pct"/>
            <w:noWrap w:val="0"/>
            <w:vAlign w:val="center"/>
          </w:tcPr>
          <w:p w14:paraId="4BA65EA5">
            <w:pPr>
              <w:jc w:val="center"/>
              <w:rPr>
                <w:rFonts w:ascii="宋体" w:hAnsi="宋体"/>
                <w:color w:val="auto"/>
              </w:rPr>
            </w:pPr>
          </w:p>
        </w:tc>
        <w:tc>
          <w:tcPr>
            <w:tcW w:w="433" w:type="pct"/>
            <w:noWrap w:val="0"/>
            <w:vAlign w:val="center"/>
          </w:tcPr>
          <w:p w14:paraId="6348C5A4">
            <w:pPr>
              <w:jc w:val="center"/>
              <w:rPr>
                <w:rFonts w:ascii="宋体" w:hAnsi="宋体"/>
                <w:color w:val="auto"/>
              </w:rPr>
            </w:pPr>
          </w:p>
        </w:tc>
        <w:tc>
          <w:tcPr>
            <w:tcW w:w="451" w:type="pct"/>
            <w:noWrap w:val="0"/>
            <w:vAlign w:val="center"/>
          </w:tcPr>
          <w:p w14:paraId="6AE6CC44">
            <w:pPr>
              <w:jc w:val="center"/>
              <w:rPr>
                <w:rFonts w:ascii="宋体" w:hAnsi="宋体"/>
                <w:color w:val="auto"/>
              </w:rPr>
            </w:pPr>
          </w:p>
        </w:tc>
        <w:tc>
          <w:tcPr>
            <w:tcW w:w="451" w:type="pct"/>
            <w:noWrap w:val="0"/>
            <w:vAlign w:val="center"/>
          </w:tcPr>
          <w:p w14:paraId="44655691">
            <w:pPr>
              <w:jc w:val="center"/>
              <w:rPr>
                <w:rFonts w:ascii="宋体" w:hAnsi="宋体"/>
                <w:color w:val="auto"/>
              </w:rPr>
            </w:pPr>
          </w:p>
        </w:tc>
        <w:tc>
          <w:tcPr>
            <w:tcW w:w="564" w:type="pct"/>
            <w:noWrap w:val="0"/>
            <w:vAlign w:val="center"/>
          </w:tcPr>
          <w:p w14:paraId="43D2342F">
            <w:pPr>
              <w:jc w:val="center"/>
              <w:rPr>
                <w:rFonts w:ascii="宋体" w:hAnsi="宋体"/>
                <w:color w:val="auto"/>
              </w:rPr>
            </w:pPr>
          </w:p>
        </w:tc>
        <w:tc>
          <w:tcPr>
            <w:tcW w:w="774" w:type="pct"/>
            <w:noWrap w:val="0"/>
            <w:vAlign w:val="center"/>
          </w:tcPr>
          <w:p w14:paraId="422E83E4">
            <w:pPr>
              <w:jc w:val="center"/>
              <w:rPr>
                <w:rFonts w:ascii="宋体" w:hAnsi="宋体"/>
                <w:color w:val="auto"/>
              </w:rPr>
            </w:pPr>
          </w:p>
        </w:tc>
        <w:tc>
          <w:tcPr>
            <w:tcW w:w="733" w:type="pct"/>
            <w:noWrap w:val="0"/>
            <w:vAlign w:val="center"/>
          </w:tcPr>
          <w:p w14:paraId="1053E577">
            <w:pPr>
              <w:adjustRightInd w:val="0"/>
              <w:snapToGrid w:val="0"/>
              <w:ind w:left="-84" w:leftChars="-40" w:right="-107" w:rightChars="-51"/>
              <w:jc w:val="center"/>
              <w:rPr>
                <w:rFonts w:hint="eastAsia"/>
                <w:color w:val="auto"/>
              </w:rPr>
            </w:pPr>
            <w:r>
              <w:rPr>
                <w:rFonts w:hint="eastAsia"/>
                <w:color w:val="auto"/>
              </w:rPr>
              <w:t>见第</w:t>
            </w:r>
            <w:r>
              <w:rPr>
                <w:rFonts w:hint="eastAsia"/>
                <w:color w:val="auto"/>
                <w:u w:val="single"/>
              </w:rPr>
              <w:t xml:space="preserve">   </w:t>
            </w:r>
            <w:r>
              <w:rPr>
                <w:rFonts w:hint="eastAsia"/>
                <w:color w:val="auto"/>
              </w:rPr>
              <w:t>页</w:t>
            </w:r>
          </w:p>
        </w:tc>
      </w:tr>
      <w:tr w14:paraId="3C5D2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1" w:type="pct"/>
            <w:noWrap w:val="0"/>
            <w:vAlign w:val="center"/>
          </w:tcPr>
          <w:p w14:paraId="06DF990B">
            <w:pPr>
              <w:numPr>
                <w:ilvl w:val="0"/>
                <w:numId w:val="73"/>
              </w:numPr>
              <w:tabs>
                <w:tab w:val="left" w:pos="142"/>
              </w:tabs>
              <w:jc w:val="center"/>
              <w:rPr>
                <w:rFonts w:ascii="宋体" w:hAnsi="宋体"/>
                <w:color w:val="auto"/>
              </w:rPr>
            </w:pPr>
          </w:p>
        </w:tc>
        <w:tc>
          <w:tcPr>
            <w:tcW w:w="545" w:type="pct"/>
            <w:noWrap w:val="0"/>
            <w:vAlign w:val="center"/>
          </w:tcPr>
          <w:p w14:paraId="129ED6A6">
            <w:pPr>
              <w:jc w:val="center"/>
              <w:rPr>
                <w:rFonts w:ascii="宋体" w:hAnsi="宋体"/>
                <w:color w:val="auto"/>
              </w:rPr>
            </w:pPr>
          </w:p>
        </w:tc>
        <w:tc>
          <w:tcPr>
            <w:tcW w:w="365" w:type="pct"/>
            <w:noWrap w:val="0"/>
            <w:vAlign w:val="center"/>
          </w:tcPr>
          <w:p w14:paraId="6F895502">
            <w:pPr>
              <w:jc w:val="center"/>
              <w:rPr>
                <w:rFonts w:ascii="宋体" w:hAnsi="宋体"/>
                <w:color w:val="auto"/>
              </w:rPr>
            </w:pPr>
          </w:p>
        </w:tc>
        <w:tc>
          <w:tcPr>
            <w:tcW w:w="378" w:type="pct"/>
            <w:noWrap w:val="0"/>
            <w:vAlign w:val="center"/>
          </w:tcPr>
          <w:p w14:paraId="514BFC62">
            <w:pPr>
              <w:jc w:val="center"/>
              <w:rPr>
                <w:rFonts w:ascii="宋体" w:hAnsi="宋体"/>
                <w:color w:val="auto"/>
              </w:rPr>
            </w:pPr>
          </w:p>
        </w:tc>
        <w:tc>
          <w:tcPr>
            <w:tcW w:w="433" w:type="pct"/>
            <w:noWrap w:val="0"/>
            <w:vAlign w:val="center"/>
          </w:tcPr>
          <w:p w14:paraId="032AFE35">
            <w:pPr>
              <w:jc w:val="center"/>
              <w:rPr>
                <w:rFonts w:ascii="宋体" w:hAnsi="宋体"/>
                <w:color w:val="auto"/>
              </w:rPr>
            </w:pPr>
          </w:p>
        </w:tc>
        <w:tc>
          <w:tcPr>
            <w:tcW w:w="451" w:type="pct"/>
            <w:noWrap w:val="0"/>
            <w:vAlign w:val="center"/>
          </w:tcPr>
          <w:p w14:paraId="75E1FBE3">
            <w:pPr>
              <w:jc w:val="center"/>
              <w:rPr>
                <w:rFonts w:ascii="宋体" w:hAnsi="宋体"/>
                <w:color w:val="auto"/>
              </w:rPr>
            </w:pPr>
          </w:p>
        </w:tc>
        <w:tc>
          <w:tcPr>
            <w:tcW w:w="451" w:type="pct"/>
            <w:noWrap w:val="0"/>
            <w:vAlign w:val="center"/>
          </w:tcPr>
          <w:p w14:paraId="1275AFFB">
            <w:pPr>
              <w:jc w:val="center"/>
              <w:rPr>
                <w:rFonts w:ascii="宋体" w:hAnsi="宋体"/>
                <w:color w:val="auto"/>
              </w:rPr>
            </w:pPr>
          </w:p>
        </w:tc>
        <w:tc>
          <w:tcPr>
            <w:tcW w:w="564" w:type="pct"/>
            <w:noWrap w:val="0"/>
            <w:vAlign w:val="center"/>
          </w:tcPr>
          <w:p w14:paraId="0198F34F">
            <w:pPr>
              <w:jc w:val="center"/>
              <w:rPr>
                <w:rFonts w:ascii="宋体" w:hAnsi="宋体"/>
                <w:color w:val="auto"/>
              </w:rPr>
            </w:pPr>
          </w:p>
        </w:tc>
        <w:tc>
          <w:tcPr>
            <w:tcW w:w="774" w:type="pct"/>
            <w:noWrap w:val="0"/>
            <w:vAlign w:val="center"/>
          </w:tcPr>
          <w:p w14:paraId="3AC14035">
            <w:pPr>
              <w:jc w:val="center"/>
              <w:rPr>
                <w:rFonts w:ascii="宋体" w:hAnsi="宋体"/>
                <w:color w:val="auto"/>
              </w:rPr>
            </w:pPr>
          </w:p>
        </w:tc>
        <w:tc>
          <w:tcPr>
            <w:tcW w:w="733" w:type="pct"/>
            <w:noWrap w:val="0"/>
            <w:vAlign w:val="center"/>
          </w:tcPr>
          <w:p w14:paraId="4BABE822">
            <w:pPr>
              <w:adjustRightInd w:val="0"/>
              <w:snapToGrid w:val="0"/>
              <w:ind w:left="-84" w:leftChars="-40" w:right="-107" w:rightChars="-51"/>
              <w:jc w:val="center"/>
              <w:rPr>
                <w:rFonts w:hint="eastAsia"/>
                <w:color w:val="auto"/>
              </w:rPr>
            </w:pPr>
            <w:r>
              <w:rPr>
                <w:rFonts w:hint="eastAsia"/>
                <w:color w:val="auto"/>
              </w:rPr>
              <w:t>见第</w:t>
            </w:r>
            <w:r>
              <w:rPr>
                <w:rFonts w:hint="eastAsia"/>
                <w:color w:val="auto"/>
                <w:u w:val="single"/>
              </w:rPr>
              <w:t xml:space="preserve">   </w:t>
            </w:r>
            <w:r>
              <w:rPr>
                <w:rFonts w:hint="eastAsia"/>
                <w:color w:val="auto"/>
              </w:rPr>
              <w:t>页</w:t>
            </w:r>
          </w:p>
        </w:tc>
      </w:tr>
      <w:tr w14:paraId="2884C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1" w:type="pct"/>
            <w:noWrap w:val="0"/>
            <w:vAlign w:val="center"/>
          </w:tcPr>
          <w:p w14:paraId="3F7C2AED">
            <w:pPr>
              <w:numPr>
                <w:ilvl w:val="0"/>
                <w:numId w:val="73"/>
              </w:numPr>
              <w:tabs>
                <w:tab w:val="left" w:pos="142"/>
              </w:tabs>
              <w:jc w:val="center"/>
              <w:rPr>
                <w:rFonts w:ascii="宋体" w:hAnsi="宋体"/>
                <w:color w:val="auto"/>
              </w:rPr>
            </w:pPr>
          </w:p>
        </w:tc>
        <w:tc>
          <w:tcPr>
            <w:tcW w:w="545" w:type="pct"/>
            <w:noWrap w:val="0"/>
            <w:vAlign w:val="center"/>
          </w:tcPr>
          <w:p w14:paraId="13D8ABCF">
            <w:pPr>
              <w:jc w:val="center"/>
              <w:rPr>
                <w:rFonts w:ascii="宋体" w:hAnsi="宋体"/>
                <w:color w:val="auto"/>
              </w:rPr>
            </w:pPr>
          </w:p>
        </w:tc>
        <w:tc>
          <w:tcPr>
            <w:tcW w:w="365" w:type="pct"/>
            <w:noWrap w:val="0"/>
            <w:vAlign w:val="center"/>
          </w:tcPr>
          <w:p w14:paraId="56E6746A">
            <w:pPr>
              <w:jc w:val="center"/>
              <w:rPr>
                <w:rFonts w:ascii="宋体" w:hAnsi="宋体"/>
                <w:color w:val="auto"/>
              </w:rPr>
            </w:pPr>
          </w:p>
        </w:tc>
        <w:tc>
          <w:tcPr>
            <w:tcW w:w="378" w:type="pct"/>
            <w:noWrap w:val="0"/>
            <w:vAlign w:val="center"/>
          </w:tcPr>
          <w:p w14:paraId="7D5C7375">
            <w:pPr>
              <w:jc w:val="center"/>
              <w:rPr>
                <w:rFonts w:ascii="宋体" w:hAnsi="宋体"/>
                <w:color w:val="auto"/>
              </w:rPr>
            </w:pPr>
          </w:p>
        </w:tc>
        <w:tc>
          <w:tcPr>
            <w:tcW w:w="433" w:type="pct"/>
            <w:noWrap w:val="0"/>
            <w:vAlign w:val="center"/>
          </w:tcPr>
          <w:p w14:paraId="4DF01ED5">
            <w:pPr>
              <w:jc w:val="center"/>
              <w:rPr>
                <w:rFonts w:ascii="宋体" w:hAnsi="宋体"/>
                <w:color w:val="auto"/>
              </w:rPr>
            </w:pPr>
          </w:p>
        </w:tc>
        <w:tc>
          <w:tcPr>
            <w:tcW w:w="451" w:type="pct"/>
            <w:noWrap w:val="0"/>
            <w:vAlign w:val="center"/>
          </w:tcPr>
          <w:p w14:paraId="75F226D8">
            <w:pPr>
              <w:jc w:val="center"/>
              <w:rPr>
                <w:rFonts w:ascii="宋体" w:hAnsi="宋体"/>
                <w:color w:val="auto"/>
              </w:rPr>
            </w:pPr>
          </w:p>
        </w:tc>
        <w:tc>
          <w:tcPr>
            <w:tcW w:w="451" w:type="pct"/>
            <w:noWrap w:val="0"/>
            <w:vAlign w:val="center"/>
          </w:tcPr>
          <w:p w14:paraId="5A076ED0">
            <w:pPr>
              <w:jc w:val="center"/>
              <w:rPr>
                <w:rFonts w:ascii="宋体" w:hAnsi="宋体"/>
                <w:color w:val="auto"/>
              </w:rPr>
            </w:pPr>
          </w:p>
        </w:tc>
        <w:tc>
          <w:tcPr>
            <w:tcW w:w="564" w:type="pct"/>
            <w:noWrap w:val="0"/>
            <w:vAlign w:val="center"/>
          </w:tcPr>
          <w:p w14:paraId="50E5CF93">
            <w:pPr>
              <w:jc w:val="center"/>
              <w:rPr>
                <w:rFonts w:ascii="宋体" w:hAnsi="宋体"/>
                <w:color w:val="auto"/>
              </w:rPr>
            </w:pPr>
          </w:p>
        </w:tc>
        <w:tc>
          <w:tcPr>
            <w:tcW w:w="774" w:type="pct"/>
            <w:noWrap w:val="0"/>
            <w:vAlign w:val="center"/>
          </w:tcPr>
          <w:p w14:paraId="5246B47D">
            <w:pPr>
              <w:jc w:val="center"/>
              <w:rPr>
                <w:rFonts w:ascii="宋体" w:hAnsi="宋体"/>
                <w:color w:val="auto"/>
              </w:rPr>
            </w:pPr>
          </w:p>
        </w:tc>
        <w:tc>
          <w:tcPr>
            <w:tcW w:w="733" w:type="pct"/>
            <w:noWrap w:val="0"/>
            <w:vAlign w:val="center"/>
          </w:tcPr>
          <w:p w14:paraId="6A48D2AD">
            <w:pPr>
              <w:adjustRightInd w:val="0"/>
              <w:snapToGrid w:val="0"/>
              <w:ind w:left="-84" w:leftChars="-40" w:right="-107" w:rightChars="-51"/>
              <w:jc w:val="center"/>
              <w:rPr>
                <w:rFonts w:hint="eastAsia"/>
                <w:color w:val="auto"/>
              </w:rPr>
            </w:pPr>
            <w:r>
              <w:rPr>
                <w:rFonts w:hint="eastAsia"/>
                <w:color w:val="auto"/>
              </w:rPr>
              <w:t>见第</w:t>
            </w:r>
            <w:r>
              <w:rPr>
                <w:rFonts w:hint="eastAsia"/>
                <w:color w:val="auto"/>
                <w:u w:val="single"/>
              </w:rPr>
              <w:t xml:space="preserve">   </w:t>
            </w:r>
            <w:r>
              <w:rPr>
                <w:rFonts w:hint="eastAsia"/>
                <w:color w:val="auto"/>
              </w:rPr>
              <w:t>页</w:t>
            </w:r>
          </w:p>
        </w:tc>
      </w:tr>
    </w:tbl>
    <w:p w14:paraId="0D3286A9">
      <w:pPr>
        <w:spacing w:line="500" w:lineRule="exact"/>
        <w:rPr>
          <w:rFonts w:hint="eastAsia"/>
          <w:bCs/>
          <w:color w:val="auto"/>
        </w:rPr>
      </w:pPr>
      <w:r>
        <w:rPr>
          <w:rFonts w:hint="eastAsia"/>
          <w:bCs/>
          <w:color w:val="auto"/>
        </w:rPr>
        <w:t>备注：</w:t>
      </w:r>
    </w:p>
    <w:p w14:paraId="2F4A4105">
      <w:pPr>
        <w:numPr>
          <w:ilvl w:val="0"/>
          <w:numId w:val="74"/>
        </w:numPr>
        <w:spacing w:line="500" w:lineRule="exact"/>
        <w:ind w:left="425" w:leftChars="0" w:hanging="425" w:firstLineChars="0"/>
        <w:rPr>
          <w:rFonts w:hint="eastAsia" w:ascii="宋体" w:hAnsi="宋体" w:eastAsia="宋体" w:cs="宋体"/>
          <w:bCs/>
          <w:color w:val="auto"/>
        </w:rPr>
      </w:pPr>
      <w:r>
        <w:rPr>
          <w:rFonts w:hint="eastAsia" w:ascii="宋体" w:hAnsi="宋体" w:eastAsia="宋体" w:cs="宋体"/>
          <w:color w:val="auto"/>
          <w:szCs w:val="21"/>
        </w:rPr>
        <w:t>根据评分表的要求提交相应资料</w:t>
      </w:r>
      <w:r>
        <w:rPr>
          <w:rFonts w:hint="eastAsia" w:ascii="宋体" w:hAnsi="宋体" w:eastAsia="宋体" w:cs="宋体"/>
          <w:bCs/>
          <w:color w:val="auto"/>
        </w:rPr>
        <w:t xml:space="preserve">。 </w:t>
      </w:r>
    </w:p>
    <w:p w14:paraId="1D5ABE65">
      <w:pPr>
        <w:numPr>
          <w:ilvl w:val="0"/>
          <w:numId w:val="74"/>
        </w:numPr>
        <w:spacing w:line="500" w:lineRule="exact"/>
        <w:ind w:left="425" w:leftChars="0" w:hanging="425" w:firstLineChars="0"/>
        <w:rPr>
          <w:rFonts w:hint="eastAsia" w:ascii="宋体" w:hAnsi="宋体" w:eastAsia="宋体" w:cs="宋体"/>
          <w:color w:val="auto"/>
          <w:spacing w:val="4"/>
          <w:highlight w:val="none"/>
        </w:rPr>
      </w:pPr>
      <w:r>
        <w:rPr>
          <w:rFonts w:hint="eastAsia" w:ascii="宋体" w:hAnsi="宋体" w:eastAsia="宋体" w:cs="宋体"/>
          <w:bCs/>
          <w:color w:val="auto"/>
          <w:highlight w:val="none"/>
        </w:rPr>
        <w:t>如本表格式内容不能满足需要，投标人可根据本表格式自行扩展填写，但必须体现以上内容</w:t>
      </w:r>
      <w:r>
        <w:rPr>
          <w:rFonts w:hint="eastAsia" w:ascii="宋体" w:hAnsi="宋体" w:eastAsia="宋体" w:cs="宋体"/>
          <w:bCs/>
          <w:color w:val="auto"/>
          <w:highlight w:val="none"/>
          <w:lang w:eastAsia="zh-CN"/>
        </w:rPr>
        <w:t>。</w:t>
      </w:r>
    </w:p>
    <w:p w14:paraId="603EE400">
      <w:pPr>
        <w:spacing w:line="500" w:lineRule="exact"/>
        <w:ind w:firstLine="436" w:firstLineChars="200"/>
        <w:rPr>
          <w:rFonts w:hint="eastAsia"/>
          <w:color w:val="auto"/>
          <w:spacing w:val="4"/>
        </w:rPr>
      </w:pPr>
    </w:p>
    <w:p w14:paraId="2980D7AD">
      <w:pPr>
        <w:spacing w:line="500" w:lineRule="exact"/>
        <w:ind w:firstLine="436" w:firstLineChars="200"/>
        <w:rPr>
          <w:rFonts w:hint="eastAsia"/>
          <w:color w:val="auto"/>
          <w:spacing w:val="4"/>
        </w:rPr>
      </w:pPr>
    </w:p>
    <w:p w14:paraId="230EBEE5">
      <w:pPr>
        <w:spacing w:line="500" w:lineRule="exact"/>
        <w:rPr>
          <w:rFonts w:hint="eastAsia" w:ascii="宋体" w:hAnsi="宋体"/>
          <w:color w:val="auto"/>
          <w:u w:val="single"/>
        </w:rPr>
      </w:pPr>
      <w:r>
        <w:rPr>
          <w:rFonts w:hint="eastAsia"/>
          <w:color w:val="auto"/>
          <w:spacing w:val="4"/>
        </w:rPr>
        <w:t>投标人名称（加盖公章）：</w:t>
      </w:r>
      <w:r>
        <w:rPr>
          <w:rFonts w:hint="eastAsia"/>
          <w:color w:val="auto"/>
          <w:spacing w:val="4"/>
          <w:u w:val="single"/>
        </w:rPr>
        <w:t xml:space="preserve">                             </w:t>
      </w:r>
    </w:p>
    <w:p w14:paraId="02BC8F62">
      <w:pPr>
        <w:rPr>
          <w:rFonts w:hint="eastAsia"/>
          <w:color w:val="auto"/>
          <w:spacing w:val="4"/>
        </w:rPr>
      </w:pPr>
    </w:p>
    <w:p w14:paraId="19BA07B6">
      <w:pPr>
        <w:spacing w:line="520" w:lineRule="exact"/>
        <w:rPr>
          <w:rFonts w:hint="eastAsia"/>
          <w:color w:val="auto"/>
          <w:spacing w:val="4"/>
        </w:rPr>
      </w:pPr>
      <w:r>
        <w:rPr>
          <w:rFonts w:hint="eastAsia"/>
          <w:color w:val="auto"/>
          <w:spacing w:val="4"/>
        </w:rPr>
        <w:t>日期</w:t>
      </w:r>
      <w:r>
        <w:rPr>
          <w:color w:val="auto"/>
          <w:spacing w:val="4"/>
          <w:u w:val="single"/>
        </w:rPr>
        <w:t xml:space="preserve">         </w:t>
      </w:r>
    </w:p>
    <w:p w14:paraId="71DA914E">
      <w:pPr>
        <w:rPr>
          <w:rFonts w:hint="eastAsia" w:ascii="黑体" w:hAnsi="宋体" w:eastAsia="黑体" w:cs="黑体"/>
          <w:color w:val="auto"/>
          <w:kern w:val="0"/>
          <w:sz w:val="31"/>
          <w:szCs w:val="31"/>
          <w:highlight w:val="none"/>
          <w:lang w:val="en-US" w:eastAsia="zh-CN" w:bidi="ar"/>
        </w:rPr>
      </w:pPr>
      <w:bookmarkStart w:id="228" w:name="_Toc259022219"/>
      <w:r>
        <w:rPr>
          <w:rFonts w:hint="eastAsia" w:ascii="黑体" w:hAnsi="宋体" w:eastAsia="黑体" w:cs="黑体"/>
          <w:color w:val="auto"/>
          <w:kern w:val="0"/>
          <w:sz w:val="31"/>
          <w:szCs w:val="31"/>
          <w:highlight w:val="none"/>
          <w:lang w:val="en-US" w:eastAsia="zh-CN" w:bidi="ar"/>
        </w:rPr>
        <w:br w:type="page"/>
      </w:r>
    </w:p>
    <w:p w14:paraId="1FC58F64">
      <w:pPr>
        <w:numPr>
          <w:ilvl w:val="0"/>
          <w:numId w:val="60"/>
        </w:numPr>
        <w:spacing w:line="440" w:lineRule="exact"/>
        <w:rPr>
          <w:rFonts w:hint="eastAsia" w:ascii="黑体" w:hAnsi="宋体" w:eastAsia="黑体" w:cs="黑体"/>
          <w:color w:val="auto"/>
          <w:kern w:val="0"/>
          <w:sz w:val="31"/>
          <w:szCs w:val="31"/>
          <w:highlight w:val="none"/>
          <w:lang w:val="en-US" w:eastAsia="zh-CN" w:bidi="ar"/>
        </w:rPr>
      </w:pPr>
    </w:p>
    <w:p w14:paraId="2935953E">
      <w:pPr>
        <w:pStyle w:val="4"/>
        <w:adjustRightInd w:val="0"/>
        <w:snapToGrid w:val="0"/>
        <w:spacing w:before="156" w:beforeLines="50" w:after="156" w:afterLines="50" w:line="360" w:lineRule="auto"/>
        <w:jc w:val="center"/>
        <w:rPr>
          <w:rFonts w:hint="default" w:cs="Times New Roman"/>
          <w:b w:val="0"/>
          <w:color w:val="auto"/>
          <w:highlight w:val="none"/>
          <w:lang w:val="en-US" w:eastAsia="zh-CN"/>
        </w:rPr>
      </w:pPr>
      <w:r>
        <w:rPr>
          <w:rFonts w:hint="eastAsia" w:cs="Times New Roman"/>
          <w:b w:val="0"/>
          <w:color w:val="auto"/>
          <w:highlight w:val="none"/>
          <w:lang w:val="en-US" w:eastAsia="zh-CN"/>
        </w:rPr>
        <w:t>信息化管理一览表</w:t>
      </w:r>
    </w:p>
    <w:p w14:paraId="586C05EF">
      <w:pPr>
        <w:keepNext w:val="0"/>
        <w:keepLines w:val="0"/>
        <w:widowControl/>
        <w:suppressLineNumbers w:val="0"/>
        <w:jc w:val="left"/>
        <w:rPr>
          <w:rFonts w:hint="default"/>
          <w:color w:val="auto"/>
          <w:spacing w:val="4"/>
          <w:sz w:val="21"/>
          <w:szCs w:val="21"/>
          <w:highlight w:val="none"/>
          <w:lang w:val="en-US"/>
        </w:rPr>
      </w:pPr>
      <w:r>
        <w:rPr>
          <w:rFonts w:hint="eastAsia" w:ascii="宋体" w:hAnsi="宋体"/>
          <w:color w:val="auto"/>
          <w:highlight w:val="none"/>
        </w:rPr>
        <w:t>投标人名称</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 xml:space="preserve">                        </w:t>
      </w:r>
      <w:r>
        <w:rPr>
          <w:rFonts w:hint="eastAsia" w:ascii="宋体" w:hAnsi="宋体" w:cs="宋体"/>
          <w:color w:val="auto"/>
          <w:kern w:val="0"/>
          <w:sz w:val="21"/>
          <w:szCs w:val="21"/>
          <w:highlight w:val="none"/>
          <w:lang w:val="en-US" w:eastAsia="zh-CN" w:bidi="ar"/>
        </w:rPr>
        <w:t xml:space="preserve">              项目编号：JG2025(SS)XZ0008 </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2347"/>
        <w:gridCol w:w="2348"/>
        <w:gridCol w:w="2350"/>
      </w:tblGrid>
      <w:tr w14:paraId="54636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49" w:type="pct"/>
            <w:tcBorders>
              <w:tl2br w:val="nil"/>
              <w:tr2bl w:val="nil"/>
            </w:tcBorders>
            <w:noWrap w:val="0"/>
            <w:vAlign w:val="top"/>
          </w:tcPr>
          <w:p w14:paraId="1A595C94">
            <w:pPr>
              <w:keepNext w:val="0"/>
              <w:keepLines w:val="0"/>
              <w:widowControl/>
              <w:numPr>
                <w:ilvl w:val="0"/>
                <w:numId w:val="0"/>
              </w:numPr>
              <w:suppressLineNumbers w:val="0"/>
              <w:spacing w:line="440" w:lineRule="exact"/>
              <w:jc w:val="center"/>
              <w:rPr>
                <w:rFonts w:hint="eastAsia" w:ascii="宋体" w:hAnsi="宋体" w:eastAsia="宋体" w:cs="宋体"/>
                <w:b/>
                <w:bCs w:val="0"/>
                <w:color w:val="auto"/>
                <w:spacing w:val="4"/>
                <w:sz w:val="21"/>
                <w:szCs w:val="21"/>
                <w:highlight w:val="none"/>
                <w:vertAlign w:val="baseline"/>
              </w:rPr>
            </w:pPr>
            <w:r>
              <w:rPr>
                <w:rFonts w:hint="eastAsia" w:ascii="宋体" w:hAnsi="宋体" w:eastAsia="宋体" w:cs="宋体"/>
                <w:b/>
                <w:bCs w:val="0"/>
                <w:color w:val="auto"/>
                <w:kern w:val="0"/>
                <w:sz w:val="21"/>
                <w:szCs w:val="21"/>
                <w:highlight w:val="none"/>
                <w:lang w:val="en-US" w:eastAsia="zh-CN" w:bidi="ar"/>
              </w:rPr>
              <w:t>证书名称</w:t>
            </w:r>
          </w:p>
        </w:tc>
        <w:tc>
          <w:tcPr>
            <w:tcW w:w="1249" w:type="pct"/>
            <w:tcBorders>
              <w:tl2br w:val="nil"/>
              <w:tr2bl w:val="nil"/>
            </w:tcBorders>
            <w:noWrap w:val="0"/>
            <w:vAlign w:val="top"/>
          </w:tcPr>
          <w:p w14:paraId="0B0EC2EB">
            <w:pPr>
              <w:keepNext w:val="0"/>
              <w:keepLines w:val="0"/>
              <w:widowControl/>
              <w:numPr>
                <w:ilvl w:val="0"/>
                <w:numId w:val="0"/>
              </w:numPr>
              <w:suppressLineNumbers w:val="0"/>
              <w:spacing w:line="440" w:lineRule="exact"/>
              <w:jc w:val="center"/>
              <w:rPr>
                <w:rFonts w:hint="eastAsia" w:ascii="宋体" w:hAnsi="宋体" w:eastAsia="宋体" w:cs="宋体"/>
                <w:b/>
                <w:bCs w:val="0"/>
                <w:color w:val="auto"/>
                <w:spacing w:val="4"/>
                <w:sz w:val="21"/>
                <w:szCs w:val="21"/>
                <w:highlight w:val="none"/>
                <w:vertAlign w:val="baseline"/>
                <w:lang w:val="en-US" w:eastAsia="zh-CN"/>
              </w:rPr>
            </w:pPr>
            <w:r>
              <w:rPr>
                <w:rFonts w:hint="eastAsia" w:ascii="宋体" w:hAnsi="宋体" w:eastAsia="宋体" w:cs="宋体"/>
                <w:b/>
                <w:bCs w:val="0"/>
                <w:color w:val="auto"/>
                <w:spacing w:val="4"/>
                <w:sz w:val="21"/>
                <w:szCs w:val="21"/>
                <w:highlight w:val="none"/>
                <w:vertAlign w:val="baseline"/>
                <w:lang w:val="en-US" w:eastAsia="zh-CN"/>
              </w:rPr>
              <w:t>发证</w:t>
            </w:r>
            <w:r>
              <w:rPr>
                <w:rFonts w:hint="eastAsia" w:ascii="宋体" w:hAnsi="宋体" w:cs="宋体"/>
                <w:b/>
                <w:bCs w:val="0"/>
                <w:color w:val="auto"/>
                <w:spacing w:val="4"/>
                <w:sz w:val="21"/>
                <w:szCs w:val="21"/>
                <w:highlight w:val="none"/>
                <w:vertAlign w:val="baseline"/>
                <w:lang w:val="en-US" w:eastAsia="zh-CN"/>
              </w:rPr>
              <w:t>机构</w:t>
            </w:r>
          </w:p>
        </w:tc>
        <w:tc>
          <w:tcPr>
            <w:tcW w:w="1249" w:type="pct"/>
            <w:tcBorders>
              <w:tl2br w:val="nil"/>
              <w:tr2bl w:val="nil"/>
            </w:tcBorders>
            <w:noWrap w:val="0"/>
            <w:vAlign w:val="top"/>
          </w:tcPr>
          <w:p w14:paraId="5F1D7814">
            <w:pPr>
              <w:keepNext w:val="0"/>
              <w:keepLines w:val="0"/>
              <w:widowControl/>
              <w:numPr>
                <w:ilvl w:val="0"/>
                <w:numId w:val="0"/>
              </w:numPr>
              <w:suppressLineNumbers w:val="0"/>
              <w:spacing w:line="440" w:lineRule="exact"/>
              <w:jc w:val="center"/>
              <w:rPr>
                <w:rFonts w:hint="eastAsia" w:ascii="宋体" w:hAnsi="宋体" w:eastAsia="宋体" w:cs="宋体"/>
                <w:b/>
                <w:bCs w:val="0"/>
                <w:color w:val="auto"/>
                <w:spacing w:val="4"/>
                <w:sz w:val="21"/>
                <w:szCs w:val="21"/>
                <w:highlight w:val="none"/>
                <w:vertAlign w:val="baseline"/>
              </w:rPr>
            </w:pPr>
            <w:r>
              <w:rPr>
                <w:rFonts w:hint="eastAsia" w:ascii="宋体" w:hAnsi="宋体" w:eastAsia="宋体" w:cs="宋体"/>
                <w:b/>
                <w:bCs w:val="0"/>
                <w:color w:val="auto"/>
                <w:kern w:val="0"/>
                <w:sz w:val="21"/>
                <w:szCs w:val="21"/>
                <w:highlight w:val="none"/>
                <w:lang w:val="en-US" w:eastAsia="zh-CN" w:bidi="ar"/>
              </w:rPr>
              <w:t>证书</w:t>
            </w:r>
            <w:r>
              <w:rPr>
                <w:rFonts w:hint="eastAsia" w:ascii="宋体" w:hAnsi="宋体" w:cs="宋体"/>
                <w:b/>
                <w:bCs w:val="0"/>
                <w:color w:val="auto"/>
                <w:kern w:val="0"/>
                <w:sz w:val="21"/>
                <w:szCs w:val="21"/>
                <w:highlight w:val="none"/>
                <w:lang w:val="en-US" w:eastAsia="zh-CN" w:bidi="ar"/>
              </w:rPr>
              <w:t>有效</w:t>
            </w:r>
            <w:r>
              <w:rPr>
                <w:rFonts w:hint="eastAsia" w:ascii="宋体" w:hAnsi="宋体" w:eastAsia="宋体" w:cs="宋体"/>
                <w:b/>
                <w:bCs w:val="0"/>
                <w:color w:val="auto"/>
                <w:kern w:val="0"/>
                <w:sz w:val="21"/>
                <w:szCs w:val="21"/>
                <w:highlight w:val="none"/>
                <w:lang w:val="en-US" w:eastAsia="zh-CN" w:bidi="ar"/>
              </w:rPr>
              <w:t>期</w:t>
            </w:r>
          </w:p>
        </w:tc>
        <w:tc>
          <w:tcPr>
            <w:tcW w:w="1250" w:type="pct"/>
            <w:tcBorders>
              <w:tl2br w:val="nil"/>
              <w:tr2bl w:val="nil"/>
            </w:tcBorders>
            <w:noWrap w:val="0"/>
            <w:vAlign w:val="top"/>
          </w:tcPr>
          <w:p w14:paraId="187FBE66">
            <w:pPr>
              <w:keepNext w:val="0"/>
              <w:keepLines w:val="0"/>
              <w:widowControl/>
              <w:numPr>
                <w:ilvl w:val="0"/>
                <w:numId w:val="0"/>
              </w:numPr>
              <w:suppressLineNumbers w:val="0"/>
              <w:spacing w:line="440" w:lineRule="exact"/>
              <w:jc w:val="center"/>
              <w:rPr>
                <w:rFonts w:hint="eastAsia" w:ascii="宋体" w:hAnsi="宋体" w:eastAsia="宋体" w:cs="宋体"/>
                <w:b/>
                <w:bCs w:val="0"/>
                <w:color w:val="auto"/>
                <w:spacing w:val="4"/>
                <w:sz w:val="21"/>
                <w:szCs w:val="21"/>
                <w:highlight w:val="none"/>
                <w:vertAlign w:val="baseline"/>
              </w:rPr>
            </w:pPr>
            <w:r>
              <w:rPr>
                <w:rFonts w:hint="eastAsia" w:ascii="宋体" w:hAnsi="宋体" w:eastAsia="宋体" w:cs="宋体"/>
                <w:b/>
                <w:bCs w:val="0"/>
                <w:color w:val="auto"/>
                <w:spacing w:val="4"/>
                <w:sz w:val="21"/>
                <w:szCs w:val="21"/>
                <w:highlight w:val="none"/>
                <w:vertAlign w:val="baseline"/>
                <w:lang w:val="en-US" w:eastAsia="zh-CN"/>
              </w:rPr>
              <w:t>查</w:t>
            </w:r>
            <w:r>
              <w:rPr>
                <w:rFonts w:hint="eastAsia" w:ascii="宋体" w:hAnsi="宋体" w:eastAsia="宋体" w:cs="宋体"/>
                <w:b/>
                <w:bCs w:val="0"/>
                <w:color w:val="auto"/>
                <w:spacing w:val="4"/>
                <w:sz w:val="21"/>
                <w:szCs w:val="21"/>
                <w:highlight w:val="none"/>
                <w:vertAlign w:val="baseline"/>
              </w:rPr>
              <w:t>阅/证明文件指引</w:t>
            </w:r>
          </w:p>
        </w:tc>
      </w:tr>
      <w:tr w14:paraId="636F4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49" w:type="pct"/>
            <w:tcBorders>
              <w:tl2br w:val="nil"/>
              <w:tr2bl w:val="nil"/>
            </w:tcBorders>
            <w:noWrap w:val="0"/>
            <w:vAlign w:val="top"/>
          </w:tcPr>
          <w:p w14:paraId="7ADC0BA9">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283D8525">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76676FBB">
            <w:pPr>
              <w:numPr>
                <w:ilvl w:val="0"/>
                <w:numId w:val="0"/>
              </w:numPr>
              <w:spacing w:line="440" w:lineRule="exact"/>
              <w:jc w:val="center"/>
              <w:rPr>
                <w:rFonts w:hint="eastAsia"/>
                <w:color w:val="auto"/>
                <w:spacing w:val="4"/>
                <w:highlight w:val="none"/>
                <w:vertAlign w:val="baseline"/>
              </w:rPr>
            </w:pPr>
          </w:p>
        </w:tc>
        <w:tc>
          <w:tcPr>
            <w:tcW w:w="1250" w:type="pct"/>
            <w:tcBorders>
              <w:tl2br w:val="nil"/>
              <w:tr2bl w:val="nil"/>
            </w:tcBorders>
            <w:noWrap w:val="0"/>
            <w:vAlign w:val="center"/>
          </w:tcPr>
          <w:p w14:paraId="6CE0451A">
            <w:pPr>
              <w:adjustRightInd w:val="0"/>
              <w:snapToGrid w:val="0"/>
              <w:ind w:left="-84" w:leftChars="-40" w:right="-107" w:rightChars="-51"/>
              <w:jc w:val="center"/>
              <w:rPr>
                <w:rFonts w:hint="eastAsia"/>
                <w:color w:val="auto"/>
                <w:spacing w:val="4"/>
                <w:highlight w:val="none"/>
                <w:vertAlign w:val="baseline"/>
              </w:rPr>
            </w:pPr>
            <w:r>
              <w:rPr>
                <w:rFonts w:hint="eastAsia"/>
                <w:color w:val="auto"/>
                <w:highlight w:val="none"/>
              </w:rPr>
              <w:t>见第</w:t>
            </w:r>
            <w:r>
              <w:rPr>
                <w:rFonts w:hint="eastAsia"/>
                <w:color w:val="auto"/>
                <w:highlight w:val="none"/>
                <w:u w:val="single"/>
              </w:rPr>
              <w:t xml:space="preserve">   </w:t>
            </w:r>
            <w:r>
              <w:rPr>
                <w:rFonts w:hint="eastAsia"/>
                <w:color w:val="auto"/>
                <w:highlight w:val="none"/>
              </w:rPr>
              <w:t>页</w:t>
            </w:r>
          </w:p>
        </w:tc>
      </w:tr>
      <w:tr w14:paraId="1CCF2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49" w:type="pct"/>
            <w:tcBorders>
              <w:tl2br w:val="nil"/>
              <w:tr2bl w:val="nil"/>
            </w:tcBorders>
            <w:noWrap w:val="0"/>
            <w:vAlign w:val="top"/>
          </w:tcPr>
          <w:p w14:paraId="7A0B46B2">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28DE91B8">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1412489A">
            <w:pPr>
              <w:numPr>
                <w:ilvl w:val="0"/>
                <w:numId w:val="0"/>
              </w:numPr>
              <w:spacing w:line="440" w:lineRule="exact"/>
              <w:jc w:val="center"/>
              <w:rPr>
                <w:rFonts w:hint="eastAsia"/>
                <w:color w:val="auto"/>
                <w:spacing w:val="4"/>
                <w:highlight w:val="none"/>
                <w:vertAlign w:val="baseline"/>
              </w:rPr>
            </w:pPr>
          </w:p>
        </w:tc>
        <w:tc>
          <w:tcPr>
            <w:tcW w:w="1250" w:type="pct"/>
            <w:tcBorders>
              <w:tl2br w:val="nil"/>
              <w:tr2bl w:val="nil"/>
            </w:tcBorders>
            <w:noWrap w:val="0"/>
            <w:vAlign w:val="center"/>
          </w:tcPr>
          <w:p w14:paraId="5EBB2A7E">
            <w:pPr>
              <w:adjustRightInd w:val="0"/>
              <w:snapToGrid w:val="0"/>
              <w:ind w:left="-84" w:leftChars="-40" w:right="-107" w:rightChars="-51"/>
              <w:jc w:val="center"/>
              <w:rPr>
                <w:rFonts w:hint="eastAsia"/>
                <w:color w:val="auto"/>
                <w:spacing w:val="4"/>
                <w:highlight w:val="none"/>
                <w:vertAlign w:val="baseline"/>
              </w:rPr>
            </w:pPr>
            <w:r>
              <w:rPr>
                <w:rFonts w:hint="eastAsia"/>
                <w:color w:val="auto"/>
                <w:highlight w:val="none"/>
              </w:rPr>
              <w:t>见第</w:t>
            </w:r>
            <w:r>
              <w:rPr>
                <w:rFonts w:hint="eastAsia"/>
                <w:color w:val="auto"/>
                <w:highlight w:val="none"/>
                <w:u w:val="single"/>
              </w:rPr>
              <w:t xml:space="preserve">   </w:t>
            </w:r>
            <w:r>
              <w:rPr>
                <w:rFonts w:hint="eastAsia"/>
                <w:color w:val="auto"/>
                <w:highlight w:val="none"/>
              </w:rPr>
              <w:t>页</w:t>
            </w:r>
          </w:p>
        </w:tc>
      </w:tr>
      <w:tr w14:paraId="39F6C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49" w:type="pct"/>
            <w:tcBorders>
              <w:tl2br w:val="nil"/>
              <w:tr2bl w:val="nil"/>
            </w:tcBorders>
            <w:noWrap w:val="0"/>
            <w:vAlign w:val="top"/>
          </w:tcPr>
          <w:p w14:paraId="4627A361">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4D034E52">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72B02C62">
            <w:pPr>
              <w:numPr>
                <w:ilvl w:val="0"/>
                <w:numId w:val="0"/>
              </w:numPr>
              <w:spacing w:line="440" w:lineRule="exact"/>
              <w:jc w:val="center"/>
              <w:rPr>
                <w:rFonts w:hint="eastAsia"/>
                <w:color w:val="auto"/>
                <w:spacing w:val="4"/>
                <w:highlight w:val="none"/>
                <w:vertAlign w:val="baseline"/>
              </w:rPr>
            </w:pPr>
          </w:p>
        </w:tc>
        <w:tc>
          <w:tcPr>
            <w:tcW w:w="1250" w:type="pct"/>
            <w:tcBorders>
              <w:tl2br w:val="nil"/>
              <w:tr2bl w:val="nil"/>
            </w:tcBorders>
            <w:noWrap w:val="0"/>
            <w:vAlign w:val="center"/>
          </w:tcPr>
          <w:p w14:paraId="17ABA966">
            <w:pPr>
              <w:adjustRightInd w:val="0"/>
              <w:snapToGrid w:val="0"/>
              <w:ind w:left="-84" w:leftChars="-40" w:right="-107" w:rightChars="-51"/>
              <w:jc w:val="center"/>
              <w:rPr>
                <w:rFonts w:hint="eastAsia"/>
                <w:color w:val="auto"/>
                <w:spacing w:val="4"/>
                <w:highlight w:val="none"/>
                <w:vertAlign w:val="baseline"/>
              </w:rPr>
            </w:pPr>
            <w:r>
              <w:rPr>
                <w:rFonts w:hint="eastAsia"/>
                <w:color w:val="auto"/>
                <w:highlight w:val="none"/>
              </w:rPr>
              <w:t>见第</w:t>
            </w:r>
            <w:r>
              <w:rPr>
                <w:rFonts w:hint="eastAsia"/>
                <w:color w:val="auto"/>
                <w:highlight w:val="none"/>
                <w:u w:val="single"/>
              </w:rPr>
              <w:t xml:space="preserve">   </w:t>
            </w:r>
            <w:r>
              <w:rPr>
                <w:rFonts w:hint="eastAsia"/>
                <w:color w:val="auto"/>
                <w:highlight w:val="none"/>
              </w:rPr>
              <w:t>页</w:t>
            </w:r>
          </w:p>
        </w:tc>
      </w:tr>
      <w:tr w14:paraId="762F3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49" w:type="pct"/>
            <w:tcBorders>
              <w:tl2br w:val="nil"/>
              <w:tr2bl w:val="nil"/>
            </w:tcBorders>
            <w:noWrap w:val="0"/>
            <w:vAlign w:val="top"/>
          </w:tcPr>
          <w:p w14:paraId="5F56DD8A">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6D1D2EE1">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74030BAD">
            <w:pPr>
              <w:numPr>
                <w:ilvl w:val="0"/>
                <w:numId w:val="0"/>
              </w:numPr>
              <w:spacing w:line="440" w:lineRule="exact"/>
              <w:jc w:val="center"/>
              <w:rPr>
                <w:rFonts w:hint="eastAsia"/>
                <w:color w:val="auto"/>
                <w:spacing w:val="4"/>
                <w:highlight w:val="none"/>
                <w:vertAlign w:val="baseline"/>
              </w:rPr>
            </w:pPr>
          </w:p>
        </w:tc>
        <w:tc>
          <w:tcPr>
            <w:tcW w:w="1250" w:type="pct"/>
            <w:tcBorders>
              <w:tl2br w:val="nil"/>
              <w:tr2bl w:val="nil"/>
            </w:tcBorders>
            <w:noWrap w:val="0"/>
            <w:vAlign w:val="center"/>
          </w:tcPr>
          <w:p w14:paraId="5D7296A0">
            <w:pPr>
              <w:adjustRightInd w:val="0"/>
              <w:snapToGrid w:val="0"/>
              <w:ind w:left="-84" w:leftChars="-40" w:right="-107" w:rightChars="-51"/>
              <w:jc w:val="center"/>
              <w:rPr>
                <w:rFonts w:hint="eastAsia"/>
                <w:color w:val="auto"/>
                <w:spacing w:val="4"/>
                <w:highlight w:val="none"/>
                <w:vertAlign w:val="baseline"/>
              </w:rPr>
            </w:pPr>
            <w:r>
              <w:rPr>
                <w:rFonts w:hint="eastAsia"/>
                <w:color w:val="auto"/>
                <w:highlight w:val="none"/>
              </w:rPr>
              <w:t>见第</w:t>
            </w:r>
            <w:r>
              <w:rPr>
                <w:rFonts w:hint="eastAsia"/>
                <w:color w:val="auto"/>
                <w:highlight w:val="none"/>
                <w:u w:val="single"/>
              </w:rPr>
              <w:t xml:space="preserve">   </w:t>
            </w:r>
            <w:r>
              <w:rPr>
                <w:rFonts w:hint="eastAsia"/>
                <w:color w:val="auto"/>
                <w:highlight w:val="none"/>
              </w:rPr>
              <w:t>页</w:t>
            </w:r>
          </w:p>
        </w:tc>
      </w:tr>
    </w:tbl>
    <w:p w14:paraId="5710EB82">
      <w:pPr>
        <w:numPr>
          <w:ilvl w:val="0"/>
          <w:numId w:val="0"/>
        </w:numPr>
        <w:spacing w:line="440" w:lineRule="exact"/>
        <w:ind w:leftChars="0"/>
        <w:rPr>
          <w:rFonts w:hint="eastAsia"/>
          <w:color w:val="auto"/>
          <w:spacing w:val="4"/>
          <w:highlight w:val="none"/>
          <w:lang w:val="en-US" w:eastAsia="zh-CN"/>
        </w:rPr>
      </w:pPr>
      <w:r>
        <w:rPr>
          <w:rFonts w:hint="eastAsia"/>
          <w:color w:val="auto"/>
          <w:spacing w:val="4"/>
          <w:highlight w:val="none"/>
          <w:lang w:val="en-US" w:eastAsia="zh-CN"/>
        </w:rPr>
        <w:t>备注：</w:t>
      </w:r>
    </w:p>
    <w:p w14:paraId="4DDEA3ED">
      <w:pPr>
        <w:numPr>
          <w:ilvl w:val="0"/>
          <w:numId w:val="75"/>
        </w:numPr>
        <w:spacing w:line="440" w:lineRule="exact"/>
        <w:ind w:left="425" w:leftChars="0" w:hanging="425" w:firstLineChars="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根据评分表的要求提交相应资料。 </w:t>
      </w:r>
    </w:p>
    <w:p w14:paraId="2DB75CAA">
      <w:pPr>
        <w:numPr>
          <w:ilvl w:val="0"/>
          <w:numId w:val="75"/>
        </w:numPr>
        <w:spacing w:line="440" w:lineRule="exact"/>
        <w:ind w:left="425" w:leftChars="0" w:hanging="425" w:firstLineChars="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如本表格式内容不能满足需要，投标人可根据本表格式自行扩展填写，但必须体现以上内容。</w:t>
      </w:r>
    </w:p>
    <w:p w14:paraId="5078162C">
      <w:pPr>
        <w:numPr>
          <w:ilvl w:val="0"/>
          <w:numId w:val="0"/>
        </w:numPr>
        <w:spacing w:line="440" w:lineRule="exact"/>
        <w:ind w:leftChars="0"/>
        <w:rPr>
          <w:rFonts w:hint="eastAsia"/>
          <w:color w:val="auto"/>
          <w:spacing w:val="4"/>
          <w:highlight w:val="none"/>
        </w:rPr>
      </w:pPr>
    </w:p>
    <w:p w14:paraId="59910EA2">
      <w:pPr>
        <w:spacing w:line="500" w:lineRule="exact"/>
        <w:rPr>
          <w:rFonts w:hint="eastAsia" w:ascii="宋体" w:hAnsi="宋体"/>
          <w:color w:val="auto"/>
          <w:highlight w:val="none"/>
          <w:u w:val="single"/>
        </w:rPr>
      </w:pPr>
      <w:r>
        <w:rPr>
          <w:rFonts w:hint="eastAsia"/>
          <w:color w:val="auto"/>
          <w:spacing w:val="4"/>
          <w:highlight w:val="none"/>
        </w:rPr>
        <w:t>投标人名称（加盖公章）：</w:t>
      </w:r>
      <w:r>
        <w:rPr>
          <w:rFonts w:hint="eastAsia"/>
          <w:color w:val="auto"/>
          <w:spacing w:val="4"/>
          <w:highlight w:val="none"/>
          <w:u w:val="single"/>
        </w:rPr>
        <w:t xml:space="preserve">                             </w:t>
      </w:r>
    </w:p>
    <w:p w14:paraId="4AC5E116">
      <w:pPr>
        <w:rPr>
          <w:rFonts w:hint="eastAsia"/>
          <w:color w:val="auto"/>
          <w:spacing w:val="4"/>
          <w:highlight w:val="none"/>
        </w:rPr>
      </w:pPr>
    </w:p>
    <w:p w14:paraId="16ED487F">
      <w:pPr>
        <w:spacing w:line="520" w:lineRule="exact"/>
        <w:rPr>
          <w:rFonts w:hint="eastAsia"/>
          <w:color w:val="auto"/>
          <w:spacing w:val="4"/>
          <w:highlight w:val="none"/>
        </w:rPr>
      </w:pPr>
      <w:r>
        <w:rPr>
          <w:rFonts w:hint="eastAsia"/>
          <w:color w:val="auto"/>
          <w:spacing w:val="4"/>
          <w:highlight w:val="none"/>
        </w:rPr>
        <w:t>日期</w:t>
      </w:r>
      <w:r>
        <w:rPr>
          <w:rFonts w:hint="eastAsia"/>
          <w:color w:val="auto"/>
          <w:spacing w:val="4"/>
          <w:highlight w:val="none"/>
          <w:lang w:eastAsia="zh-CN"/>
        </w:rPr>
        <w:t>：</w:t>
      </w:r>
      <w:r>
        <w:rPr>
          <w:color w:val="auto"/>
          <w:spacing w:val="4"/>
          <w:highlight w:val="none"/>
          <w:u w:val="single"/>
        </w:rPr>
        <w:t xml:space="preserve">         </w:t>
      </w:r>
    </w:p>
    <w:p w14:paraId="0AC8554A">
      <w:pPr>
        <w:rPr>
          <w:rFonts w:hint="eastAsia" w:ascii="黑体" w:hAnsi="宋体" w:eastAsia="黑体" w:cs="黑体"/>
          <w:color w:val="auto"/>
          <w:kern w:val="0"/>
          <w:sz w:val="31"/>
          <w:szCs w:val="31"/>
          <w:highlight w:val="none"/>
          <w:lang w:val="en-US" w:eastAsia="zh-CN" w:bidi="ar"/>
        </w:rPr>
      </w:pPr>
      <w:r>
        <w:rPr>
          <w:rFonts w:hint="eastAsia" w:ascii="黑体" w:hAnsi="宋体" w:eastAsia="黑体" w:cs="黑体"/>
          <w:color w:val="auto"/>
          <w:kern w:val="0"/>
          <w:sz w:val="31"/>
          <w:szCs w:val="31"/>
          <w:highlight w:val="none"/>
          <w:lang w:val="en-US" w:eastAsia="zh-CN" w:bidi="ar"/>
        </w:rPr>
        <w:br w:type="page"/>
      </w:r>
    </w:p>
    <w:p w14:paraId="3F33D139">
      <w:pPr>
        <w:numPr>
          <w:ilvl w:val="0"/>
          <w:numId w:val="60"/>
        </w:numPr>
        <w:spacing w:line="440" w:lineRule="exact"/>
        <w:rPr>
          <w:rFonts w:hint="eastAsia" w:ascii="黑体" w:hAnsi="宋体" w:eastAsia="黑体" w:cs="黑体"/>
          <w:color w:val="auto"/>
          <w:kern w:val="0"/>
          <w:sz w:val="31"/>
          <w:szCs w:val="31"/>
          <w:highlight w:val="none"/>
          <w:lang w:val="en-US" w:eastAsia="zh-CN" w:bidi="ar"/>
        </w:rPr>
      </w:pPr>
    </w:p>
    <w:p w14:paraId="45FD6202">
      <w:pPr>
        <w:pStyle w:val="4"/>
        <w:adjustRightInd w:val="0"/>
        <w:snapToGrid w:val="0"/>
        <w:spacing w:before="156" w:beforeLines="50" w:after="156" w:afterLines="50" w:line="360" w:lineRule="auto"/>
        <w:jc w:val="center"/>
        <w:rPr>
          <w:rFonts w:hint="eastAsia" w:cs="Times New Roman"/>
          <w:b w:val="0"/>
          <w:color w:val="auto"/>
          <w:highlight w:val="none"/>
          <w:lang w:val="en-US" w:eastAsia="zh-CN"/>
        </w:rPr>
      </w:pPr>
      <w:r>
        <w:rPr>
          <w:rFonts w:hint="eastAsia" w:cs="Times New Roman"/>
          <w:b w:val="0"/>
          <w:color w:val="auto"/>
          <w:highlight w:val="none"/>
          <w:lang w:val="en-US" w:eastAsia="zh-CN"/>
        </w:rPr>
        <w:t>企业认证一览表</w:t>
      </w:r>
    </w:p>
    <w:p w14:paraId="4501240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5FE7230">
      <w:pPr>
        <w:keepNext w:val="0"/>
        <w:keepLines w:val="0"/>
        <w:widowControl/>
        <w:suppressLineNumbers w:val="0"/>
        <w:jc w:val="left"/>
        <w:rPr>
          <w:rFonts w:hint="default"/>
          <w:color w:val="auto"/>
          <w:spacing w:val="4"/>
          <w:sz w:val="21"/>
          <w:szCs w:val="21"/>
          <w:highlight w:val="none"/>
          <w:lang w:val="en-US"/>
        </w:rPr>
      </w:pPr>
      <w:r>
        <w:rPr>
          <w:rFonts w:hint="eastAsia" w:ascii="宋体" w:hAnsi="宋体"/>
          <w:color w:val="auto"/>
          <w:highlight w:val="none"/>
        </w:rPr>
        <w:t>投标人名称</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 xml:space="preserve">                        </w:t>
      </w:r>
      <w:r>
        <w:rPr>
          <w:rFonts w:hint="eastAsia" w:ascii="宋体" w:hAnsi="宋体" w:cs="宋体"/>
          <w:color w:val="auto"/>
          <w:kern w:val="0"/>
          <w:sz w:val="21"/>
          <w:szCs w:val="21"/>
          <w:highlight w:val="none"/>
          <w:lang w:val="en-US" w:eastAsia="zh-CN" w:bidi="ar"/>
        </w:rPr>
        <w:t xml:space="preserve">              项目编号：JG2025(SS)XZ0008 </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2347"/>
        <w:gridCol w:w="2348"/>
        <w:gridCol w:w="2350"/>
      </w:tblGrid>
      <w:tr w14:paraId="3A08A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49" w:type="pct"/>
            <w:tcBorders>
              <w:tl2br w:val="nil"/>
              <w:tr2bl w:val="nil"/>
            </w:tcBorders>
            <w:noWrap w:val="0"/>
            <w:vAlign w:val="top"/>
          </w:tcPr>
          <w:p w14:paraId="64868BBE">
            <w:pPr>
              <w:keepNext w:val="0"/>
              <w:keepLines w:val="0"/>
              <w:widowControl/>
              <w:numPr>
                <w:ilvl w:val="0"/>
                <w:numId w:val="0"/>
              </w:numPr>
              <w:suppressLineNumbers w:val="0"/>
              <w:spacing w:line="440" w:lineRule="exact"/>
              <w:jc w:val="center"/>
              <w:rPr>
                <w:rFonts w:hint="eastAsia" w:ascii="宋体" w:hAnsi="宋体" w:eastAsia="宋体" w:cs="宋体"/>
                <w:b/>
                <w:bCs w:val="0"/>
                <w:color w:val="auto"/>
                <w:spacing w:val="4"/>
                <w:sz w:val="21"/>
                <w:szCs w:val="21"/>
                <w:highlight w:val="none"/>
                <w:vertAlign w:val="baseline"/>
              </w:rPr>
            </w:pPr>
            <w:r>
              <w:rPr>
                <w:rFonts w:hint="eastAsia" w:ascii="宋体" w:hAnsi="宋体" w:eastAsia="宋体" w:cs="宋体"/>
                <w:b/>
                <w:bCs w:val="0"/>
                <w:color w:val="auto"/>
                <w:kern w:val="0"/>
                <w:sz w:val="21"/>
                <w:szCs w:val="21"/>
                <w:highlight w:val="none"/>
                <w:lang w:val="en-US" w:eastAsia="zh-CN" w:bidi="ar"/>
              </w:rPr>
              <w:t>证书名称</w:t>
            </w:r>
          </w:p>
        </w:tc>
        <w:tc>
          <w:tcPr>
            <w:tcW w:w="1249" w:type="pct"/>
            <w:tcBorders>
              <w:tl2br w:val="nil"/>
              <w:tr2bl w:val="nil"/>
            </w:tcBorders>
            <w:noWrap w:val="0"/>
            <w:vAlign w:val="top"/>
          </w:tcPr>
          <w:p w14:paraId="2C748EF4">
            <w:pPr>
              <w:keepNext w:val="0"/>
              <w:keepLines w:val="0"/>
              <w:widowControl/>
              <w:numPr>
                <w:ilvl w:val="0"/>
                <w:numId w:val="0"/>
              </w:numPr>
              <w:suppressLineNumbers w:val="0"/>
              <w:spacing w:line="440" w:lineRule="exact"/>
              <w:jc w:val="center"/>
              <w:rPr>
                <w:rFonts w:hint="eastAsia" w:ascii="宋体" w:hAnsi="宋体" w:eastAsia="宋体" w:cs="宋体"/>
                <w:b/>
                <w:bCs w:val="0"/>
                <w:color w:val="auto"/>
                <w:spacing w:val="4"/>
                <w:sz w:val="21"/>
                <w:szCs w:val="21"/>
                <w:highlight w:val="none"/>
                <w:vertAlign w:val="baseline"/>
                <w:lang w:val="en-US" w:eastAsia="zh-CN"/>
              </w:rPr>
            </w:pPr>
            <w:r>
              <w:rPr>
                <w:rFonts w:hint="eastAsia" w:ascii="宋体" w:hAnsi="宋体" w:eastAsia="宋体" w:cs="宋体"/>
                <w:b/>
                <w:bCs w:val="0"/>
                <w:color w:val="auto"/>
                <w:spacing w:val="4"/>
                <w:sz w:val="21"/>
                <w:szCs w:val="21"/>
                <w:highlight w:val="none"/>
                <w:vertAlign w:val="baseline"/>
                <w:lang w:val="en-US" w:eastAsia="zh-CN"/>
              </w:rPr>
              <w:t>发证</w:t>
            </w:r>
            <w:r>
              <w:rPr>
                <w:rFonts w:hint="eastAsia" w:ascii="宋体" w:hAnsi="宋体" w:cs="宋体"/>
                <w:b/>
                <w:bCs w:val="0"/>
                <w:color w:val="auto"/>
                <w:spacing w:val="4"/>
                <w:sz w:val="21"/>
                <w:szCs w:val="21"/>
                <w:highlight w:val="none"/>
                <w:vertAlign w:val="baseline"/>
                <w:lang w:val="en-US" w:eastAsia="zh-CN"/>
              </w:rPr>
              <w:t>机构</w:t>
            </w:r>
          </w:p>
        </w:tc>
        <w:tc>
          <w:tcPr>
            <w:tcW w:w="1249" w:type="pct"/>
            <w:tcBorders>
              <w:tl2br w:val="nil"/>
              <w:tr2bl w:val="nil"/>
            </w:tcBorders>
            <w:noWrap w:val="0"/>
            <w:vAlign w:val="top"/>
          </w:tcPr>
          <w:p w14:paraId="07F0019A">
            <w:pPr>
              <w:keepNext w:val="0"/>
              <w:keepLines w:val="0"/>
              <w:widowControl/>
              <w:numPr>
                <w:ilvl w:val="0"/>
                <w:numId w:val="0"/>
              </w:numPr>
              <w:suppressLineNumbers w:val="0"/>
              <w:spacing w:line="440" w:lineRule="exact"/>
              <w:jc w:val="center"/>
              <w:rPr>
                <w:rFonts w:hint="eastAsia" w:ascii="宋体" w:hAnsi="宋体" w:eastAsia="宋体" w:cs="宋体"/>
                <w:b/>
                <w:bCs w:val="0"/>
                <w:color w:val="auto"/>
                <w:spacing w:val="4"/>
                <w:sz w:val="21"/>
                <w:szCs w:val="21"/>
                <w:highlight w:val="none"/>
                <w:vertAlign w:val="baseline"/>
              </w:rPr>
            </w:pPr>
            <w:r>
              <w:rPr>
                <w:rFonts w:hint="eastAsia" w:ascii="宋体" w:hAnsi="宋体" w:eastAsia="宋体" w:cs="宋体"/>
                <w:b/>
                <w:bCs w:val="0"/>
                <w:color w:val="auto"/>
                <w:kern w:val="0"/>
                <w:sz w:val="21"/>
                <w:szCs w:val="21"/>
                <w:highlight w:val="none"/>
                <w:lang w:val="en-US" w:eastAsia="zh-CN" w:bidi="ar"/>
              </w:rPr>
              <w:t>证书</w:t>
            </w:r>
            <w:r>
              <w:rPr>
                <w:rFonts w:hint="eastAsia" w:ascii="宋体" w:hAnsi="宋体" w:cs="宋体"/>
                <w:b/>
                <w:bCs w:val="0"/>
                <w:color w:val="auto"/>
                <w:kern w:val="0"/>
                <w:sz w:val="21"/>
                <w:szCs w:val="21"/>
                <w:highlight w:val="none"/>
                <w:lang w:val="en-US" w:eastAsia="zh-CN" w:bidi="ar"/>
              </w:rPr>
              <w:t>有效</w:t>
            </w:r>
            <w:r>
              <w:rPr>
                <w:rFonts w:hint="eastAsia" w:ascii="宋体" w:hAnsi="宋体" w:eastAsia="宋体" w:cs="宋体"/>
                <w:b/>
                <w:bCs w:val="0"/>
                <w:color w:val="auto"/>
                <w:kern w:val="0"/>
                <w:sz w:val="21"/>
                <w:szCs w:val="21"/>
                <w:highlight w:val="none"/>
                <w:lang w:val="en-US" w:eastAsia="zh-CN" w:bidi="ar"/>
              </w:rPr>
              <w:t>期</w:t>
            </w:r>
          </w:p>
        </w:tc>
        <w:tc>
          <w:tcPr>
            <w:tcW w:w="1250" w:type="pct"/>
            <w:tcBorders>
              <w:tl2br w:val="nil"/>
              <w:tr2bl w:val="nil"/>
            </w:tcBorders>
            <w:noWrap w:val="0"/>
            <w:vAlign w:val="top"/>
          </w:tcPr>
          <w:p w14:paraId="1F0644AE">
            <w:pPr>
              <w:keepNext w:val="0"/>
              <w:keepLines w:val="0"/>
              <w:widowControl/>
              <w:numPr>
                <w:ilvl w:val="0"/>
                <w:numId w:val="0"/>
              </w:numPr>
              <w:suppressLineNumbers w:val="0"/>
              <w:spacing w:line="440" w:lineRule="exact"/>
              <w:jc w:val="center"/>
              <w:rPr>
                <w:rFonts w:hint="eastAsia" w:ascii="宋体" w:hAnsi="宋体" w:eastAsia="宋体" w:cs="宋体"/>
                <w:b/>
                <w:bCs w:val="0"/>
                <w:color w:val="auto"/>
                <w:spacing w:val="4"/>
                <w:sz w:val="21"/>
                <w:szCs w:val="21"/>
                <w:highlight w:val="none"/>
                <w:vertAlign w:val="baseline"/>
              </w:rPr>
            </w:pPr>
            <w:r>
              <w:rPr>
                <w:rFonts w:hint="eastAsia" w:ascii="宋体" w:hAnsi="宋体" w:eastAsia="宋体" w:cs="宋体"/>
                <w:b/>
                <w:bCs w:val="0"/>
                <w:color w:val="auto"/>
                <w:spacing w:val="4"/>
                <w:sz w:val="21"/>
                <w:szCs w:val="21"/>
                <w:highlight w:val="none"/>
                <w:vertAlign w:val="baseline"/>
                <w:lang w:val="en-US" w:eastAsia="zh-CN"/>
              </w:rPr>
              <w:t>查</w:t>
            </w:r>
            <w:r>
              <w:rPr>
                <w:rFonts w:hint="eastAsia" w:ascii="宋体" w:hAnsi="宋体" w:eastAsia="宋体" w:cs="宋体"/>
                <w:b/>
                <w:bCs w:val="0"/>
                <w:color w:val="auto"/>
                <w:spacing w:val="4"/>
                <w:sz w:val="21"/>
                <w:szCs w:val="21"/>
                <w:highlight w:val="none"/>
                <w:vertAlign w:val="baseline"/>
              </w:rPr>
              <w:t>阅/证明文件指引</w:t>
            </w:r>
          </w:p>
        </w:tc>
      </w:tr>
      <w:tr w14:paraId="72B4C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49" w:type="pct"/>
            <w:tcBorders>
              <w:tl2br w:val="nil"/>
              <w:tr2bl w:val="nil"/>
            </w:tcBorders>
            <w:noWrap w:val="0"/>
            <w:vAlign w:val="top"/>
          </w:tcPr>
          <w:p w14:paraId="351E6D18">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7F237DC3">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3060E388">
            <w:pPr>
              <w:numPr>
                <w:ilvl w:val="0"/>
                <w:numId w:val="0"/>
              </w:numPr>
              <w:spacing w:line="440" w:lineRule="exact"/>
              <w:jc w:val="center"/>
              <w:rPr>
                <w:rFonts w:hint="eastAsia"/>
                <w:color w:val="auto"/>
                <w:spacing w:val="4"/>
                <w:highlight w:val="none"/>
                <w:vertAlign w:val="baseline"/>
              </w:rPr>
            </w:pPr>
          </w:p>
        </w:tc>
        <w:tc>
          <w:tcPr>
            <w:tcW w:w="1250" w:type="pct"/>
            <w:tcBorders>
              <w:tl2br w:val="nil"/>
              <w:tr2bl w:val="nil"/>
            </w:tcBorders>
            <w:noWrap w:val="0"/>
            <w:vAlign w:val="center"/>
          </w:tcPr>
          <w:p w14:paraId="7FBCC436">
            <w:pPr>
              <w:adjustRightInd w:val="0"/>
              <w:snapToGrid w:val="0"/>
              <w:ind w:left="-84" w:leftChars="-40" w:right="-107" w:rightChars="-51"/>
              <w:jc w:val="center"/>
              <w:rPr>
                <w:rFonts w:hint="eastAsia"/>
                <w:color w:val="auto"/>
                <w:spacing w:val="4"/>
                <w:highlight w:val="none"/>
                <w:vertAlign w:val="baseline"/>
              </w:rPr>
            </w:pPr>
            <w:r>
              <w:rPr>
                <w:rFonts w:hint="eastAsia"/>
                <w:color w:val="auto"/>
                <w:highlight w:val="none"/>
              </w:rPr>
              <w:t>见第</w:t>
            </w:r>
            <w:r>
              <w:rPr>
                <w:rFonts w:hint="eastAsia"/>
                <w:color w:val="auto"/>
                <w:highlight w:val="none"/>
                <w:u w:val="single"/>
              </w:rPr>
              <w:t xml:space="preserve">   </w:t>
            </w:r>
            <w:r>
              <w:rPr>
                <w:rFonts w:hint="eastAsia"/>
                <w:color w:val="auto"/>
                <w:highlight w:val="none"/>
              </w:rPr>
              <w:t>页</w:t>
            </w:r>
          </w:p>
        </w:tc>
      </w:tr>
      <w:tr w14:paraId="4B9B7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49" w:type="pct"/>
            <w:tcBorders>
              <w:tl2br w:val="nil"/>
              <w:tr2bl w:val="nil"/>
            </w:tcBorders>
            <w:noWrap w:val="0"/>
            <w:vAlign w:val="top"/>
          </w:tcPr>
          <w:p w14:paraId="572E005C">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17790723">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770EEFE8">
            <w:pPr>
              <w:numPr>
                <w:ilvl w:val="0"/>
                <w:numId w:val="0"/>
              </w:numPr>
              <w:spacing w:line="440" w:lineRule="exact"/>
              <w:jc w:val="center"/>
              <w:rPr>
                <w:rFonts w:hint="eastAsia"/>
                <w:color w:val="auto"/>
                <w:spacing w:val="4"/>
                <w:highlight w:val="none"/>
                <w:vertAlign w:val="baseline"/>
              </w:rPr>
            </w:pPr>
          </w:p>
        </w:tc>
        <w:tc>
          <w:tcPr>
            <w:tcW w:w="1250" w:type="pct"/>
            <w:tcBorders>
              <w:tl2br w:val="nil"/>
              <w:tr2bl w:val="nil"/>
            </w:tcBorders>
            <w:noWrap w:val="0"/>
            <w:vAlign w:val="center"/>
          </w:tcPr>
          <w:p w14:paraId="5965E6CD">
            <w:pPr>
              <w:adjustRightInd w:val="0"/>
              <w:snapToGrid w:val="0"/>
              <w:ind w:left="-84" w:leftChars="-40" w:right="-107" w:rightChars="-51"/>
              <w:jc w:val="center"/>
              <w:rPr>
                <w:rFonts w:hint="eastAsia"/>
                <w:color w:val="auto"/>
                <w:spacing w:val="4"/>
                <w:highlight w:val="none"/>
                <w:vertAlign w:val="baseline"/>
              </w:rPr>
            </w:pPr>
            <w:r>
              <w:rPr>
                <w:rFonts w:hint="eastAsia"/>
                <w:color w:val="auto"/>
                <w:highlight w:val="none"/>
              </w:rPr>
              <w:t>见第</w:t>
            </w:r>
            <w:r>
              <w:rPr>
                <w:rFonts w:hint="eastAsia"/>
                <w:color w:val="auto"/>
                <w:highlight w:val="none"/>
                <w:u w:val="single"/>
              </w:rPr>
              <w:t xml:space="preserve">   </w:t>
            </w:r>
            <w:r>
              <w:rPr>
                <w:rFonts w:hint="eastAsia"/>
                <w:color w:val="auto"/>
                <w:highlight w:val="none"/>
              </w:rPr>
              <w:t>页</w:t>
            </w:r>
          </w:p>
        </w:tc>
      </w:tr>
      <w:tr w14:paraId="30A3B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49" w:type="pct"/>
            <w:tcBorders>
              <w:tl2br w:val="nil"/>
              <w:tr2bl w:val="nil"/>
            </w:tcBorders>
            <w:noWrap w:val="0"/>
            <w:vAlign w:val="top"/>
          </w:tcPr>
          <w:p w14:paraId="4A8F4494">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7E059B23">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68EF0574">
            <w:pPr>
              <w:numPr>
                <w:ilvl w:val="0"/>
                <w:numId w:val="0"/>
              </w:numPr>
              <w:spacing w:line="440" w:lineRule="exact"/>
              <w:jc w:val="center"/>
              <w:rPr>
                <w:rFonts w:hint="eastAsia"/>
                <w:color w:val="auto"/>
                <w:spacing w:val="4"/>
                <w:highlight w:val="none"/>
                <w:vertAlign w:val="baseline"/>
              </w:rPr>
            </w:pPr>
          </w:p>
        </w:tc>
        <w:tc>
          <w:tcPr>
            <w:tcW w:w="1250" w:type="pct"/>
            <w:tcBorders>
              <w:tl2br w:val="nil"/>
              <w:tr2bl w:val="nil"/>
            </w:tcBorders>
            <w:noWrap w:val="0"/>
            <w:vAlign w:val="center"/>
          </w:tcPr>
          <w:p w14:paraId="62B37304">
            <w:pPr>
              <w:adjustRightInd w:val="0"/>
              <w:snapToGrid w:val="0"/>
              <w:ind w:left="-84" w:leftChars="-40" w:right="-107" w:rightChars="-51"/>
              <w:jc w:val="center"/>
              <w:rPr>
                <w:rFonts w:hint="eastAsia"/>
                <w:color w:val="auto"/>
                <w:spacing w:val="4"/>
                <w:highlight w:val="none"/>
                <w:vertAlign w:val="baseline"/>
              </w:rPr>
            </w:pPr>
            <w:r>
              <w:rPr>
                <w:rFonts w:hint="eastAsia"/>
                <w:color w:val="auto"/>
                <w:highlight w:val="none"/>
              </w:rPr>
              <w:t>见第</w:t>
            </w:r>
            <w:r>
              <w:rPr>
                <w:rFonts w:hint="eastAsia"/>
                <w:color w:val="auto"/>
                <w:highlight w:val="none"/>
                <w:u w:val="single"/>
              </w:rPr>
              <w:t xml:space="preserve">   </w:t>
            </w:r>
            <w:r>
              <w:rPr>
                <w:rFonts w:hint="eastAsia"/>
                <w:color w:val="auto"/>
                <w:highlight w:val="none"/>
              </w:rPr>
              <w:t>页</w:t>
            </w:r>
          </w:p>
        </w:tc>
      </w:tr>
      <w:tr w14:paraId="6169A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49" w:type="pct"/>
            <w:tcBorders>
              <w:tl2br w:val="nil"/>
              <w:tr2bl w:val="nil"/>
            </w:tcBorders>
            <w:noWrap w:val="0"/>
            <w:vAlign w:val="top"/>
          </w:tcPr>
          <w:p w14:paraId="30E7BDD2">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1E11DFAC">
            <w:pPr>
              <w:numPr>
                <w:ilvl w:val="0"/>
                <w:numId w:val="0"/>
              </w:numPr>
              <w:spacing w:line="440" w:lineRule="exact"/>
              <w:jc w:val="center"/>
              <w:rPr>
                <w:rFonts w:hint="eastAsia"/>
                <w:color w:val="auto"/>
                <w:spacing w:val="4"/>
                <w:highlight w:val="none"/>
                <w:vertAlign w:val="baseline"/>
              </w:rPr>
            </w:pPr>
          </w:p>
        </w:tc>
        <w:tc>
          <w:tcPr>
            <w:tcW w:w="1249" w:type="pct"/>
            <w:tcBorders>
              <w:tl2br w:val="nil"/>
              <w:tr2bl w:val="nil"/>
            </w:tcBorders>
            <w:noWrap w:val="0"/>
            <w:vAlign w:val="top"/>
          </w:tcPr>
          <w:p w14:paraId="361A28C8">
            <w:pPr>
              <w:numPr>
                <w:ilvl w:val="0"/>
                <w:numId w:val="0"/>
              </w:numPr>
              <w:spacing w:line="440" w:lineRule="exact"/>
              <w:jc w:val="center"/>
              <w:rPr>
                <w:rFonts w:hint="eastAsia"/>
                <w:color w:val="auto"/>
                <w:spacing w:val="4"/>
                <w:highlight w:val="none"/>
                <w:vertAlign w:val="baseline"/>
              </w:rPr>
            </w:pPr>
          </w:p>
        </w:tc>
        <w:tc>
          <w:tcPr>
            <w:tcW w:w="1250" w:type="pct"/>
            <w:tcBorders>
              <w:tl2br w:val="nil"/>
              <w:tr2bl w:val="nil"/>
            </w:tcBorders>
            <w:noWrap w:val="0"/>
            <w:vAlign w:val="center"/>
          </w:tcPr>
          <w:p w14:paraId="08A9FC40">
            <w:pPr>
              <w:adjustRightInd w:val="0"/>
              <w:snapToGrid w:val="0"/>
              <w:ind w:left="-84" w:leftChars="-40" w:right="-107" w:rightChars="-51"/>
              <w:jc w:val="center"/>
              <w:rPr>
                <w:rFonts w:hint="eastAsia"/>
                <w:color w:val="auto"/>
                <w:spacing w:val="4"/>
                <w:highlight w:val="none"/>
                <w:vertAlign w:val="baseline"/>
              </w:rPr>
            </w:pPr>
            <w:r>
              <w:rPr>
                <w:rFonts w:hint="eastAsia"/>
                <w:color w:val="auto"/>
                <w:highlight w:val="none"/>
              </w:rPr>
              <w:t>见第</w:t>
            </w:r>
            <w:r>
              <w:rPr>
                <w:rFonts w:hint="eastAsia"/>
                <w:color w:val="auto"/>
                <w:highlight w:val="none"/>
                <w:u w:val="single"/>
              </w:rPr>
              <w:t xml:space="preserve">   </w:t>
            </w:r>
            <w:r>
              <w:rPr>
                <w:rFonts w:hint="eastAsia"/>
                <w:color w:val="auto"/>
                <w:highlight w:val="none"/>
              </w:rPr>
              <w:t>页</w:t>
            </w:r>
          </w:p>
        </w:tc>
      </w:tr>
    </w:tbl>
    <w:p w14:paraId="5124B268">
      <w:pPr>
        <w:numPr>
          <w:ilvl w:val="0"/>
          <w:numId w:val="0"/>
        </w:numPr>
        <w:spacing w:line="440" w:lineRule="exact"/>
        <w:ind w:leftChars="0"/>
        <w:rPr>
          <w:rFonts w:hint="eastAsia"/>
          <w:color w:val="auto"/>
          <w:spacing w:val="4"/>
          <w:highlight w:val="none"/>
          <w:lang w:val="en-US" w:eastAsia="zh-CN"/>
        </w:rPr>
      </w:pPr>
      <w:r>
        <w:rPr>
          <w:rFonts w:hint="eastAsia"/>
          <w:color w:val="auto"/>
          <w:spacing w:val="4"/>
          <w:highlight w:val="none"/>
          <w:lang w:val="en-US" w:eastAsia="zh-CN"/>
        </w:rPr>
        <w:t>备注：</w:t>
      </w:r>
    </w:p>
    <w:p w14:paraId="73AD62AE">
      <w:pPr>
        <w:numPr>
          <w:ilvl w:val="0"/>
          <w:numId w:val="75"/>
        </w:numPr>
        <w:spacing w:line="440" w:lineRule="exact"/>
        <w:ind w:left="425" w:leftChars="0" w:hanging="425" w:firstLineChars="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根据评分表的要求提交相应资料。 </w:t>
      </w:r>
    </w:p>
    <w:p w14:paraId="00292671">
      <w:pPr>
        <w:numPr>
          <w:ilvl w:val="0"/>
          <w:numId w:val="75"/>
        </w:numPr>
        <w:spacing w:line="440" w:lineRule="exact"/>
        <w:ind w:left="425" w:leftChars="0" w:hanging="425" w:firstLineChars="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如本表格式内容不能满足需要，投标人可根据本表格式自行扩展填写，但必须体现以上内容。</w:t>
      </w:r>
    </w:p>
    <w:p w14:paraId="4AEB6565">
      <w:pPr>
        <w:numPr>
          <w:ilvl w:val="0"/>
          <w:numId w:val="0"/>
        </w:numPr>
        <w:spacing w:line="440" w:lineRule="exact"/>
        <w:ind w:leftChars="0"/>
        <w:rPr>
          <w:rFonts w:hint="eastAsia"/>
          <w:color w:val="auto"/>
          <w:spacing w:val="4"/>
          <w:highlight w:val="none"/>
        </w:rPr>
      </w:pPr>
    </w:p>
    <w:p w14:paraId="0CF8D956">
      <w:pPr>
        <w:spacing w:line="500" w:lineRule="exact"/>
        <w:rPr>
          <w:rFonts w:hint="eastAsia" w:ascii="宋体" w:hAnsi="宋体"/>
          <w:color w:val="auto"/>
          <w:highlight w:val="none"/>
          <w:u w:val="single"/>
        </w:rPr>
      </w:pPr>
      <w:r>
        <w:rPr>
          <w:rFonts w:hint="eastAsia"/>
          <w:color w:val="auto"/>
          <w:spacing w:val="4"/>
          <w:highlight w:val="none"/>
        </w:rPr>
        <w:t>投标人名称（加盖公章）：</w:t>
      </w:r>
      <w:r>
        <w:rPr>
          <w:rFonts w:hint="eastAsia"/>
          <w:color w:val="auto"/>
          <w:spacing w:val="4"/>
          <w:highlight w:val="none"/>
          <w:u w:val="single"/>
        </w:rPr>
        <w:t xml:space="preserve">                             </w:t>
      </w:r>
    </w:p>
    <w:p w14:paraId="285588C1">
      <w:pPr>
        <w:rPr>
          <w:rFonts w:hint="eastAsia"/>
          <w:color w:val="auto"/>
          <w:spacing w:val="4"/>
          <w:highlight w:val="none"/>
        </w:rPr>
      </w:pPr>
    </w:p>
    <w:p w14:paraId="62E7B9FB">
      <w:pPr>
        <w:spacing w:line="520" w:lineRule="exact"/>
        <w:rPr>
          <w:color w:val="auto"/>
          <w:spacing w:val="4"/>
          <w:highlight w:val="none"/>
          <w:u w:val="single"/>
        </w:rPr>
      </w:pPr>
      <w:r>
        <w:rPr>
          <w:rFonts w:hint="eastAsia"/>
          <w:color w:val="auto"/>
          <w:spacing w:val="4"/>
          <w:highlight w:val="none"/>
        </w:rPr>
        <w:t>日期</w:t>
      </w:r>
      <w:r>
        <w:rPr>
          <w:rFonts w:hint="eastAsia"/>
          <w:color w:val="auto"/>
          <w:spacing w:val="4"/>
          <w:highlight w:val="none"/>
          <w:lang w:eastAsia="zh-CN"/>
        </w:rPr>
        <w:t>：</w:t>
      </w:r>
      <w:r>
        <w:rPr>
          <w:color w:val="auto"/>
          <w:spacing w:val="4"/>
          <w:highlight w:val="none"/>
          <w:u w:val="single"/>
        </w:rPr>
        <w:t xml:space="preserve">         </w:t>
      </w:r>
    </w:p>
    <w:p w14:paraId="42FA4D5D">
      <w:pPr>
        <w:rPr>
          <w:rFonts w:hint="eastAsia"/>
          <w:b w:val="0"/>
          <w:color w:val="auto"/>
          <w:lang w:eastAsia="zh-CN"/>
        </w:rPr>
      </w:pPr>
      <w:r>
        <w:rPr>
          <w:rFonts w:hint="eastAsia"/>
          <w:b w:val="0"/>
          <w:color w:val="auto"/>
          <w:lang w:eastAsia="zh-CN"/>
        </w:rPr>
        <w:br w:type="page"/>
      </w:r>
    </w:p>
    <w:p w14:paraId="3EF9E0C8">
      <w:pPr>
        <w:numPr>
          <w:ilvl w:val="0"/>
          <w:numId w:val="60"/>
        </w:numPr>
        <w:spacing w:line="440" w:lineRule="exact"/>
        <w:rPr>
          <w:rFonts w:hint="eastAsia"/>
          <w:b w:val="0"/>
          <w:color w:val="auto"/>
          <w:lang w:eastAsia="zh-CN"/>
        </w:rPr>
      </w:pPr>
    </w:p>
    <w:p w14:paraId="0367C9DF">
      <w:pPr>
        <w:pStyle w:val="4"/>
        <w:adjustRightInd w:val="0"/>
        <w:snapToGrid w:val="0"/>
        <w:spacing w:before="156" w:beforeLines="50" w:after="156" w:afterLines="50" w:line="360" w:lineRule="auto"/>
        <w:jc w:val="center"/>
        <w:rPr>
          <w:rFonts w:hint="eastAsia" w:cs="Times New Roman"/>
          <w:b w:val="0"/>
          <w:color w:val="auto"/>
          <w:highlight w:val="none"/>
          <w:lang w:val="en-US" w:eastAsia="zh-CN"/>
        </w:rPr>
      </w:pPr>
      <w:r>
        <w:rPr>
          <w:rFonts w:hint="eastAsia" w:cs="Times New Roman"/>
          <w:b w:val="0"/>
          <w:color w:val="auto"/>
          <w:highlight w:val="none"/>
          <w:lang w:val="en-US" w:eastAsia="zh-CN"/>
        </w:rPr>
        <w:t>同类项目业绩及用户评价一览表</w:t>
      </w:r>
    </w:p>
    <w:p w14:paraId="4D766CCB">
      <w:pPr>
        <w:spacing w:after="156" w:afterLines="50"/>
        <w:jc w:val="center"/>
        <w:outlineLvl w:val="2"/>
        <w:rPr>
          <w:rFonts w:hint="eastAsia" w:eastAsia="宋体"/>
          <w:color w:val="auto"/>
          <w:highlight w:val="none"/>
          <w:lang w:eastAsia="zh-CN"/>
        </w:rPr>
      </w:pPr>
      <w:r>
        <w:rPr>
          <w:rFonts w:hint="eastAsia" w:ascii="宋体" w:hAnsi="宋体"/>
          <w:color w:val="auto"/>
          <w:highlight w:val="none"/>
        </w:rPr>
        <w:t>投标人名称：                                           项目编号：</w:t>
      </w:r>
      <w:r>
        <w:rPr>
          <w:rFonts w:hint="eastAsia" w:ascii="宋体" w:hAnsi="宋体"/>
          <w:color w:val="auto"/>
          <w:highlight w:val="none"/>
          <w:lang w:eastAsia="zh-CN"/>
        </w:rPr>
        <w:t xml:space="preserve">JG2025(SS)XZ0008 </w:t>
      </w:r>
    </w:p>
    <w:tbl>
      <w:tblPr>
        <w:tblStyle w:val="1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1216"/>
        <w:gridCol w:w="1096"/>
        <w:gridCol w:w="1114"/>
        <w:gridCol w:w="1056"/>
        <w:gridCol w:w="1229"/>
        <w:gridCol w:w="1317"/>
        <w:gridCol w:w="1813"/>
      </w:tblGrid>
      <w:tr w14:paraId="3C376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2" w:type="pct"/>
            <w:tcBorders>
              <w:top w:val="single" w:color="auto" w:sz="12" w:space="0"/>
              <w:bottom w:val="double" w:color="auto" w:sz="4" w:space="0"/>
            </w:tcBorders>
            <w:shd w:val="clear" w:color="auto" w:fill="EEECE1"/>
            <w:noWrap w:val="0"/>
            <w:vAlign w:val="center"/>
          </w:tcPr>
          <w:p w14:paraId="05742C88">
            <w:pPr>
              <w:adjustRightInd w:val="0"/>
              <w:snapToGrid w:val="0"/>
              <w:ind w:left="-69" w:leftChars="-33" w:right="-97" w:rightChars="-4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47" w:type="pct"/>
            <w:tcBorders>
              <w:top w:val="single" w:color="auto" w:sz="12" w:space="0"/>
              <w:bottom w:val="double" w:color="auto" w:sz="4" w:space="0"/>
            </w:tcBorders>
            <w:shd w:val="clear" w:color="auto" w:fill="EEECE1"/>
            <w:noWrap w:val="0"/>
            <w:vAlign w:val="center"/>
          </w:tcPr>
          <w:p w14:paraId="64B2C1B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业主名称</w:t>
            </w:r>
          </w:p>
        </w:tc>
        <w:tc>
          <w:tcPr>
            <w:tcW w:w="583" w:type="pct"/>
            <w:tcBorders>
              <w:top w:val="single" w:color="auto" w:sz="12" w:space="0"/>
              <w:bottom w:val="double" w:color="auto" w:sz="4" w:space="0"/>
            </w:tcBorders>
            <w:shd w:val="clear" w:color="auto" w:fill="EEECE1"/>
            <w:noWrap w:val="0"/>
            <w:vAlign w:val="center"/>
          </w:tcPr>
          <w:p w14:paraId="54A4DED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93" w:type="pct"/>
            <w:tcBorders>
              <w:top w:val="single" w:color="auto" w:sz="12" w:space="0"/>
              <w:bottom w:val="double" w:color="auto" w:sz="4" w:space="0"/>
            </w:tcBorders>
            <w:shd w:val="clear" w:color="auto" w:fill="EEECE1"/>
            <w:noWrap w:val="0"/>
            <w:vAlign w:val="center"/>
          </w:tcPr>
          <w:p w14:paraId="7FCB655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562" w:type="pct"/>
            <w:tcBorders>
              <w:top w:val="single" w:color="auto" w:sz="12" w:space="0"/>
              <w:bottom w:val="double" w:color="auto" w:sz="4" w:space="0"/>
            </w:tcBorders>
            <w:shd w:val="clear" w:color="auto" w:fill="EEECE1"/>
            <w:noWrap w:val="0"/>
            <w:vAlign w:val="center"/>
          </w:tcPr>
          <w:p w14:paraId="71414201">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合同总价</w:t>
            </w:r>
          </w:p>
        </w:tc>
        <w:tc>
          <w:tcPr>
            <w:tcW w:w="654" w:type="pct"/>
            <w:tcBorders>
              <w:top w:val="single" w:color="auto" w:sz="12" w:space="0"/>
              <w:bottom w:val="double" w:color="auto" w:sz="4" w:space="0"/>
            </w:tcBorders>
            <w:shd w:val="clear" w:color="auto" w:fill="EEECE1"/>
            <w:noWrap w:val="0"/>
            <w:vAlign w:val="center"/>
          </w:tcPr>
          <w:p w14:paraId="631F3BF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签约及完成时间</w:t>
            </w:r>
          </w:p>
        </w:tc>
        <w:tc>
          <w:tcPr>
            <w:tcW w:w="701" w:type="pct"/>
            <w:tcBorders>
              <w:top w:val="single" w:color="auto" w:sz="12" w:space="0"/>
              <w:bottom w:val="double" w:color="auto" w:sz="4" w:space="0"/>
            </w:tcBorders>
            <w:shd w:val="clear" w:color="auto" w:fill="EEECE1"/>
            <w:noWrap w:val="0"/>
            <w:vAlign w:val="center"/>
          </w:tcPr>
          <w:p w14:paraId="6D0FE2C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单位联系人及电话</w:t>
            </w:r>
          </w:p>
        </w:tc>
        <w:tc>
          <w:tcPr>
            <w:tcW w:w="965" w:type="pct"/>
            <w:tcBorders>
              <w:top w:val="single" w:color="auto" w:sz="12" w:space="0"/>
              <w:bottom w:val="double" w:color="auto" w:sz="4" w:space="0"/>
            </w:tcBorders>
            <w:shd w:val="clear" w:color="auto" w:fill="EEECE1"/>
            <w:noWrap w:val="0"/>
            <w:vAlign w:val="center"/>
          </w:tcPr>
          <w:p w14:paraId="5A27D95C">
            <w:pPr>
              <w:adjustRightInd w:val="0"/>
              <w:snapToGrid w:val="0"/>
              <w:ind w:left="-84" w:leftChars="-40" w:right="-107" w:rightChars="-5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查阅/证明文件指引</w:t>
            </w:r>
          </w:p>
        </w:tc>
      </w:tr>
      <w:tr w14:paraId="5262F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tcBorders>
              <w:top w:val="double" w:color="auto" w:sz="4" w:space="0"/>
            </w:tcBorders>
            <w:noWrap w:val="0"/>
            <w:vAlign w:val="center"/>
          </w:tcPr>
          <w:p w14:paraId="55B717D1">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47" w:type="pct"/>
            <w:tcBorders>
              <w:top w:val="double" w:color="auto" w:sz="4" w:space="0"/>
            </w:tcBorders>
            <w:noWrap w:val="0"/>
            <w:vAlign w:val="center"/>
          </w:tcPr>
          <w:p w14:paraId="764BFD5E">
            <w:pPr>
              <w:spacing w:line="400" w:lineRule="exact"/>
              <w:jc w:val="center"/>
              <w:rPr>
                <w:rFonts w:hint="eastAsia" w:ascii="宋体" w:hAnsi="宋体" w:eastAsia="宋体" w:cs="宋体"/>
                <w:color w:val="auto"/>
                <w:sz w:val="21"/>
                <w:szCs w:val="21"/>
                <w:highlight w:val="none"/>
              </w:rPr>
            </w:pPr>
          </w:p>
        </w:tc>
        <w:tc>
          <w:tcPr>
            <w:tcW w:w="583" w:type="pct"/>
            <w:tcBorders>
              <w:top w:val="double" w:color="auto" w:sz="4" w:space="0"/>
            </w:tcBorders>
            <w:noWrap w:val="0"/>
            <w:vAlign w:val="center"/>
          </w:tcPr>
          <w:p w14:paraId="3EA12884">
            <w:pPr>
              <w:spacing w:line="400" w:lineRule="exact"/>
              <w:jc w:val="center"/>
              <w:rPr>
                <w:rFonts w:hint="eastAsia" w:ascii="宋体" w:hAnsi="宋体" w:eastAsia="宋体" w:cs="宋体"/>
                <w:color w:val="auto"/>
                <w:sz w:val="21"/>
                <w:szCs w:val="21"/>
                <w:highlight w:val="none"/>
              </w:rPr>
            </w:pPr>
          </w:p>
        </w:tc>
        <w:tc>
          <w:tcPr>
            <w:tcW w:w="593" w:type="pct"/>
            <w:tcBorders>
              <w:top w:val="double" w:color="auto" w:sz="4" w:space="0"/>
            </w:tcBorders>
            <w:noWrap w:val="0"/>
            <w:vAlign w:val="center"/>
          </w:tcPr>
          <w:p w14:paraId="6E423A66">
            <w:pPr>
              <w:spacing w:line="400" w:lineRule="exact"/>
              <w:jc w:val="center"/>
              <w:rPr>
                <w:rFonts w:hint="eastAsia" w:ascii="宋体" w:hAnsi="宋体" w:eastAsia="宋体" w:cs="宋体"/>
                <w:color w:val="auto"/>
                <w:sz w:val="21"/>
                <w:szCs w:val="21"/>
                <w:highlight w:val="none"/>
              </w:rPr>
            </w:pPr>
          </w:p>
        </w:tc>
        <w:tc>
          <w:tcPr>
            <w:tcW w:w="562" w:type="pct"/>
            <w:tcBorders>
              <w:top w:val="double" w:color="auto" w:sz="4" w:space="0"/>
            </w:tcBorders>
            <w:noWrap w:val="0"/>
            <w:vAlign w:val="center"/>
          </w:tcPr>
          <w:p w14:paraId="64353BD4">
            <w:pPr>
              <w:spacing w:line="400" w:lineRule="exact"/>
              <w:jc w:val="center"/>
              <w:rPr>
                <w:rFonts w:hint="eastAsia" w:ascii="宋体" w:hAnsi="宋体" w:eastAsia="宋体" w:cs="宋体"/>
                <w:color w:val="auto"/>
                <w:sz w:val="21"/>
                <w:szCs w:val="21"/>
                <w:highlight w:val="none"/>
              </w:rPr>
            </w:pPr>
          </w:p>
        </w:tc>
        <w:tc>
          <w:tcPr>
            <w:tcW w:w="654" w:type="pct"/>
            <w:tcBorders>
              <w:top w:val="double" w:color="auto" w:sz="4" w:space="0"/>
            </w:tcBorders>
            <w:noWrap w:val="0"/>
            <w:vAlign w:val="center"/>
          </w:tcPr>
          <w:p w14:paraId="2BC2E7BA">
            <w:pPr>
              <w:spacing w:line="400" w:lineRule="exact"/>
              <w:jc w:val="center"/>
              <w:rPr>
                <w:rFonts w:hint="eastAsia" w:ascii="宋体" w:hAnsi="宋体" w:eastAsia="宋体" w:cs="宋体"/>
                <w:color w:val="auto"/>
                <w:sz w:val="21"/>
                <w:szCs w:val="21"/>
                <w:highlight w:val="none"/>
              </w:rPr>
            </w:pPr>
          </w:p>
        </w:tc>
        <w:tc>
          <w:tcPr>
            <w:tcW w:w="701" w:type="pct"/>
            <w:tcBorders>
              <w:top w:val="double" w:color="auto" w:sz="4" w:space="0"/>
            </w:tcBorders>
            <w:noWrap w:val="0"/>
            <w:vAlign w:val="center"/>
          </w:tcPr>
          <w:p w14:paraId="1595AF89">
            <w:pPr>
              <w:spacing w:line="400" w:lineRule="exact"/>
              <w:jc w:val="center"/>
              <w:rPr>
                <w:rFonts w:hint="eastAsia" w:ascii="宋体" w:hAnsi="宋体" w:eastAsia="宋体" w:cs="宋体"/>
                <w:color w:val="auto"/>
                <w:sz w:val="21"/>
                <w:szCs w:val="21"/>
                <w:highlight w:val="none"/>
              </w:rPr>
            </w:pPr>
          </w:p>
        </w:tc>
        <w:tc>
          <w:tcPr>
            <w:tcW w:w="965" w:type="pct"/>
            <w:tcBorders>
              <w:top w:val="double" w:color="auto" w:sz="4" w:space="0"/>
            </w:tcBorders>
            <w:noWrap w:val="0"/>
            <w:vAlign w:val="center"/>
          </w:tcPr>
          <w:p w14:paraId="291C9146">
            <w:pPr>
              <w:adjustRightInd w:val="0"/>
              <w:snapToGrid w:val="0"/>
              <w:ind w:left="-84" w:leftChars="-40"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279EA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noWrap w:val="0"/>
            <w:vAlign w:val="center"/>
          </w:tcPr>
          <w:p w14:paraId="7EA70BA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47" w:type="pct"/>
            <w:noWrap w:val="0"/>
            <w:vAlign w:val="center"/>
          </w:tcPr>
          <w:p w14:paraId="7F436DEF">
            <w:pPr>
              <w:spacing w:line="400" w:lineRule="exact"/>
              <w:jc w:val="center"/>
              <w:rPr>
                <w:rFonts w:hint="eastAsia" w:ascii="宋体" w:hAnsi="宋体" w:eastAsia="宋体" w:cs="宋体"/>
                <w:color w:val="auto"/>
                <w:sz w:val="21"/>
                <w:szCs w:val="21"/>
                <w:highlight w:val="none"/>
              </w:rPr>
            </w:pPr>
          </w:p>
        </w:tc>
        <w:tc>
          <w:tcPr>
            <w:tcW w:w="583" w:type="pct"/>
            <w:noWrap w:val="0"/>
            <w:vAlign w:val="center"/>
          </w:tcPr>
          <w:p w14:paraId="7EF16462">
            <w:pPr>
              <w:spacing w:line="400" w:lineRule="exact"/>
              <w:jc w:val="center"/>
              <w:rPr>
                <w:rFonts w:hint="eastAsia" w:ascii="宋体" w:hAnsi="宋体" w:eastAsia="宋体" w:cs="宋体"/>
                <w:color w:val="auto"/>
                <w:sz w:val="21"/>
                <w:szCs w:val="21"/>
                <w:highlight w:val="none"/>
              </w:rPr>
            </w:pPr>
          </w:p>
        </w:tc>
        <w:tc>
          <w:tcPr>
            <w:tcW w:w="593" w:type="pct"/>
            <w:noWrap w:val="0"/>
            <w:vAlign w:val="center"/>
          </w:tcPr>
          <w:p w14:paraId="6ACD2718">
            <w:pPr>
              <w:spacing w:line="400" w:lineRule="exact"/>
              <w:jc w:val="center"/>
              <w:rPr>
                <w:rFonts w:hint="eastAsia" w:ascii="宋体" w:hAnsi="宋体" w:eastAsia="宋体" w:cs="宋体"/>
                <w:color w:val="auto"/>
                <w:sz w:val="21"/>
                <w:szCs w:val="21"/>
                <w:highlight w:val="none"/>
              </w:rPr>
            </w:pPr>
          </w:p>
        </w:tc>
        <w:tc>
          <w:tcPr>
            <w:tcW w:w="562" w:type="pct"/>
            <w:noWrap w:val="0"/>
            <w:vAlign w:val="center"/>
          </w:tcPr>
          <w:p w14:paraId="0C0424DA">
            <w:pPr>
              <w:spacing w:line="400" w:lineRule="exact"/>
              <w:jc w:val="center"/>
              <w:rPr>
                <w:rFonts w:hint="eastAsia" w:ascii="宋体" w:hAnsi="宋体" w:eastAsia="宋体" w:cs="宋体"/>
                <w:color w:val="auto"/>
                <w:sz w:val="21"/>
                <w:szCs w:val="21"/>
                <w:highlight w:val="none"/>
              </w:rPr>
            </w:pPr>
          </w:p>
        </w:tc>
        <w:tc>
          <w:tcPr>
            <w:tcW w:w="654" w:type="pct"/>
            <w:noWrap w:val="0"/>
            <w:vAlign w:val="center"/>
          </w:tcPr>
          <w:p w14:paraId="44724F97">
            <w:pPr>
              <w:spacing w:line="400" w:lineRule="exact"/>
              <w:jc w:val="center"/>
              <w:rPr>
                <w:rFonts w:hint="eastAsia" w:ascii="宋体" w:hAnsi="宋体" w:eastAsia="宋体" w:cs="宋体"/>
                <w:color w:val="auto"/>
                <w:sz w:val="21"/>
                <w:szCs w:val="21"/>
                <w:highlight w:val="none"/>
              </w:rPr>
            </w:pPr>
          </w:p>
        </w:tc>
        <w:tc>
          <w:tcPr>
            <w:tcW w:w="701" w:type="pct"/>
            <w:noWrap w:val="0"/>
            <w:vAlign w:val="center"/>
          </w:tcPr>
          <w:p w14:paraId="5529F096">
            <w:pPr>
              <w:spacing w:line="400" w:lineRule="exact"/>
              <w:jc w:val="center"/>
              <w:rPr>
                <w:rFonts w:hint="eastAsia" w:ascii="宋体" w:hAnsi="宋体" w:eastAsia="宋体" w:cs="宋体"/>
                <w:color w:val="auto"/>
                <w:sz w:val="21"/>
                <w:szCs w:val="21"/>
                <w:highlight w:val="none"/>
              </w:rPr>
            </w:pPr>
          </w:p>
        </w:tc>
        <w:tc>
          <w:tcPr>
            <w:tcW w:w="965" w:type="pct"/>
            <w:noWrap w:val="0"/>
            <w:vAlign w:val="center"/>
          </w:tcPr>
          <w:p w14:paraId="5A184FFC">
            <w:pPr>
              <w:adjustRightInd w:val="0"/>
              <w:snapToGrid w:val="0"/>
              <w:ind w:left="-84" w:leftChars="-40"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1FA96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noWrap w:val="0"/>
            <w:vAlign w:val="center"/>
          </w:tcPr>
          <w:p w14:paraId="23E45A4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47" w:type="pct"/>
            <w:noWrap w:val="0"/>
            <w:vAlign w:val="center"/>
          </w:tcPr>
          <w:p w14:paraId="18384C2F">
            <w:pPr>
              <w:spacing w:line="400" w:lineRule="exact"/>
              <w:jc w:val="center"/>
              <w:rPr>
                <w:rFonts w:hint="eastAsia" w:ascii="宋体" w:hAnsi="宋体" w:eastAsia="宋体" w:cs="宋体"/>
                <w:color w:val="auto"/>
                <w:sz w:val="21"/>
                <w:szCs w:val="21"/>
                <w:highlight w:val="none"/>
              </w:rPr>
            </w:pPr>
          </w:p>
        </w:tc>
        <w:tc>
          <w:tcPr>
            <w:tcW w:w="583" w:type="pct"/>
            <w:noWrap w:val="0"/>
            <w:vAlign w:val="center"/>
          </w:tcPr>
          <w:p w14:paraId="2D63E455">
            <w:pPr>
              <w:spacing w:line="400" w:lineRule="exact"/>
              <w:jc w:val="center"/>
              <w:rPr>
                <w:rFonts w:hint="eastAsia" w:ascii="宋体" w:hAnsi="宋体" w:eastAsia="宋体" w:cs="宋体"/>
                <w:color w:val="auto"/>
                <w:sz w:val="21"/>
                <w:szCs w:val="21"/>
                <w:highlight w:val="none"/>
              </w:rPr>
            </w:pPr>
          </w:p>
        </w:tc>
        <w:tc>
          <w:tcPr>
            <w:tcW w:w="593" w:type="pct"/>
            <w:noWrap w:val="0"/>
            <w:vAlign w:val="center"/>
          </w:tcPr>
          <w:p w14:paraId="2A9451B0">
            <w:pPr>
              <w:spacing w:line="400" w:lineRule="exact"/>
              <w:jc w:val="center"/>
              <w:rPr>
                <w:rFonts w:hint="eastAsia" w:ascii="宋体" w:hAnsi="宋体" w:eastAsia="宋体" w:cs="宋体"/>
                <w:color w:val="auto"/>
                <w:sz w:val="21"/>
                <w:szCs w:val="21"/>
                <w:highlight w:val="none"/>
              </w:rPr>
            </w:pPr>
          </w:p>
        </w:tc>
        <w:tc>
          <w:tcPr>
            <w:tcW w:w="562" w:type="pct"/>
            <w:noWrap w:val="0"/>
            <w:vAlign w:val="center"/>
          </w:tcPr>
          <w:p w14:paraId="14847468">
            <w:pPr>
              <w:spacing w:line="400" w:lineRule="exact"/>
              <w:jc w:val="center"/>
              <w:rPr>
                <w:rFonts w:hint="eastAsia" w:ascii="宋体" w:hAnsi="宋体" w:eastAsia="宋体" w:cs="宋体"/>
                <w:color w:val="auto"/>
                <w:sz w:val="21"/>
                <w:szCs w:val="21"/>
                <w:highlight w:val="none"/>
              </w:rPr>
            </w:pPr>
          </w:p>
        </w:tc>
        <w:tc>
          <w:tcPr>
            <w:tcW w:w="654" w:type="pct"/>
            <w:noWrap w:val="0"/>
            <w:vAlign w:val="center"/>
          </w:tcPr>
          <w:p w14:paraId="3B6F3D8E">
            <w:pPr>
              <w:spacing w:line="400" w:lineRule="exact"/>
              <w:jc w:val="center"/>
              <w:rPr>
                <w:rFonts w:hint="eastAsia" w:ascii="宋体" w:hAnsi="宋体" w:eastAsia="宋体" w:cs="宋体"/>
                <w:color w:val="auto"/>
                <w:sz w:val="21"/>
                <w:szCs w:val="21"/>
                <w:highlight w:val="none"/>
              </w:rPr>
            </w:pPr>
          </w:p>
        </w:tc>
        <w:tc>
          <w:tcPr>
            <w:tcW w:w="701" w:type="pct"/>
            <w:noWrap w:val="0"/>
            <w:vAlign w:val="center"/>
          </w:tcPr>
          <w:p w14:paraId="79B75176">
            <w:pPr>
              <w:spacing w:line="400" w:lineRule="exact"/>
              <w:jc w:val="center"/>
              <w:rPr>
                <w:rFonts w:hint="eastAsia" w:ascii="宋体" w:hAnsi="宋体" w:eastAsia="宋体" w:cs="宋体"/>
                <w:color w:val="auto"/>
                <w:sz w:val="21"/>
                <w:szCs w:val="21"/>
                <w:highlight w:val="none"/>
              </w:rPr>
            </w:pPr>
          </w:p>
        </w:tc>
        <w:tc>
          <w:tcPr>
            <w:tcW w:w="965" w:type="pct"/>
            <w:noWrap w:val="0"/>
            <w:vAlign w:val="center"/>
          </w:tcPr>
          <w:p w14:paraId="32DF120B">
            <w:pPr>
              <w:adjustRightInd w:val="0"/>
              <w:snapToGrid w:val="0"/>
              <w:ind w:left="-84" w:leftChars="-40"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668B47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noWrap w:val="0"/>
            <w:vAlign w:val="center"/>
          </w:tcPr>
          <w:p w14:paraId="2E1DBEA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47" w:type="pct"/>
            <w:noWrap w:val="0"/>
            <w:vAlign w:val="center"/>
          </w:tcPr>
          <w:p w14:paraId="0C273053">
            <w:pPr>
              <w:spacing w:line="400" w:lineRule="exact"/>
              <w:jc w:val="center"/>
              <w:rPr>
                <w:rFonts w:hint="eastAsia" w:ascii="宋体" w:hAnsi="宋体" w:eastAsia="宋体" w:cs="宋体"/>
                <w:color w:val="auto"/>
                <w:sz w:val="21"/>
                <w:szCs w:val="21"/>
                <w:highlight w:val="none"/>
              </w:rPr>
            </w:pPr>
          </w:p>
        </w:tc>
        <w:tc>
          <w:tcPr>
            <w:tcW w:w="583" w:type="pct"/>
            <w:noWrap w:val="0"/>
            <w:vAlign w:val="center"/>
          </w:tcPr>
          <w:p w14:paraId="3FC6DED1">
            <w:pPr>
              <w:spacing w:line="400" w:lineRule="exact"/>
              <w:jc w:val="center"/>
              <w:rPr>
                <w:rFonts w:hint="eastAsia" w:ascii="宋体" w:hAnsi="宋体" w:eastAsia="宋体" w:cs="宋体"/>
                <w:color w:val="auto"/>
                <w:sz w:val="21"/>
                <w:szCs w:val="21"/>
                <w:highlight w:val="none"/>
              </w:rPr>
            </w:pPr>
          </w:p>
        </w:tc>
        <w:tc>
          <w:tcPr>
            <w:tcW w:w="593" w:type="pct"/>
            <w:noWrap w:val="0"/>
            <w:vAlign w:val="center"/>
          </w:tcPr>
          <w:p w14:paraId="6FDCF1C0">
            <w:pPr>
              <w:spacing w:line="400" w:lineRule="exact"/>
              <w:jc w:val="center"/>
              <w:rPr>
                <w:rFonts w:hint="eastAsia" w:ascii="宋体" w:hAnsi="宋体" w:eastAsia="宋体" w:cs="宋体"/>
                <w:color w:val="auto"/>
                <w:sz w:val="21"/>
                <w:szCs w:val="21"/>
                <w:highlight w:val="none"/>
              </w:rPr>
            </w:pPr>
          </w:p>
        </w:tc>
        <w:tc>
          <w:tcPr>
            <w:tcW w:w="562" w:type="pct"/>
            <w:noWrap w:val="0"/>
            <w:vAlign w:val="center"/>
          </w:tcPr>
          <w:p w14:paraId="7F778526">
            <w:pPr>
              <w:spacing w:line="400" w:lineRule="exact"/>
              <w:jc w:val="center"/>
              <w:rPr>
                <w:rFonts w:hint="eastAsia" w:ascii="宋体" w:hAnsi="宋体" w:eastAsia="宋体" w:cs="宋体"/>
                <w:color w:val="auto"/>
                <w:sz w:val="21"/>
                <w:szCs w:val="21"/>
                <w:highlight w:val="none"/>
              </w:rPr>
            </w:pPr>
          </w:p>
        </w:tc>
        <w:tc>
          <w:tcPr>
            <w:tcW w:w="654" w:type="pct"/>
            <w:noWrap w:val="0"/>
            <w:vAlign w:val="center"/>
          </w:tcPr>
          <w:p w14:paraId="22EE09FC">
            <w:pPr>
              <w:spacing w:line="400" w:lineRule="exact"/>
              <w:jc w:val="center"/>
              <w:rPr>
                <w:rFonts w:hint="eastAsia" w:ascii="宋体" w:hAnsi="宋体" w:eastAsia="宋体" w:cs="宋体"/>
                <w:color w:val="auto"/>
                <w:sz w:val="21"/>
                <w:szCs w:val="21"/>
                <w:highlight w:val="none"/>
              </w:rPr>
            </w:pPr>
          </w:p>
        </w:tc>
        <w:tc>
          <w:tcPr>
            <w:tcW w:w="701" w:type="pct"/>
            <w:noWrap w:val="0"/>
            <w:vAlign w:val="center"/>
          </w:tcPr>
          <w:p w14:paraId="6F85D075">
            <w:pPr>
              <w:spacing w:line="400" w:lineRule="exact"/>
              <w:jc w:val="center"/>
              <w:rPr>
                <w:rFonts w:hint="eastAsia" w:ascii="宋体" w:hAnsi="宋体" w:eastAsia="宋体" w:cs="宋体"/>
                <w:color w:val="auto"/>
                <w:sz w:val="21"/>
                <w:szCs w:val="21"/>
                <w:highlight w:val="none"/>
              </w:rPr>
            </w:pPr>
          </w:p>
        </w:tc>
        <w:tc>
          <w:tcPr>
            <w:tcW w:w="965" w:type="pct"/>
            <w:noWrap w:val="0"/>
            <w:vAlign w:val="center"/>
          </w:tcPr>
          <w:p w14:paraId="638D6010">
            <w:pPr>
              <w:adjustRightInd w:val="0"/>
              <w:snapToGrid w:val="0"/>
              <w:ind w:left="-84" w:leftChars="-40"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653DF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noWrap w:val="0"/>
            <w:vAlign w:val="center"/>
          </w:tcPr>
          <w:p w14:paraId="657DBDE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47" w:type="pct"/>
            <w:noWrap w:val="0"/>
            <w:vAlign w:val="center"/>
          </w:tcPr>
          <w:p w14:paraId="6CAF706A">
            <w:pPr>
              <w:spacing w:line="400" w:lineRule="exact"/>
              <w:jc w:val="center"/>
              <w:rPr>
                <w:rFonts w:hint="eastAsia" w:ascii="宋体" w:hAnsi="宋体" w:eastAsia="宋体" w:cs="宋体"/>
                <w:color w:val="auto"/>
                <w:sz w:val="21"/>
                <w:szCs w:val="21"/>
                <w:highlight w:val="none"/>
              </w:rPr>
            </w:pPr>
          </w:p>
        </w:tc>
        <w:tc>
          <w:tcPr>
            <w:tcW w:w="583" w:type="pct"/>
            <w:noWrap w:val="0"/>
            <w:vAlign w:val="center"/>
          </w:tcPr>
          <w:p w14:paraId="005747BF">
            <w:pPr>
              <w:spacing w:line="400" w:lineRule="exact"/>
              <w:jc w:val="center"/>
              <w:rPr>
                <w:rFonts w:hint="eastAsia" w:ascii="宋体" w:hAnsi="宋体" w:eastAsia="宋体" w:cs="宋体"/>
                <w:color w:val="auto"/>
                <w:sz w:val="21"/>
                <w:szCs w:val="21"/>
                <w:highlight w:val="none"/>
              </w:rPr>
            </w:pPr>
          </w:p>
        </w:tc>
        <w:tc>
          <w:tcPr>
            <w:tcW w:w="593" w:type="pct"/>
            <w:noWrap w:val="0"/>
            <w:vAlign w:val="center"/>
          </w:tcPr>
          <w:p w14:paraId="081EC5CF">
            <w:pPr>
              <w:spacing w:line="400" w:lineRule="exact"/>
              <w:jc w:val="center"/>
              <w:rPr>
                <w:rFonts w:hint="eastAsia" w:ascii="宋体" w:hAnsi="宋体" w:eastAsia="宋体" w:cs="宋体"/>
                <w:color w:val="auto"/>
                <w:sz w:val="21"/>
                <w:szCs w:val="21"/>
                <w:highlight w:val="none"/>
              </w:rPr>
            </w:pPr>
          </w:p>
        </w:tc>
        <w:tc>
          <w:tcPr>
            <w:tcW w:w="562" w:type="pct"/>
            <w:noWrap w:val="0"/>
            <w:vAlign w:val="center"/>
          </w:tcPr>
          <w:p w14:paraId="4810CA59">
            <w:pPr>
              <w:spacing w:line="400" w:lineRule="exact"/>
              <w:jc w:val="center"/>
              <w:rPr>
                <w:rFonts w:hint="eastAsia" w:ascii="宋体" w:hAnsi="宋体" w:eastAsia="宋体" w:cs="宋体"/>
                <w:color w:val="auto"/>
                <w:sz w:val="21"/>
                <w:szCs w:val="21"/>
                <w:highlight w:val="none"/>
              </w:rPr>
            </w:pPr>
          </w:p>
        </w:tc>
        <w:tc>
          <w:tcPr>
            <w:tcW w:w="654" w:type="pct"/>
            <w:noWrap w:val="0"/>
            <w:vAlign w:val="center"/>
          </w:tcPr>
          <w:p w14:paraId="0CFFA268">
            <w:pPr>
              <w:spacing w:line="400" w:lineRule="exact"/>
              <w:jc w:val="center"/>
              <w:rPr>
                <w:rFonts w:hint="eastAsia" w:ascii="宋体" w:hAnsi="宋体" w:eastAsia="宋体" w:cs="宋体"/>
                <w:color w:val="auto"/>
                <w:sz w:val="21"/>
                <w:szCs w:val="21"/>
                <w:highlight w:val="none"/>
              </w:rPr>
            </w:pPr>
          </w:p>
        </w:tc>
        <w:tc>
          <w:tcPr>
            <w:tcW w:w="701" w:type="pct"/>
            <w:noWrap w:val="0"/>
            <w:vAlign w:val="center"/>
          </w:tcPr>
          <w:p w14:paraId="756B12F1">
            <w:pPr>
              <w:spacing w:line="400" w:lineRule="exact"/>
              <w:jc w:val="center"/>
              <w:rPr>
                <w:rFonts w:hint="eastAsia" w:ascii="宋体" w:hAnsi="宋体" w:eastAsia="宋体" w:cs="宋体"/>
                <w:color w:val="auto"/>
                <w:sz w:val="21"/>
                <w:szCs w:val="21"/>
                <w:highlight w:val="none"/>
              </w:rPr>
            </w:pPr>
          </w:p>
        </w:tc>
        <w:tc>
          <w:tcPr>
            <w:tcW w:w="965" w:type="pct"/>
            <w:noWrap w:val="0"/>
            <w:vAlign w:val="center"/>
          </w:tcPr>
          <w:p w14:paraId="1B28C608">
            <w:pPr>
              <w:adjustRightInd w:val="0"/>
              <w:snapToGrid w:val="0"/>
              <w:ind w:left="-84" w:leftChars="-40"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289DB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noWrap w:val="0"/>
            <w:vAlign w:val="center"/>
          </w:tcPr>
          <w:p w14:paraId="1C421611">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47" w:type="pct"/>
            <w:noWrap w:val="0"/>
            <w:vAlign w:val="center"/>
          </w:tcPr>
          <w:p w14:paraId="4008B688">
            <w:pPr>
              <w:spacing w:line="400" w:lineRule="exact"/>
              <w:jc w:val="center"/>
              <w:rPr>
                <w:rFonts w:hint="eastAsia" w:ascii="宋体" w:hAnsi="宋体" w:eastAsia="宋体" w:cs="宋体"/>
                <w:color w:val="auto"/>
                <w:sz w:val="21"/>
                <w:szCs w:val="21"/>
                <w:highlight w:val="none"/>
              </w:rPr>
            </w:pPr>
          </w:p>
        </w:tc>
        <w:tc>
          <w:tcPr>
            <w:tcW w:w="583" w:type="pct"/>
            <w:noWrap w:val="0"/>
            <w:vAlign w:val="center"/>
          </w:tcPr>
          <w:p w14:paraId="14326D0E">
            <w:pPr>
              <w:spacing w:line="400" w:lineRule="exact"/>
              <w:jc w:val="center"/>
              <w:rPr>
                <w:rFonts w:hint="eastAsia" w:ascii="宋体" w:hAnsi="宋体" w:eastAsia="宋体" w:cs="宋体"/>
                <w:color w:val="auto"/>
                <w:sz w:val="21"/>
                <w:szCs w:val="21"/>
                <w:highlight w:val="none"/>
              </w:rPr>
            </w:pPr>
          </w:p>
        </w:tc>
        <w:tc>
          <w:tcPr>
            <w:tcW w:w="593" w:type="pct"/>
            <w:noWrap w:val="0"/>
            <w:vAlign w:val="center"/>
          </w:tcPr>
          <w:p w14:paraId="070AF8FD">
            <w:pPr>
              <w:spacing w:line="400" w:lineRule="exact"/>
              <w:jc w:val="center"/>
              <w:rPr>
                <w:rFonts w:hint="eastAsia" w:ascii="宋体" w:hAnsi="宋体" w:eastAsia="宋体" w:cs="宋体"/>
                <w:color w:val="auto"/>
                <w:sz w:val="21"/>
                <w:szCs w:val="21"/>
                <w:highlight w:val="none"/>
              </w:rPr>
            </w:pPr>
          </w:p>
        </w:tc>
        <w:tc>
          <w:tcPr>
            <w:tcW w:w="562" w:type="pct"/>
            <w:noWrap w:val="0"/>
            <w:vAlign w:val="center"/>
          </w:tcPr>
          <w:p w14:paraId="49679CFB">
            <w:pPr>
              <w:spacing w:line="400" w:lineRule="exact"/>
              <w:jc w:val="center"/>
              <w:rPr>
                <w:rFonts w:hint="eastAsia" w:ascii="宋体" w:hAnsi="宋体" w:eastAsia="宋体" w:cs="宋体"/>
                <w:color w:val="auto"/>
                <w:sz w:val="21"/>
                <w:szCs w:val="21"/>
                <w:highlight w:val="none"/>
              </w:rPr>
            </w:pPr>
          </w:p>
        </w:tc>
        <w:tc>
          <w:tcPr>
            <w:tcW w:w="654" w:type="pct"/>
            <w:noWrap w:val="0"/>
            <w:vAlign w:val="center"/>
          </w:tcPr>
          <w:p w14:paraId="56C41C60">
            <w:pPr>
              <w:spacing w:line="400" w:lineRule="exact"/>
              <w:jc w:val="center"/>
              <w:rPr>
                <w:rFonts w:hint="eastAsia" w:ascii="宋体" w:hAnsi="宋体" w:eastAsia="宋体" w:cs="宋体"/>
                <w:color w:val="auto"/>
                <w:sz w:val="21"/>
                <w:szCs w:val="21"/>
                <w:highlight w:val="none"/>
              </w:rPr>
            </w:pPr>
          </w:p>
        </w:tc>
        <w:tc>
          <w:tcPr>
            <w:tcW w:w="701" w:type="pct"/>
            <w:noWrap w:val="0"/>
            <w:vAlign w:val="center"/>
          </w:tcPr>
          <w:p w14:paraId="4B08A3AC">
            <w:pPr>
              <w:spacing w:line="400" w:lineRule="exact"/>
              <w:jc w:val="center"/>
              <w:rPr>
                <w:rFonts w:hint="eastAsia" w:ascii="宋体" w:hAnsi="宋体" w:eastAsia="宋体" w:cs="宋体"/>
                <w:color w:val="auto"/>
                <w:sz w:val="21"/>
                <w:szCs w:val="21"/>
                <w:highlight w:val="none"/>
              </w:rPr>
            </w:pPr>
          </w:p>
        </w:tc>
        <w:tc>
          <w:tcPr>
            <w:tcW w:w="965" w:type="pct"/>
            <w:noWrap w:val="0"/>
            <w:vAlign w:val="center"/>
          </w:tcPr>
          <w:p w14:paraId="0A2F2667">
            <w:pPr>
              <w:adjustRightInd w:val="0"/>
              <w:snapToGrid w:val="0"/>
              <w:ind w:left="-84" w:leftChars="-40"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5B69A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noWrap w:val="0"/>
            <w:vAlign w:val="center"/>
          </w:tcPr>
          <w:p w14:paraId="28F6D7B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47" w:type="pct"/>
            <w:noWrap w:val="0"/>
            <w:vAlign w:val="center"/>
          </w:tcPr>
          <w:p w14:paraId="055731ED">
            <w:pPr>
              <w:spacing w:line="400" w:lineRule="exact"/>
              <w:jc w:val="center"/>
              <w:rPr>
                <w:rFonts w:hint="eastAsia" w:ascii="宋体" w:hAnsi="宋体" w:eastAsia="宋体" w:cs="宋体"/>
                <w:color w:val="auto"/>
                <w:sz w:val="21"/>
                <w:szCs w:val="21"/>
                <w:highlight w:val="none"/>
              </w:rPr>
            </w:pPr>
          </w:p>
        </w:tc>
        <w:tc>
          <w:tcPr>
            <w:tcW w:w="583" w:type="pct"/>
            <w:noWrap w:val="0"/>
            <w:vAlign w:val="center"/>
          </w:tcPr>
          <w:p w14:paraId="0CA20DE5">
            <w:pPr>
              <w:spacing w:line="400" w:lineRule="exact"/>
              <w:jc w:val="center"/>
              <w:rPr>
                <w:rFonts w:hint="eastAsia" w:ascii="宋体" w:hAnsi="宋体" w:eastAsia="宋体" w:cs="宋体"/>
                <w:color w:val="auto"/>
                <w:sz w:val="21"/>
                <w:szCs w:val="21"/>
                <w:highlight w:val="none"/>
              </w:rPr>
            </w:pPr>
          </w:p>
        </w:tc>
        <w:tc>
          <w:tcPr>
            <w:tcW w:w="593" w:type="pct"/>
            <w:noWrap w:val="0"/>
            <w:vAlign w:val="center"/>
          </w:tcPr>
          <w:p w14:paraId="3B8A02DE">
            <w:pPr>
              <w:spacing w:line="400" w:lineRule="exact"/>
              <w:jc w:val="center"/>
              <w:rPr>
                <w:rFonts w:hint="eastAsia" w:ascii="宋体" w:hAnsi="宋体" w:eastAsia="宋体" w:cs="宋体"/>
                <w:color w:val="auto"/>
                <w:sz w:val="21"/>
                <w:szCs w:val="21"/>
                <w:highlight w:val="none"/>
              </w:rPr>
            </w:pPr>
          </w:p>
        </w:tc>
        <w:tc>
          <w:tcPr>
            <w:tcW w:w="562" w:type="pct"/>
            <w:noWrap w:val="0"/>
            <w:vAlign w:val="center"/>
          </w:tcPr>
          <w:p w14:paraId="380145DF">
            <w:pPr>
              <w:spacing w:line="400" w:lineRule="exact"/>
              <w:jc w:val="center"/>
              <w:rPr>
                <w:rFonts w:hint="eastAsia" w:ascii="宋体" w:hAnsi="宋体" w:eastAsia="宋体" w:cs="宋体"/>
                <w:color w:val="auto"/>
                <w:sz w:val="21"/>
                <w:szCs w:val="21"/>
                <w:highlight w:val="none"/>
              </w:rPr>
            </w:pPr>
          </w:p>
        </w:tc>
        <w:tc>
          <w:tcPr>
            <w:tcW w:w="654" w:type="pct"/>
            <w:noWrap w:val="0"/>
            <w:vAlign w:val="center"/>
          </w:tcPr>
          <w:p w14:paraId="177D8603">
            <w:pPr>
              <w:spacing w:line="400" w:lineRule="exact"/>
              <w:jc w:val="center"/>
              <w:rPr>
                <w:rFonts w:hint="eastAsia" w:ascii="宋体" w:hAnsi="宋体" w:eastAsia="宋体" w:cs="宋体"/>
                <w:color w:val="auto"/>
                <w:sz w:val="21"/>
                <w:szCs w:val="21"/>
                <w:highlight w:val="none"/>
              </w:rPr>
            </w:pPr>
          </w:p>
        </w:tc>
        <w:tc>
          <w:tcPr>
            <w:tcW w:w="701" w:type="pct"/>
            <w:noWrap w:val="0"/>
            <w:vAlign w:val="center"/>
          </w:tcPr>
          <w:p w14:paraId="5004F678">
            <w:pPr>
              <w:spacing w:line="400" w:lineRule="exact"/>
              <w:jc w:val="center"/>
              <w:rPr>
                <w:rFonts w:hint="eastAsia" w:ascii="宋体" w:hAnsi="宋体" w:eastAsia="宋体" w:cs="宋体"/>
                <w:color w:val="auto"/>
                <w:sz w:val="21"/>
                <w:szCs w:val="21"/>
                <w:highlight w:val="none"/>
              </w:rPr>
            </w:pPr>
          </w:p>
        </w:tc>
        <w:tc>
          <w:tcPr>
            <w:tcW w:w="965" w:type="pct"/>
            <w:noWrap w:val="0"/>
            <w:vAlign w:val="center"/>
          </w:tcPr>
          <w:p w14:paraId="7F90760D">
            <w:pPr>
              <w:adjustRightInd w:val="0"/>
              <w:snapToGrid w:val="0"/>
              <w:ind w:left="-84" w:leftChars="-40"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59498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noWrap w:val="0"/>
            <w:vAlign w:val="center"/>
          </w:tcPr>
          <w:p w14:paraId="28B13B03">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47" w:type="pct"/>
            <w:noWrap w:val="0"/>
            <w:vAlign w:val="center"/>
          </w:tcPr>
          <w:p w14:paraId="6B8B8241">
            <w:pPr>
              <w:spacing w:line="400" w:lineRule="exact"/>
              <w:jc w:val="center"/>
              <w:rPr>
                <w:rFonts w:hint="eastAsia" w:ascii="宋体" w:hAnsi="宋体" w:eastAsia="宋体" w:cs="宋体"/>
                <w:color w:val="auto"/>
                <w:sz w:val="21"/>
                <w:szCs w:val="21"/>
                <w:highlight w:val="none"/>
              </w:rPr>
            </w:pPr>
          </w:p>
        </w:tc>
        <w:tc>
          <w:tcPr>
            <w:tcW w:w="583" w:type="pct"/>
            <w:noWrap w:val="0"/>
            <w:vAlign w:val="center"/>
          </w:tcPr>
          <w:p w14:paraId="1D311590">
            <w:pPr>
              <w:spacing w:line="400" w:lineRule="exact"/>
              <w:jc w:val="center"/>
              <w:rPr>
                <w:rFonts w:hint="eastAsia" w:ascii="宋体" w:hAnsi="宋体" w:eastAsia="宋体" w:cs="宋体"/>
                <w:color w:val="auto"/>
                <w:sz w:val="21"/>
                <w:szCs w:val="21"/>
                <w:highlight w:val="none"/>
              </w:rPr>
            </w:pPr>
          </w:p>
        </w:tc>
        <w:tc>
          <w:tcPr>
            <w:tcW w:w="593" w:type="pct"/>
            <w:noWrap w:val="0"/>
            <w:vAlign w:val="center"/>
          </w:tcPr>
          <w:p w14:paraId="1E2A69E0">
            <w:pPr>
              <w:spacing w:line="400" w:lineRule="exact"/>
              <w:jc w:val="center"/>
              <w:rPr>
                <w:rFonts w:hint="eastAsia" w:ascii="宋体" w:hAnsi="宋体" w:eastAsia="宋体" w:cs="宋体"/>
                <w:color w:val="auto"/>
                <w:sz w:val="21"/>
                <w:szCs w:val="21"/>
                <w:highlight w:val="none"/>
              </w:rPr>
            </w:pPr>
          </w:p>
        </w:tc>
        <w:tc>
          <w:tcPr>
            <w:tcW w:w="562" w:type="pct"/>
            <w:noWrap w:val="0"/>
            <w:vAlign w:val="center"/>
          </w:tcPr>
          <w:p w14:paraId="66C3918D">
            <w:pPr>
              <w:spacing w:line="400" w:lineRule="exact"/>
              <w:jc w:val="center"/>
              <w:rPr>
                <w:rFonts w:hint="eastAsia" w:ascii="宋体" w:hAnsi="宋体" w:eastAsia="宋体" w:cs="宋体"/>
                <w:color w:val="auto"/>
                <w:sz w:val="21"/>
                <w:szCs w:val="21"/>
                <w:highlight w:val="none"/>
              </w:rPr>
            </w:pPr>
          </w:p>
        </w:tc>
        <w:tc>
          <w:tcPr>
            <w:tcW w:w="654" w:type="pct"/>
            <w:noWrap w:val="0"/>
            <w:vAlign w:val="center"/>
          </w:tcPr>
          <w:p w14:paraId="0D7ACC83">
            <w:pPr>
              <w:spacing w:line="400" w:lineRule="exact"/>
              <w:jc w:val="center"/>
              <w:rPr>
                <w:rFonts w:hint="eastAsia" w:ascii="宋体" w:hAnsi="宋体" w:eastAsia="宋体" w:cs="宋体"/>
                <w:color w:val="auto"/>
                <w:sz w:val="21"/>
                <w:szCs w:val="21"/>
                <w:highlight w:val="none"/>
              </w:rPr>
            </w:pPr>
          </w:p>
        </w:tc>
        <w:tc>
          <w:tcPr>
            <w:tcW w:w="701" w:type="pct"/>
            <w:noWrap w:val="0"/>
            <w:vAlign w:val="center"/>
          </w:tcPr>
          <w:p w14:paraId="515DBC47">
            <w:pPr>
              <w:spacing w:line="400" w:lineRule="exact"/>
              <w:jc w:val="center"/>
              <w:rPr>
                <w:rFonts w:hint="eastAsia" w:ascii="宋体" w:hAnsi="宋体" w:eastAsia="宋体" w:cs="宋体"/>
                <w:color w:val="auto"/>
                <w:sz w:val="21"/>
                <w:szCs w:val="21"/>
                <w:highlight w:val="none"/>
              </w:rPr>
            </w:pPr>
          </w:p>
        </w:tc>
        <w:tc>
          <w:tcPr>
            <w:tcW w:w="965" w:type="pct"/>
            <w:noWrap w:val="0"/>
            <w:vAlign w:val="center"/>
          </w:tcPr>
          <w:p w14:paraId="3E06B834">
            <w:pPr>
              <w:adjustRightInd w:val="0"/>
              <w:snapToGrid w:val="0"/>
              <w:ind w:left="-84" w:leftChars="-40"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bl>
    <w:p w14:paraId="41C21D3D">
      <w:pPr>
        <w:adjustRightInd w:val="0"/>
        <w:snapToGrid w:val="0"/>
        <w:spacing w:line="360" w:lineRule="auto"/>
        <w:rPr>
          <w:rFonts w:hint="eastAsia"/>
          <w:bCs/>
          <w:color w:val="auto"/>
          <w:highlight w:val="none"/>
        </w:rPr>
      </w:pPr>
      <w:r>
        <w:rPr>
          <w:rFonts w:hint="eastAsia"/>
          <w:bCs/>
          <w:color w:val="auto"/>
          <w:highlight w:val="none"/>
        </w:rPr>
        <w:t>备注：</w:t>
      </w:r>
    </w:p>
    <w:p w14:paraId="1A39E779">
      <w:pPr>
        <w:numPr>
          <w:ilvl w:val="0"/>
          <w:numId w:val="76"/>
        </w:numPr>
        <w:adjustRightInd w:val="0"/>
        <w:snapToGrid w:val="0"/>
        <w:spacing w:line="360" w:lineRule="auto"/>
        <w:ind w:left="425" w:leftChars="0" w:hanging="425" w:firstLineChars="0"/>
        <w:rPr>
          <w:rFonts w:hint="eastAsia" w:ascii="宋体" w:hAnsi="宋体" w:eastAsia="宋体" w:cs="宋体"/>
          <w:bCs/>
          <w:color w:val="auto"/>
          <w:highlight w:val="none"/>
        </w:rPr>
      </w:pPr>
      <w:r>
        <w:rPr>
          <w:rFonts w:hint="eastAsia" w:ascii="宋体" w:hAnsi="宋体" w:eastAsia="宋体" w:cs="宋体"/>
          <w:color w:val="auto"/>
          <w:szCs w:val="21"/>
          <w:highlight w:val="none"/>
        </w:rPr>
        <w:t>根据评分表的要求提交相应资料</w:t>
      </w:r>
      <w:r>
        <w:rPr>
          <w:rFonts w:hint="eastAsia" w:ascii="宋体" w:hAnsi="宋体" w:eastAsia="宋体" w:cs="宋体"/>
          <w:bCs/>
          <w:color w:val="auto"/>
          <w:highlight w:val="none"/>
        </w:rPr>
        <w:t>。</w:t>
      </w:r>
    </w:p>
    <w:p w14:paraId="399BA6DC">
      <w:pPr>
        <w:numPr>
          <w:ilvl w:val="0"/>
          <w:numId w:val="76"/>
        </w:numPr>
        <w:adjustRightInd w:val="0"/>
        <w:snapToGrid w:val="0"/>
        <w:spacing w:line="360" w:lineRule="auto"/>
        <w:ind w:left="425" w:leftChars="0" w:hanging="425" w:firstLineChars="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如本表格式内容不能满足需要，投标人可根据本表格式自行扩展填写，但必须体现以上内容</w:t>
      </w:r>
      <w:r>
        <w:rPr>
          <w:rFonts w:hint="eastAsia" w:ascii="宋体" w:hAnsi="宋体" w:eastAsia="宋体" w:cs="宋体"/>
          <w:bCs/>
          <w:color w:val="auto"/>
          <w:highlight w:val="none"/>
          <w:lang w:eastAsia="zh-CN"/>
        </w:rPr>
        <w:t>。</w:t>
      </w:r>
    </w:p>
    <w:p w14:paraId="09058069">
      <w:pPr>
        <w:spacing w:line="500" w:lineRule="exact"/>
        <w:rPr>
          <w:rFonts w:hint="eastAsia" w:ascii="宋体" w:hAnsi="宋体"/>
          <w:color w:val="auto"/>
          <w:sz w:val="24"/>
          <w:highlight w:val="none"/>
        </w:rPr>
      </w:pPr>
    </w:p>
    <w:p w14:paraId="32D415F5">
      <w:pPr>
        <w:spacing w:line="500" w:lineRule="exact"/>
        <w:rPr>
          <w:rFonts w:hint="eastAsia" w:ascii="宋体" w:hAnsi="宋体"/>
          <w:color w:val="auto"/>
          <w:sz w:val="24"/>
          <w:highlight w:val="none"/>
        </w:rPr>
      </w:pPr>
    </w:p>
    <w:p w14:paraId="5794F2E7">
      <w:pPr>
        <w:spacing w:line="500" w:lineRule="exact"/>
        <w:rPr>
          <w:rFonts w:hint="eastAsia" w:ascii="宋体" w:hAnsi="宋体"/>
          <w:color w:val="auto"/>
          <w:u w:val="single"/>
        </w:rPr>
      </w:pPr>
      <w:r>
        <w:rPr>
          <w:rFonts w:hint="eastAsia"/>
          <w:color w:val="auto"/>
          <w:spacing w:val="4"/>
          <w:highlight w:val="none"/>
        </w:rPr>
        <w:t>投标人名称（加盖公章）：</w:t>
      </w:r>
      <w:r>
        <w:rPr>
          <w:rFonts w:hint="eastAsia"/>
          <w:color w:val="auto"/>
          <w:spacing w:val="4"/>
          <w:highlight w:val="none"/>
          <w:u w:val="single"/>
        </w:rPr>
        <w:t xml:space="preserve">         </w:t>
      </w:r>
      <w:r>
        <w:rPr>
          <w:rFonts w:hint="eastAsia"/>
          <w:color w:val="auto"/>
          <w:spacing w:val="4"/>
          <w:u w:val="single"/>
        </w:rPr>
        <w:t xml:space="preserve">                    </w:t>
      </w:r>
    </w:p>
    <w:p w14:paraId="33BC47F6">
      <w:pPr>
        <w:rPr>
          <w:rFonts w:hint="eastAsia"/>
          <w:color w:val="auto"/>
          <w:spacing w:val="4"/>
        </w:rPr>
      </w:pPr>
    </w:p>
    <w:p w14:paraId="26FCD8BF">
      <w:pPr>
        <w:spacing w:line="520" w:lineRule="exact"/>
        <w:rPr>
          <w:rFonts w:hint="eastAsia"/>
          <w:color w:val="auto"/>
          <w:spacing w:val="4"/>
        </w:rPr>
      </w:pPr>
      <w:r>
        <w:rPr>
          <w:rFonts w:hint="eastAsia" w:ascii="宋体"/>
          <w:color w:val="auto"/>
        </w:rPr>
        <w:t>法定代表人或</w:t>
      </w:r>
      <w:r>
        <w:rPr>
          <w:rFonts w:hint="eastAsia" w:ascii="宋体" w:hAnsi="宋体"/>
          <w:color w:val="auto"/>
        </w:rPr>
        <w:t>投标人授权代表（签名或盖章）：</w:t>
      </w:r>
      <w:r>
        <w:rPr>
          <w:color w:val="auto"/>
          <w:spacing w:val="4"/>
          <w:u w:val="single"/>
        </w:rPr>
        <w:t xml:space="preserve">             </w:t>
      </w:r>
      <w:r>
        <w:rPr>
          <w:color w:val="auto"/>
          <w:spacing w:val="4"/>
        </w:rPr>
        <w:t xml:space="preserve">  </w:t>
      </w:r>
      <w:r>
        <w:rPr>
          <w:rFonts w:hint="eastAsia"/>
          <w:color w:val="auto"/>
          <w:spacing w:val="4"/>
        </w:rPr>
        <w:t>日期</w:t>
      </w:r>
      <w:r>
        <w:rPr>
          <w:color w:val="auto"/>
          <w:spacing w:val="4"/>
          <w:u w:val="single"/>
        </w:rPr>
        <w:t xml:space="preserve">         </w:t>
      </w:r>
    </w:p>
    <w:p w14:paraId="14089AA1">
      <w:pPr>
        <w:spacing w:line="500" w:lineRule="exact"/>
        <w:rPr>
          <w:rFonts w:hint="eastAsia" w:ascii="宋体" w:hAnsi="宋体"/>
          <w:color w:val="auto"/>
          <w:sz w:val="24"/>
        </w:rPr>
      </w:pPr>
    </w:p>
    <w:bookmarkEnd w:id="218"/>
    <w:bookmarkEnd w:id="228"/>
    <w:p w14:paraId="22F29DA1">
      <w:pPr>
        <w:rPr>
          <w:rFonts w:hint="eastAsia"/>
          <w:b w:val="0"/>
          <w:color w:val="auto"/>
        </w:rPr>
      </w:pPr>
      <w:bookmarkStart w:id="229" w:name="_Toc275865624"/>
      <w:r>
        <w:rPr>
          <w:rFonts w:hint="eastAsia"/>
          <w:b w:val="0"/>
          <w:color w:val="auto"/>
        </w:rPr>
        <w:br w:type="page"/>
      </w:r>
    </w:p>
    <w:p w14:paraId="620AAB1E">
      <w:pPr>
        <w:numPr>
          <w:ilvl w:val="0"/>
          <w:numId w:val="60"/>
        </w:numPr>
        <w:spacing w:line="440" w:lineRule="exact"/>
        <w:rPr>
          <w:rFonts w:hint="eastAsia"/>
          <w:b w:val="0"/>
          <w:color w:val="auto"/>
        </w:rPr>
      </w:pPr>
    </w:p>
    <w:p w14:paraId="12540E2C">
      <w:pPr>
        <w:pStyle w:val="4"/>
        <w:adjustRightInd w:val="0"/>
        <w:snapToGrid w:val="0"/>
        <w:spacing w:before="156" w:beforeLines="50" w:after="156" w:afterLines="50" w:line="360" w:lineRule="auto"/>
        <w:jc w:val="center"/>
        <w:rPr>
          <w:rFonts w:hint="eastAsia" w:cs="Times New Roman"/>
          <w:b w:val="0"/>
          <w:color w:val="auto"/>
          <w:highlight w:val="none"/>
          <w:lang w:val="en-US" w:eastAsia="zh-CN"/>
        </w:rPr>
      </w:pPr>
      <w:r>
        <w:rPr>
          <w:rFonts w:hint="eastAsia" w:cs="Times New Roman"/>
          <w:b w:val="0"/>
          <w:color w:val="auto"/>
          <w:highlight w:val="none"/>
          <w:lang w:val="en-US" w:eastAsia="zh-CN"/>
        </w:rPr>
        <w:t>招标代理服务费承诺书</w:t>
      </w:r>
      <w:bookmarkEnd w:id="229"/>
    </w:p>
    <w:p w14:paraId="1D144F11">
      <w:pPr>
        <w:spacing w:line="520" w:lineRule="exact"/>
        <w:ind w:left="315"/>
        <w:rPr>
          <w:rFonts w:hint="eastAsia" w:ascii="宋体" w:hAnsi="宋体"/>
          <w:b/>
          <w:color w:val="auto"/>
        </w:rPr>
      </w:pPr>
      <w:r>
        <w:rPr>
          <w:rFonts w:hint="eastAsia" w:ascii="宋体" w:hAnsi="宋体"/>
          <w:b/>
          <w:color w:val="auto"/>
        </w:rPr>
        <w:t>广东中采招标有限公司:</w:t>
      </w:r>
    </w:p>
    <w:p w14:paraId="0E11A9E0">
      <w:pPr>
        <w:spacing w:line="360" w:lineRule="auto"/>
        <w:ind w:left="315" w:leftChars="150" w:firstLine="420" w:firstLineChars="200"/>
        <w:rPr>
          <w:rFonts w:hint="eastAsia" w:ascii="宋体" w:hAnsi="宋体"/>
          <w:color w:val="auto"/>
        </w:rPr>
      </w:pPr>
      <w:r>
        <w:rPr>
          <w:rFonts w:hint="eastAsia" w:ascii="宋体" w:hAnsi="宋体"/>
          <w:color w:val="auto"/>
        </w:rPr>
        <w:t>本公司</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投标人名称</w:t>
      </w:r>
      <w:r>
        <w:rPr>
          <w:rFonts w:hint="eastAsia" w:ascii="宋体" w:hAnsi="宋体"/>
          <w:color w:val="auto"/>
          <w:u w:val="single"/>
          <w:lang w:eastAsia="zh-CN"/>
        </w:rPr>
        <w:t>）</w:t>
      </w:r>
      <w:r>
        <w:rPr>
          <w:rFonts w:hint="eastAsia" w:ascii="宋体" w:hAnsi="宋体"/>
          <w:color w:val="auto"/>
          <w:u w:val="single"/>
        </w:rPr>
        <w:t xml:space="preserve">      </w:t>
      </w:r>
      <w:r>
        <w:rPr>
          <w:rFonts w:hint="eastAsia" w:ascii="宋体" w:hAnsi="宋体"/>
          <w:color w:val="auto"/>
        </w:rPr>
        <w:t>在参加在贵公司举行的</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项目名称</w:t>
      </w:r>
      <w:r>
        <w:rPr>
          <w:rFonts w:hint="eastAsia" w:ascii="宋体" w:hAnsi="宋体"/>
          <w:color w:val="auto"/>
          <w:u w:val="single"/>
          <w:lang w:eastAsia="zh-CN"/>
        </w:rPr>
        <w:t>）</w:t>
      </w:r>
      <w:r>
        <w:rPr>
          <w:rFonts w:hint="eastAsia" w:ascii="宋体" w:hAnsi="宋体"/>
          <w:color w:val="auto"/>
          <w:u w:val="single"/>
        </w:rPr>
        <w:t xml:space="preserve">      </w:t>
      </w:r>
      <w:r>
        <w:rPr>
          <w:rFonts w:hint="eastAsia" w:ascii="宋体" w:hAnsi="宋体"/>
          <w:color w:val="auto"/>
          <w:lang w:eastAsia="zh-CN"/>
        </w:rPr>
        <w:t>（</w:t>
      </w:r>
      <w:r>
        <w:rPr>
          <w:rFonts w:hint="eastAsia"/>
          <w:color w:val="auto"/>
        </w:rPr>
        <w:t>项目编号：</w:t>
      </w:r>
      <w:r>
        <w:rPr>
          <w:rFonts w:hint="eastAsia" w:ascii="宋体" w:hAnsi="宋体"/>
          <w:color w:val="auto"/>
          <w:lang w:eastAsia="zh-CN"/>
        </w:rPr>
        <w:t>JG2025(SS)XZ0008 ）</w:t>
      </w:r>
      <w:r>
        <w:rPr>
          <w:rFonts w:hint="eastAsia" w:ascii="宋体" w:hAnsi="宋体"/>
          <w:color w:val="auto"/>
        </w:rPr>
        <w:t>的招标中如获中标，我公司保证按照招标文件规定缴纳“招标代理服务费”后，凭领取人身份证复印件并加盖公章领取《中标通知书》。</w:t>
      </w:r>
    </w:p>
    <w:p w14:paraId="75178A97">
      <w:pPr>
        <w:spacing w:line="360" w:lineRule="auto"/>
        <w:ind w:left="315" w:leftChars="150" w:firstLine="420" w:firstLineChars="200"/>
        <w:rPr>
          <w:rFonts w:hint="eastAsia" w:ascii="宋体" w:hAnsi="宋体"/>
          <w:color w:val="auto"/>
        </w:rPr>
      </w:pPr>
      <w:r>
        <w:rPr>
          <w:rFonts w:hint="eastAsia" w:ascii="宋体" w:hAnsi="宋体"/>
          <w:color w:val="auto"/>
        </w:rPr>
        <w:t>如我方违反上款承诺，愿凭贵公司开出的相关通知，同意广东中采招标有限公司办理支付手续，并愿承担全部由此引起的法律责任。</w:t>
      </w:r>
    </w:p>
    <w:p w14:paraId="02E2C2B4">
      <w:pPr>
        <w:spacing w:line="360" w:lineRule="auto"/>
        <w:ind w:left="150" w:firstLine="200"/>
        <w:rPr>
          <w:rFonts w:hint="eastAsia" w:ascii="宋体" w:hAnsi="宋体"/>
          <w:color w:val="auto"/>
        </w:rPr>
      </w:pPr>
    </w:p>
    <w:p w14:paraId="6966B5D3">
      <w:pPr>
        <w:spacing w:line="520" w:lineRule="exact"/>
        <w:ind w:firstLine="840" w:firstLineChars="400"/>
        <w:rPr>
          <w:rFonts w:hint="eastAsia" w:ascii="宋体" w:hAnsi="宋体"/>
          <w:color w:val="auto"/>
        </w:rPr>
      </w:pPr>
      <w:r>
        <w:rPr>
          <w:rFonts w:hint="eastAsia" w:ascii="宋体" w:hAnsi="宋体"/>
          <w:color w:val="auto"/>
        </w:rPr>
        <w:t>特此承诺!</w:t>
      </w:r>
    </w:p>
    <w:p w14:paraId="68A7A8A3">
      <w:pPr>
        <w:spacing w:line="520" w:lineRule="exact"/>
        <w:ind w:left="315"/>
        <w:rPr>
          <w:rFonts w:hint="eastAsia" w:ascii="宋体" w:hAnsi="宋体"/>
          <w:color w:val="auto"/>
        </w:rPr>
      </w:pPr>
    </w:p>
    <w:p w14:paraId="0895C093">
      <w:pPr>
        <w:spacing w:line="520" w:lineRule="exact"/>
        <w:ind w:left="315"/>
        <w:rPr>
          <w:rFonts w:hint="eastAsia" w:ascii="宋体" w:hAnsi="宋体" w:eastAsia="宋体"/>
          <w:color w:val="auto"/>
          <w:lang w:eastAsia="zh-CN"/>
        </w:rPr>
      </w:pPr>
      <w:r>
        <w:rPr>
          <w:rFonts w:hint="eastAsia" w:ascii="宋体" w:hAnsi="宋体"/>
          <w:color w:val="auto"/>
        </w:rPr>
        <w:t>投标人名称</w:t>
      </w:r>
      <w:r>
        <w:rPr>
          <w:rFonts w:hint="eastAsia" w:ascii="宋体" w:hAnsi="宋体"/>
          <w:color w:val="auto"/>
          <w:lang w:eastAsia="zh-CN"/>
        </w:rPr>
        <w:t>（</w:t>
      </w:r>
      <w:r>
        <w:rPr>
          <w:rFonts w:hint="eastAsia" w:ascii="宋体" w:hAnsi="宋体"/>
          <w:color w:val="auto"/>
        </w:rPr>
        <w:t>加盖公章</w:t>
      </w:r>
      <w:r>
        <w:rPr>
          <w:rFonts w:hint="eastAsia" w:ascii="宋体" w:hAnsi="宋体"/>
          <w:color w:val="auto"/>
          <w:lang w:eastAsia="zh-CN"/>
        </w:rPr>
        <w:t>）：</w:t>
      </w:r>
    </w:p>
    <w:p w14:paraId="00CAFCE6">
      <w:pPr>
        <w:spacing w:line="520" w:lineRule="exact"/>
        <w:ind w:left="315"/>
        <w:rPr>
          <w:rFonts w:hint="eastAsia" w:ascii="宋体" w:hAnsi="宋体" w:eastAsia="宋体" w:cs="Times New Roman"/>
          <w:color w:val="auto"/>
          <w:lang w:eastAsia="zh-CN"/>
        </w:rPr>
      </w:pPr>
      <w:r>
        <w:rPr>
          <w:rFonts w:hint="eastAsia" w:ascii="宋体" w:hAnsi="宋体" w:eastAsia="宋体" w:cs="Times New Roman"/>
          <w:color w:val="auto"/>
        </w:rPr>
        <w:t>日期</w:t>
      </w:r>
      <w:r>
        <w:rPr>
          <w:rFonts w:hint="eastAsia" w:ascii="宋体" w:hAnsi="宋体" w:eastAsia="宋体" w:cs="Times New Roman"/>
          <w:color w:val="auto"/>
          <w:lang w:eastAsia="zh-CN"/>
        </w:rPr>
        <w:t>：</w:t>
      </w:r>
    </w:p>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54C5B">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2</w:t>
    </w:r>
    <w:r>
      <w:fldChar w:fldCharType="end"/>
    </w:r>
  </w:p>
  <w:p w14:paraId="250AA8E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89BD9">
    <w:pPr>
      <w:pStyle w:val="14"/>
      <w:ind w:firstLine="2070" w:firstLineChars="115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9BB734">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1A9BB734">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A635">
    <w:pPr>
      <w:pStyle w:val="14"/>
      <w:ind w:firstLine="2430" w:firstLineChars="135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34479F">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fill on="f" focussize="0,0"/>
              <v:stroke on="f"/>
              <v:imagedata o:title=""/>
              <o:lock v:ext="edit" aspectratio="f"/>
              <v:textbox inset="0mm,0mm,0mm,0mm" style="mso-fit-shape-to-text:t;">
                <w:txbxContent>
                  <w:p w14:paraId="0E34479F">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9BE41">
    <w:pPr>
      <w:pStyle w:val="15"/>
      <w:pBdr>
        <w:bottom w:val="none" w:color="auto" w:sz="0" w:space="0"/>
      </w:pBdr>
      <w:jc w:val="both"/>
      <w:rPr>
        <w:rFonts w:hint="eastAsia"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A558">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480DF">
    <w:pPr>
      <w:pStyle w:val="15"/>
      <w:jc w:val="left"/>
    </w:pPr>
    <w:r>
      <w:rPr>
        <w:rFonts w:ascii="宋体" w:hAnsi="宋体" w:cs="宋体"/>
        <w:sz w:val="24"/>
      </w:rPr>
      <w:drawing>
        <wp:inline distT="0" distB="0" distL="114300" distR="114300">
          <wp:extent cx="457835" cy="411480"/>
          <wp:effectExtent l="0" t="0" r="18415" b="7620"/>
          <wp:docPr id="7" name="图片 2"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9KYQQ}GOZ1{]~8T6VE]_3Y"/>
                  <pic:cNvPicPr>
                    <a:picLocks noChangeAspect="1"/>
                  </pic:cNvPicPr>
                </pic:nvPicPr>
                <pic:blipFill>
                  <a:blip r:embed="rId1"/>
                  <a:stretch>
                    <a:fillRect/>
                  </a:stretch>
                </pic:blipFill>
                <pic:spPr>
                  <a:xfrm>
                    <a:off x="0" y="0"/>
                    <a:ext cx="457835" cy="411480"/>
                  </a:xfrm>
                  <a:prstGeom prst="rect">
                    <a:avLst/>
                  </a:prstGeom>
                  <a:noFill/>
                  <a:ln>
                    <a:noFill/>
                  </a:ln>
                </pic:spPr>
              </pic:pic>
            </a:graphicData>
          </a:graphic>
        </wp:inline>
      </w:drawing>
    </w:r>
    <w:r>
      <w:rPr>
        <w:rFonts w:hint="eastAsia" w:ascii="宋体" w:hAnsi="宋体" w:cs="宋体"/>
        <w:sz w:val="24"/>
      </w:rPr>
      <w:t xml:space="preserve"> </w:t>
    </w:r>
    <w:r>
      <w:rPr>
        <w:rFonts w:hint="eastAsia" w:ascii="宋体" w:hAnsi="宋体" w:cs="宋体"/>
      </w:rPr>
      <w:t>广东中采招标有限公司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43C90">
    <w:pPr>
      <w:pStyle w:val="15"/>
      <w:jc w:val="left"/>
      <w:rPr>
        <w:rFonts w:hint="eastAsia"/>
      </w:rPr>
    </w:pPr>
    <w:r>
      <w:rPr>
        <w:rFonts w:ascii="宋体" w:hAnsi="宋体" w:cs="宋体"/>
        <w:sz w:val="24"/>
      </w:rPr>
      <w:drawing>
        <wp:inline distT="0" distB="0" distL="114300" distR="114300">
          <wp:extent cx="457835" cy="411480"/>
          <wp:effectExtent l="0" t="0" r="18415" b="7620"/>
          <wp:docPr id="9" name="图片 3"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9KYQQ}GOZ1{]~8T6VE]_3Y"/>
                  <pic:cNvPicPr>
                    <a:picLocks noChangeAspect="1"/>
                  </pic:cNvPicPr>
                </pic:nvPicPr>
                <pic:blipFill>
                  <a:blip r:embed="rId1"/>
                  <a:stretch>
                    <a:fillRect/>
                  </a:stretch>
                </pic:blipFill>
                <pic:spPr>
                  <a:xfrm>
                    <a:off x="0" y="0"/>
                    <a:ext cx="457835" cy="411480"/>
                  </a:xfrm>
                  <a:prstGeom prst="rect">
                    <a:avLst/>
                  </a:prstGeom>
                  <a:noFill/>
                  <a:ln>
                    <a:noFill/>
                  </a:ln>
                </pic:spPr>
              </pic:pic>
            </a:graphicData>
          </a:graphic>
        </wp:inline>
      </w:drawing>
    </w:r>
    <w:r>
      <w:rPr>
        <w:rFonts w:hint="eastAsia" w:ascii="宋体" w:hAnsi="宋体" w:cs="宋体"/>
      </w:rPr>
      <w:t>广东中采招标有限公司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4F546"/>
    <w:multiLevelType w:val="singleLevel"/>
    <w:tmpl w:val="8184F546"/>
    <w:lvl w:ilvl="0" w:tentative="0">
      <w:start w:val="1"/>
      <w:numFmt w:val="decimal"/>
      <w:lvlText w:val="%1."/>
      <w:lvlJc w:val="left"/>
      <w:pPr>
        <w:ind w:left="425" w:hanging="425"/>
      </w:pPr>
      <w:rPr>
        <w:rFonts w:hint="default"/>
      </w:rPr>
    </w:lvl>
  </w:abstractNum>
  <w:abstractNum w:abstractNumId="1">
    <w:nsid w:val="9061DB4A"/>
    <w:multiLevelType w:val="singleLevel"/>
    <w:tmpl w:val="9061DB4A"/>
    <w:lvl w:ilvl="0" w:tentative="0">
      <w:start w:val="1"/>
      <w:numFmt w:val="decimal"/>
      <w:lvlText w:val="%1."/>
      <w:lvlJc w:val="left"/>
      <w:pPr>
        <w:ind w:left="425" w:hanging="425"/>
      </w:pPr>
      <w:rPr>
        <w:rFonts w:hint="default"/>
      </w:rPr>
    </w:lvl>
  </w:abstractNum>
  <w:abstractNum w:abstractNumId="2">
    <w:nsid w:val="909EF22C"/>
    <w:multiLevelType w:val="singleLevel"/>
    <w:tmpl w:val="909EF22C"/>
    <w:lvl w:ilvl="0" w:tentative="0">
      <w:start w:val="1"/>
      <w:numFmt w:val="decimal"/>
      <w:lvlText w:val="%1."/>
      <w:lvlJc w:val="left"/>
      <w:pPr>
        <w:ind w:left="425" w:hanging="425"/>
      </w:pPr>
      <w:rPr>
        <w:rFonts w:hint="default"/>
      </w:rPr>
    </w:lvl>
  </w:abstractNum>
  <w:abstractNum w:abstractNumId="3">
    <w:nsid w:val="98CD7B23"/>
    <w:multiLevelType w:val="singleLevel"/>
    <w:tmpl w:val="98CD7B23"/>
    <w:lvl w:ilvl="0" w:tentative="0">
      <w:start w:val="1"/>
      <w:numFmt w:val="chineseCounting"/>
      <w:suff w:val="nothing"/>
      <w:lvlText w:val="（%1）"/>
      <w:lvlJc w:val="left"/>
      <w:pPr>
        <w:ind w:left="0" w:firstLine="420"/>
      </w:pPr>
      <w:rPr>
        <w:rFonts w:hint="eastAsia"/>
        <w:b w:val="0"/>
        <w:bCs w:val="0"/>
      </w:rPr>
    </w:lvl>
  </w:abstractNum>
  <w:abstractNum w:abstractNumId="4">
    <w:nsid w:val="B2051999"/>
    <w:multiLevelType w:val="singleLevel"/>
    <w:tmpl w:val="B2051999"/>
    <w:lvl w:ilvl="0" w:tentative="0">
      <w:start w:val="1"/>
      <w:numFmt w:val="chineseCounting"/>
      <w:suff w:val="nothing"/>
      <w:lvlText w:val="（%1）"/>
      <w:lvlJc w:val="left"/>
      <w:pPr>
        <w:ind w:left="0" w:firstLine="420"/>
      </w:pPr>
      <w:rPr>
        <w:rFonts w:hint="eastAsia"/>
      </w:rPr>
    </w:lvl>
  </w:abstractNum>
  <w:abstractNum w:abstractNumId="5">
    <w:nsid w:val="B3752756"/>
    <w:multiLevelType w:val="singleLevel"/>
    <w:tmpl w:val="B3752756"/>
    <w:lvl w:ilvl="0" w:tentative="0">
      <w:start w:val="1"/>
      <w:numFmt w:val="decimal"/>
      <w:lvlText w:val="%1."/>
      <w:lvlJc w:val="left"/>
      <w:pPr>
        <w:ind w:left="425" w:hanging="425"/>
      </w:pPr>
      <w:rPr>
        <w:rFonts w:hint="default"/>
      </w:rPr>
    </w:lvl>
  </w:abstractNum>
  <w:abstractNum w:abstractNumId="6">
    <w:nsid w:val="B81AB730"/>
    <w:multiLevelType w:val="singleLevel"/>
    <w:tmpl w:val="B81AB730"/>
    <w:lvl w:ilvl="0" w:tentative="0">
      <w:start w:val="1"/>
      <w:numFmt w:val="chineseCounting"/>
      <w:suff w:val="nothing"/>
      <w:lvlText w:val="（%1）"/>
      <w:lvlJc w:val="left"/>
      <w:pPr>
        <w:ind w:left="0" w:firstLine="420"/>
      </w:pPr>
      <w:rPr>
        <w:rFonts w:hint="eastAsia"/>
      </w:rPr>
    </w:lvl>
  </w:abstractNum>
  <w:abstractNum w:abstractNumId="7">
    <w:nsid w:val="BB1290B1"/>
    <w:multiLevelType w:val="singleLevel"/>
    <w:tmpl w:val="BB1290B1"/>
    <w:lvl w:ilvl="0" w:tentative="0">
      <w:start w:val="1"/>
      <w:numFmt w:val="decimal"/>
      <w:lvlText w:val="%1)"/>
      <w:lvlJc w:val="left"/>
      <w:pPr>
        <w:ind w:left="425" w:hanging="425"/>
      </w:pPr>
      <w:rPr>
        <w:rFonts w:hint="default"/>
      </w:rPr>
    </w:lvl>
  </w:abstractNum>
  <w:abstractNum w:abstractNumId="8">
    <w:nsid w:val="C253F5E7"/>
    <w:multiLevelType w:val="singleLevel"/>
    <w:tmpl w:val="C253F5E7"/>
    <w:lvl w:ilvl="0" w:tentative="0">
      <w:start w:val="1"/>
      <w:numFmt w:val="chineseCounting"/>
      <w:suff w:val="nothing"/>
      <w:lvlText w:val="（%1）"/>
      <w:lvlJc w:val="left"/>
      <w:pPr>
        <w:ind w:left="0" w:firstLine="420"/>
      </w:pPr>
      <w:rPr>
        <w:rFonts w:hint="eastAsia"/>
        <w:b w:val="0"/>
        <w:bCs w:val="0"/>
        <w:color w:val="auto"/>
      </w:rPr>
    </w:lvl>
  </w:abstractNum>
  <w:abstractNum w:abstractNumId="9">
    <w:nsid w:val="C559EB13"/>
    <w:multiLevelType w:val="singleLevel"/>
    <w:tmpl w:val="C559EB13"/>
    <w:lvl w:ilvl="0" w:tentative="0">
      <w:start w:val="1"/>
      <w:numFmt w:val="chineseCounting"/>
      <w:suff w:val="nothing"/>
      <w:lvlText w:val="（%1）"/>
      <w:lvlJc w:val="left"/>
      <w:pPr>
        <w:ind w:left="0" w:firstLine="420"/>
      </w:pPr>
      <w:rPr>
        <w:rFonts w:hint="eastAsia"/>
      </w:rPr>
    </w:lvl>
  </w:abstractNum>
  <w:abstractNum w:abstractNumId="10">
    <w:nsid w:val="C5A9E810"/>
    <w:multiLevelType w:val="singleLevel"/>
    <w:tmpl w:val="C5A9E810"/>
    <w:lvl w:ilvl="0" w:tentative="0">
      <w:start w:val="1"/>
      <w:numFmt w:val="chineseCounting"/>
      <w:suff w:val="nothing"/>
      <w:lvlText w:val="（%1）"/>
      <w:lvlJc w:val="left"/>
      <w:pPr>
        <w:ind w:left="0" w:firstLine="420"/>
      </w:pPr>
      <w:rPr>
        <w:rFonts w:hint="eastAsia"/>
      </w:rPr>
    </w:lvl>
  </w:abstractNum>
  <w:abstractNum w:abstractNumId="11">
    <w:nsid w:val="C6DFFAFE"/>
    <w:multiLevelType w:val="singleLevel"/>
    <w:tmpl w:val="C6DFFAFE"/>
    <w:lvl w:ilvl="0" w:tentative="0">
      <w:start w:val="1"/>
      <w:numFmt w:val="chineseCounting"/>
      <w:suff w:val="nothing"/>
      <w:lvlText w:val="（%1）"/>
      <w:lvlJc w:val="left"/>
      <w:pPr>
        <w:ind w:left="0" w:firstLine="420"/>
      </w:pPr>
      <w:rPr>
        <w:rFonts w:hint="eastAsia"/>
      </w:rPr>
    </w:lvl>
  </w:abstractNum>
  <w:abstractNum w:abstractNumId="12">
    <w:nsid w:val="D2755663"/>
    <w:multiLevelType w:val="singleLevel"/>
    <w:tmpl w:val="D2755663"/>
    <w:lvl w:ilvl="0" w:tentative="0">
      <w:start w:val="1"/>
      <w:numFmt w:val="chineseCounting"/>
      <w:suff w:val="nothing"/>
      <w:lvlText w:val="（%1）"/>
      <w:lvlJc w:val="left"/>
      <w:pPr>
        <w:ind w:left="0" w:firstLine="420"/>
      </w:pPr>
      <w:rPr>
        <w:rFonts w:hint="eastAsia"/>
      </w:rPr>
    </w:lvl>
  </w:abstractNum>
  <w:abstractNum w:abstractNumId="13">
    <w:nsid w:val="D61ED4D8"/>
    <w:multiLevelType w:val="singleLevel"/>
    <w:tmpl w:val="D61ED4D8"/>
    <w:lvl w:ilvl="0" w:tentative="0">
      <w:start w:val="1"/>
      <w:numFmt w:val="decimalEnclosedCircleChinese"/>
      <w:suff w:val="nothing"/>
      <w:lvlText w:val="%1　"/>
      <w:lvlJc w:val="left"/>
      <w:rPr>
        <w:rFonts w:hint="eastAsia"/>
      </w:rPr>
    </w:lvl>
  </w:abstractNum>
  <w:abstractNum w:abstractNumId="14">
    <w:nsid w:val="DDEC392F"/>
    <w:multiLevelType w:val="singleLevel"/>
    <w:tmpl w:val="DDEC392F"/>
    <w:lvl w:ilvl="0" w:tentative="0">
      <w:start w:val="1"/>
      <w:numFmt w:val="decimal"/>
      <w:lvlText w:val="%1."/>
      <w:lvlJc w:val="left"/>
      <w:pPr>
        <w:ind w:left="425" w:hanging="425"/>
      </w:pPr>
      <w:rPr>
        <w:rFonts w:hint="default"/>
      </w:rPr>
    </w:lvl>
  </w:abstractNum>
  <w:abstractNum w:abstractNumId="15">
    <w:nsid w:val="E076F186"/>
    <w:multiLevelType w:val="multilevel"/>
    <w:tmpl w:val="E076F186"/>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E1BD1D46"/>
    <w:multiLevelType w:val="singleLevel"/>
    <w:tmpl w:val="E1BD1D46"/>
    <w:lvl w:ilvl="0" w:tentative="0">
      <w:start w:val="1"/>
      <w:numFmt w:val="chineseCounting"/>
      <w:suff w:val="nothing"/>
      <w:lvlText w:val="（%1）"/>
      <w:lvlJc w:val="left"/>
      <w:pPr>
        <w:ind w:left="0" w:firstLine="420"/>
      </w:pPr>
      <w:rPr>
        <w:rFonts w:hint="eastAsia"/>
      </w:rPr>
    </w:lvl>
  </w:abstractNum>
  <w:abstractNum w:abstractNumId="17">
    <w:nsid w:val="E4C6A036"/>
    <w:multiLevelType w:val="multilevel"/>
    <w:tmpl w:val="E4C6A036"/>
    <w:lvl w:ilvl="0" w:tentative="0">
      <w:start w:val="1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E4D2FC6F"/>
    <w:multiLevelType w:val="singleLevel"/>
    <w:tmpl w:val="E4D2FC6F"/>
    <w:lvl w:ilvl="0" w:tentative="0">
      <w:start w:val="1"/>
      <w:numFmt w:val="chineseCounting"/>
      <w:suff w:val="nothing"/>
      <w:lvlText w:val="（%1）"/>
      <w:lvlJc w:val="left"/>
      <w:pPr>
        <w:ind w:left="0" w:firstLine="420"/>
      </w:pPr>
      <w:rPr>
        <w:rFonts w:hint="eastAsia"/>
      </w:rPr>
    </w:lvl>
  </w:abstractNum>
  <w:abstractNum w:abstractNumId="19">
    <w:nsid w:val="E718B1C8"/>
    <w:multiLevelType w:val="singleLevel"/>
    <w:tmpl w:val="E718B1C8"/>
    <w:lvl w:ilvl="0" w:tentative="0">
      <w:start w:val="1"/>
      <w:numFmt w:val="chineseCounting"/>
      <w:suff w:val="nothing"/>
      <w:lvlText w:val="（%1）"/>
      <w:lvlJc w:val="left"/>
      <w:pPr>
        <w:ind w:left="0" w:firstLine="420"/>
      </w:pPr>
      <w:rPr>
        <w:rFonts w:hint="eastAsia"/>
      </w:rPr>
    </w:lvl>
  </w:abstractNum>
  <w:abstractNum w:abstractNumId="20">
    <w:nsid w:val="ED949320"/>
    <w:multiLevelType w:val="singleLevel"/>
    <w:tmpl w:val="ED949320"/>
    <w:lvl w:ilvl="0" w:tentative="0">
      <w:start w:val="1"/>
      <w:numFmt w:val="chineseCounting"/>
      <w:suff w:val="nothing"/>
      <w:lvlText w:val="（%1）"/>
      <w:lvlJc w:val="left"/>
      <w:pPr>
        <w:ind w:left="0" w:firstLine="420"/>
      </w:pPr>
      <w:rPr>
        <w:rFonts w:hint="eastAsia"/>
        <w:b w:val="0"/>
        <w:bCs w:val="0"/>
      </w:rPr>
    </w:lvl>
  </w:abstractNum>
  <w:abstractNum w:abstractNumId="21">
    <w:nsid w:val="F1963314"/>
    <w:multiLevelType w:val="singleLevel"/>
    <w:tmpl w:val="F1963314"/>
    <w:lvl w:ilvl="0" w:tentative="0">
      <w:start w:val="1"/>
      <w:numFmt w:val="chineseCounting"/>
      <w:suff w:val="nothing"/>
      <w:lvlText w:val="（%1）"/>
      <w:lvlJc w:val="left"/>
      <w:pPr>
        <w:ind w:left="0" w:firstLine="420"/>
      </w:pPr>
      <w:rPr>
        <w:rFonts w:hint="eastAsia"/>
      </w:rPr>
    </w:lvl>
  </w:abstractNum>
  <w:abstractNum w:abstractNumId="22">
    <w:nsid w:val="F51294CE"/>
    <w:multiLevelType w:val="singleLevel"/>
    <w:tmpl w:val="F51294CE"/>
    <w:lvl w:ilvl="0" w:tentative="0">
      <w:start w:val="1"/>
      <w:numFmt w:val="decimal"/>
      <w:lvlText w:val="%1."/>
      <w:lvlJc w:val="left"/>
      <w:pPr>
        <w:ind w:left="425" w:hanging="425"/>
      </w:pPr>
      <w:rPr>
        <w:rFonts w:hint="default"/>
      </w:rPr>
    </w:lvl>
  </w:abstractNum>
  <w:abstractNum w:abstractNumId="23">
    <w:nsid w:val="FF5F864E"/>
    <w:multiLevelType w:val="singleLevel"/>
    <w:tmpl w:val="FF5F864E"/>
    <w:lvl w:ilvl="0" w:tentative="0">
      <w:start w:val="1"/>
      <w:numFmt w:val="chineseCounting"/>
      <w:suff w:val="nothing"/>
      <w:lvlText w:val="（%1）"/>
      <w:lvlJc w:val="left"/>
      <w:pPr>
        <w:ind w:left="0" w:firstLine="420"/>
      </w:pPr>
      <w:rPr>
        <w:rFonts w:hint="eastAsia"/>
      </w:rPr>
    </w:lvl>
  </w:abstractNum>
  <w:abstractNum w:abstractNumId="24">
    <w:nsid w:val="00000005"/>
    <w:multiLevelType w:val="multilevel"/>
    <w:tmpl w:val="000000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000000D"/>
    <w:multiLevelType w:val="multilevel"/>
    <w:tmpl w:val="0000000D"/>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dstrike w:val="0"/>
        <w:color w:val="auto"/>
      </w:rPr>
    </w:lvl>
    <w:lvl w:ilvl="2" w:tentative="0">
      <w:start w:val="1"/>
      <w:numFmt w:val="decimal"/>
      <w:lvlText w:val="%1.%2.%3."/>
      <w:lvlJc w:val="left"/>
      <w:pPr>
        <w:tabs>
          <w:tab w:val="left" w:pos="1135"/>
        </w:tabs>
        <w:ind w:left="1135" w:hanging="567"/>
      </w:pPr>
      <w:rPr>
        <w:rFonts w:hint="eastAsia" w:ascii="宋体" w:hAnsi="宋体" w:eastAsia="宋体"/>
        <w:color w:val="000000"/>
        <w:sz w:val="21"/>
        <w:szCs w:val="21"/>
      </w:rPr>
    </w:lvl>
    <w:lvl w:ilvl="3" w:tentative="0">
      <w:start w:val="1"/>
      <w:numFmt w:val="decimal"/>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013335FD"/>
    <w:multiLevelType w:val="singleLevel"/>
    <w:tmpl w:val="013335FD"/>
    <w:lvl w:ilvl="0" w:tentative="0">
      <w:start w:val="1"/>
      <w:numFmt w:val="chineseCounting"/>
      <w:suff w:val="nothing"/>
      <w:lvlText w:val="（%1）"/>
      <w:lvlJc w:val="left"/>
      <w:pPr>
        <w:ind w:left="0" w:firstLine="420"/>
      </w:pPr>
      <w:rPr>
        <w:rFonts w:hint="eastAsia"/>
      </w:rPr>
    </w:lvl>
  </w:abstractNum>
  <w:abstractNum w:abstractNumId="27">
    <w:nsid w:val="07E8A5E0"/>
    <w:multiLevelType w:val="singleLevel"/>
    <w:tmpl w:val="07E8A5E0"/>
    <w:lvl w:ilvl="0" w:tentative="0">
      <w:start w:val="1"/>
      <w:numFmt w:val="decimal"/>
      <w:lvlText w:val="%1."/>
      <w:lvlJc w:val="left"/>
      <w:pPr>
        <w:ind w:left="425" w:hanging="425"/>
      </w:pPr>
      <w:rPr>
        <w:rFonts w:hint="default"/>
      </w:rPr>
    </w:lvl>
  </w:abstractNum>
  <w:abstractNum w:abstractNumId="28">
    <w:nsid w:val="08F70496"/>
    <w:multiLevelType w:val="singleLevel"/>
    <w:tmpl w:val="08F70496"/>
    <w:lvl w:ilvl="0" w:tentative="0">
      <w:start w:val="1"/>
      <w:numFmt w:val="decimal"/>
      <w:lvlText w:val="%1."/>
      <w:lvlJc w:val="left"/>
      <w:pPr>
        <w:ind w:left="425" w:hanging="425"/>
      </w:pPr>
      <w:rPr>
        <w:rFonts w:hint="default"/>
      </w:rPr>
    </w:lvl>
  </w:abstractNum>
  <w:abstractNum w:abstractNumId="29">
    <w:nsid w:val="0D4B1B9F"/>
    <w:multiLevelType w:val="multilevel"/>
    <w:tmpl w:val="0D4B1B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E2FDA73"/>
    <w:multiLevelType w:val="multilevel"/>
    <w:tmpl w:val="0E2FDA7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10F0D474"/>
    <w:multiLevelType w:val="singleLevel"/>
    <w:tmpl w:val="10F0D474"/>
    <w:lvl w:ilvl="0" w:tentative="0">
      <w:start w:val="1"/>
      <w:numFmt w:val="chineseCounting"/>
      <w:suff w:val="nothing"/>
      <w:lvlText w:val="（%1）"/>
      <w:lvlJc w:val="left"/>
      <w:pPr>
        <w:ind w:left="0" w:firstLine="420"/>
      </w:pPr>
      <w:rPr>
        <w:rFonts w:hint="eastAsia"/>
      </w:rPr>
    </w:lvl>
  </w:abstractNum>
  <w:abstractNum w:abstractNumId="32">
    <w:nsid w:val="1213CB6E"/>
    <w:multiLevelType w:val="singleLevel"/>
    <w:tmpl w:val="1213CB6E"/>
    <w:lvl w:ilvl="0" w:tentative="0">
      <w:start w:val="1"/>
      <w:numFmt w:val="decimal"/>
      <w:lvlText w:val="%1"/>
      <w:lvlJc w:val="left"/>
      <w:pPr>
        <w:tabs>
          <w:tab w:val="left" w:pos="420"/>
        </w:tabs>
        <w:ind w:left="425" w:hanging="425"/>
      </w:pPr>
      <w:rPr>
        <w:rFonts w:hint="default"/>
      </w:rPr>
    </w:lvl>
  </w:abstractNum>
  <w:abstractNum w:abstractNumId="33">
    <w:nsid w:val="18A58246"/>
    <w:multiLevelType w:val="singleLevel"/>
    <w:tmpl w:val="18A58246"/>
    <w:lvl w:ilvl="0" w:tentative="0">
      <w:start w:val="1"/>
      <w:numFmt w:val="decimal"/>
      <w:lvlText w:val="%1."/>
      <w:lvlJc w:val="left"/>
      <w:pPr>
        <w:ind w:left="425" w:hanging="425"/>
      </w:pPr>
      <w:rPr>
        <w:rFonts w:hint="default" w:ascii="宋体" w:hAnsi="宋体" w:eastAsia="宋体" w:cs="宋体"/>
        <w:sz w:val="21"/>
        <w:szCs w:val="21"/>
      </w:rPr>
    </w:lvl>
  </w:abstractNum>
  <w:abstractNum w:abstractNumId="34">
    <w:nsid w:val="1A33AF55"/>
    <w:multiLevelType w:val="multilevel"/>
    <w:tmpl w:val="1A33AF55"/>
    <w:lvl w:ilvl="0" w:tentative="0">
      <w:start w:val="1"/>
      <w:numFmt w:val="decimal"/>
      <w:lvlText w:val="%1."/>
      <w:lvlJc w:val="left"/>
      <w:pPr>
        <w:tabs>
          <w:tab w:val="left" w:pos="425"/>
        </w:tabs>
        <w:ind w:left="425" w:hanging="425"/>
      </w:pPr>
      <w:rPr>
        <w:b w:val="0"/>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5">
    <w:nsid w:val="1CDF3E21"/>
    <w:multiLevelType w:val="multilevel"/>
    <w:tmpl w:val="1CDF3E21"/>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2553E367"/>
    <w:multiLevelType w:val="singleLevel"/>
    <w:tmpl w:val="2553E367"/>
    <w:lvl w:ilvl="0" w:tentative="0">
      <w:start w:val="1"/>
      <w:numFmt w:val="decimal"/>
      <w:lvlText w:val="%1."/>
      <w:lvlJc w:val="left"/>
      <w:pPr>
        <w:ind w:left="425" w:hanging="425"/>
      </w:pPr>
      <w:rPr>
        <w:rFonts w:hint="default"/>
      </w:rPr>
    </w:lvl>
  </w:abstractNum>
  <w:abstractNum w:abstractNumId="38">
    <w:nsid w:val="26CC9F33"/>
    <w:multiLevelType w:val="multilevel"/>
    <w:tmpl w:val="26CC9F33"/>
    <w:lvl w:ilvl="0" w:tentative="0">
      <w:start w:val="1"/>
      <w:numFmt w:val="decimal"/>
      <w:lvlText w:val="%1."/>
      <w:lvlJc w:val="left"/>
      <w:pPr>
        <w:tabs>
          <w:tab w:val="left" w:pos="425"/>
        </w:tabs>
        <w:ind w:left="425" w:hanging="425"/>
      </w:pPr>
      <w:rPr>
        <w:rFonts w:hint="default"/>
        <w:b w:val="0"/>
        <w:color w:val="auto"/>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9">
    <w:nsid w:val="2BB85AC1"/>
    <w:multiLevelType w:val="singleLevel"/>
    <w:tmpl w:val="2BB85AC1"/>
    <w:lvl w:ilvl="0" w:tentative="0">
      <w:start w:val="1"/>
      <w:numFmt w:val="decimal"/>
      <w:lvlText w:val="%1."/>
      <w:lvlJc w:val="left"/>
      <w:pPr>
        <w:ind w:left="425" w:hanging="425"/>
      </w:pPr>
      <w:rPr>
        <w:rFonts w:hint="default"/>
      </w:rPr>
    </w:lvl>
  </w:abstractNum>
  <w:abstractNum w:abstractNumId="40">
    <w:nsid w:val="2D23426E"/>
    <w:multiLevelType w:val="multilevel"/>
    <w:tmpl w:val="2D23426E"/>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41">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42">
    <w:nsid w:val="37003370"/>
    <w:multiLevelType w:val="singleLevel"/>
    <w:tmpl w:val="37003370"/>
    <w:lvl w:ilvl="0" w:tentative="0">
      <w:start w:val="1"/>
      <w:numFmt w:val="chineseCounting"/>
      <w:suff w:val="nothing"/>
      <w:lvlText w:val="（%1）"/>
      <w:lvlJc w:val="left"/>
      <w:pPr>
        <w:ind w:left="0" w:firstLine="420"/>
      </w:pPr>
      <w:rPr>
        <w:rFonts w:hint="eastAsia"/>
      </w:rPr>
    </w:lvl>
  </w:abstractNum>
  <w:abstractNum w:abstractNumId="43">
    <w:nsid w:val="37C8EE7F"/>
    <w:multiLevelType w:val="singleLevel"/>
    <w:tmpl w:val="37C8EE7F"/>
    <w:lvl w:ilvl="0" w:tentative="0">
      <w:start w:val="1"/>
      <w:numFmt w:val="chineseCounting"/>
      <w:suff w:val="nothing"/>
      <w:lvlText w:val="（%1）"/>
      <w:lvlJc w:val="left"/>
      <w:pPr>
        <w:ind w:left="0" w:firstLine="420"/>
      </w:pPr>
      <w:rPr>
        <w:rFonts w:hint="eastAsia"/>
      </w:rPr>
    </w:lvl>
  </w:abstractNum>
  <w:abstractNum w:abstractNumId="44">
    <w:nsid w:val="39287919"/>
    <w:multiLevelType w:val="multilevel"/>
    <w:tmpl w:val="3928791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3A8C4C78"/>
    <w:multiLevelType w:val="multilevel"/>
    <w:tmpl w:val="3A8C4C78"/>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46">
    <w:nsid w:val="3EA9BB7C"/>
    <w:multiLevelType w:val="singleLevel"/>
    <w:tmpl w:val="3EA9BB7C"/>
    <w:lvl w:ilvl="0" w:tentative="0">
      <w:start w:val="1"/>
      <w:numFmt w:val="decimal"/>
      <w:lvlText w:val="%1."/>
      <w:lvlJc w:val="left"/>
      <w:pPr>
        <w:ind w:left="425" w:hanging="425"/>
      </w:pPr>
      <w:rPr>
        <w:rFonts w:hint="default"/>
      </w:rPr>
    </w:lvl>
  </w:abstractNum>
  <w:abstractNum w:abstractNumId="47">
    <w:nsid w:val="41820A95"/>
    <w:multiLevelType w:val="singleLevel"/>
    <w:tmpl w:val="41820A95"/>
    <w:lvl w:ilvl="0" w:tentative="0">
      <w:start w:val="1"/>
      <w:numFmt w:val="decimal"/>
      <w:lvlText w:val="%1."/>
      <w:lvlJc w:val="left"/>
      <w:pPr>
        <w:ind w:left="425" w:hanging="425"/>
      </w:pPr>
      <w:rPr>
        <w:rFonts w:hint="default"/>
      </w:rPr>
    </w:lvl>
  </w:abstractNum>
  <w:abstractNum w:abstractNumId="48">
    <w:nsid w:val="42CB4F14"/>
    <w:multiLevelType w:val="singleLevel"/>
    <w:tmpl w:val="42CB4F14"/>
    <w:lvl w:ilvl="0" w:tentative="0">
      <w:start w:val="1"/>
      <w:numFmt w:val="decimal"/>
      <w:lvlText w:val="%1"/>
      <w:lvlJc w:val="left"/>
      <w:pPr>
        <w:tabs>
          <w:tab w:val="left" w:pos="420"/>
        </w:tabs>
        <w:ind w:left="425" w:hanging="425"/>
      </w:pPr>
      <w:rPr>
        <w:rFonts w:hint="default"/>
      </w:rPr>
    </w:lvl>
  </w:abstractNum>
  <w:abstractNum w:abstractNumId="49">
    <w:nsid w:val="42D11E4A"/>
    <w:multiLevelType w:val="multilevel"/>
    <w:tmpl w:val="42D11E4A"/>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473E8F23"/>
    <w:multiLevelType w:val="singleLevel"/>
    <w:tmpl w:val="473E8F23"/>
    <w:lvl w:ilvl="0" w:tentative="0">
      <w:start w:val="1"/>
      <w:numFmt w:val="chineseCounting"/>
      <w:suff w:val="nothing"/>
      <w:lvlText w:val="（%1）"/>
      <w:lvlJc w:val="left"/>
      <w:pPr>
        <w:ind w:left="0" w:firstLine="420"/>
      </w:pPr>
      <w:rPr>
        <w:rFonts w:hint="eastAsia"/>
      </w:rPr>
    </w:lvl>
  </w:abstractNum>
  <w:abstractNum w:abstractNumId="51">
    <w:nsid w:val="48F766B6"/>
    <w:multiLevelType w:val="singleLevel"/>
    <w:tmpl w:val="48F766B6"/>
    <w:lvl w:ilvl="0" w:tentative="0">
      <w:start w:val="1"/>
      <w:numFmt w:val="chineseCounting"/>
      <w:suff w:val="nothing"/>
      <w:lvlText w:val="（%1）"/>
      <w:lvlJc w:val="left"/>
      <w:pPr>
        <w:ind w:left="0" w:firstLine="420"/>
      </w:pPr>
      <w:rPr>
        <w:rFonts w:hint="eastAsia"/>
        <w:b w:val="0"/>
        <w:bCs w:val="0"/>
      </w:rPr>
    </w:lvl>
  </w:abstractNum>
  <w:abstractNum w:abstractNumId="52">
    <w:nsid w:val="4952E4F9"/>
    <w:multiLevelType w:val="singleLevel"/>
    <w:tmpl w:val="4952E4F9"/>
    <w:lvl w:ilvl="0" w:tentative="0">
      <w:start w:val="1"/>
      <w:numFmt w:val="decimal"/>
      <w:lvlText w:val="%1."/>
      <w:lvlJc w:val="left"/>
      <w:pPr>
        <w:ind w:left="425" w:hanging="425"/>
      </w:pPr>
      <w:rPr>
        <w:rFonts w:hint="default"/>
      </w:rPr>
    </w:lvl>
  </w:abstractNum>
  <w:abstractNum w:abstractNumId="53">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4">
    <w:nsid w:val="4C2B7C82"/>
    <w:multiLevelType w:val="singleLevel"/>
    <w:tmpl w:val="4C2B7C82"/>
    <w:lvl w:ilvl="0" w:tentative="0">
      <w:start w:val="1"/>
      <w:numFmt w:val="chineseCounting"/>
      <w:suff w:val="nothing"/>
      <w:lvlText w:val="（%1）"/>
      <w:lvlJc w:val="left"/>
      <w:pPr>
        <w:ind w:left="0" w:firstLine="420"/>
      </w:pPr>
      <w:rPr>
        <w:rFonts w:hint="eastAsia"/>
      </w:rPr>
    </w:lvl>
  </w:abstractNum>
  <w:abstractNum w:abstractNumId="55">
    <w:nsid w:val="4C89682C"/>
    <w:multiLevelType w:val="multilevel"/>
    <w:tmpl w:val="4C89682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52F42418"/>
    <w:multiLevelType w:val="multilevel"/>
    <w:tmpl w:val="52F42418"/>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53995528"/>
    <w:multiLevelType w:val="multilevel"/>
    <w:tmpl w:val="53995528"/>
    <w:lvl w:ilvl="0" w:tentative="0">
      <w:start w:val="1"/>
      <w:numFmt w:val="decimal"/>
      <w:lvlText w:val="%1."/>
      <w:lvlJc w:val="center"/>
      <w:pPr>
        <w:ind w:left="624" w:hanging="624"/>
      </w:pPr>
      <w:rPr>
        <w:rFonts w:hint="eastAsia" w:ascii="宋体" w:hAnsi="宋体" w:eastAsia="宋体"/>
        <w:b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631A12C"/>
    <w:multiLevelType w:val="singleLevel"/>
    <w:tmpl w:val="5631A12C"/>
    <w:lvl w:ilvl="0" w:tentative="0">
      <w:start w:val="1"/>
      <w:numFmt w:val="chineseCounting"/>
      <w:suff w:val="nothing"/>
      <w:lvlText w:val="%1、"/>
      <w:lvlJc w:val="left"/>
      <w:pPr>
        <w:ind w:left="0" w:firstLine="420"/>
      </w:pPr>
      <w:rPr>
        <w:rFonts w:hint="eastAsia"/>
        <w:b w:val="0"/>
        <w:bCs w:val="0"/>
      </w:rPr>
    </w:lvl>
  </w:abstractNum>
  <w:abstractNum w:abstractNumId="59">
    <w:nsid w:val="570B07C4"/>
    <w:multiLevelType w:val="multilevel"/>
    <w:tmpl w:val="570B07C4"/>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2."/>
      <w:lvlJc w:val="left"/>
      <w:pPr>
        <w:tabs>
          <w:tab w:val="left" w:pos="567"/>
        </w:tabs>
        <w:ind w:left="567" w:hanging="567"/>
      </w:pPr>
      <w:rPr>
        <w:rFonts w:hint="eastAsia" w:ascii="宋体" w:hAnsi="宋体" w:eastAsia="宋体"/>
        <w:b w:val="0"/>
        <w:color w:val="auto"/>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0">
    <w:nsid w:val="59B53901"/>
    <w:multiLevelType w:val="singleLevel"/>
    <w:tmpl w:val="59B53901"/>
    <w:lvl w:ilvl="0" w:tentative="0">
      <w:start w:val="1"/>
      <w:numFmt w:val="decimal"/>
      <w:lvlText w:val="%1."/>
      <w:lvlJc w:val="left"/>
      <w:pPr>
        <w:ind w:left="425" w:hanging="425"/>
      </w:pPr>
      <w:rPr>
        <w:rFonts w:hint="default"/>
      </w:rPr>
    </w:lvl>
  </w:abstractNum>
  <w:abstractNum w:abstractNumId="61">
    <w:nsid w:val="59B53911"/>
    <w:multiLevelType w:val="singleLevel"/>
    <w:tmpl w:val="59B53911"/>
    <w:lvl w:ilvl="0" w:tentative="0">
      <w:start w:val="1"/>
      <w:numFmt w:val="decimal"/>
      <w:lvlText w:val="%1)"/>
      <w:lvlJc w:val="left"/>
      <w:pPr>
        <w:ind w:left="425" w:hanging="425"/>
      </w:pPr>
      <w:rPr>
        <w:rFonts w:hint="default"/>
      </w:rPr>
    </w:lvl>
  </w:abstractNum>
  <w:abstractNum w:abstractNumId="62">
    <w:nsid w:val="59B54234"/>
    <w:multiLevelType w:val="singleLevel"/>
    <w:tmpl w:val="59B54234"/>
    <w:lvl w:ilvl="0" w:tentative="0">
      <w:start w:val="1"/>
      <w:numFmt w:val="decimal"/>
      <w:lvlText w:val="%1."/>
      <w:lvlJc w:val="left"/>
      <w:pPr>
        <w:ind w:left="425" w:hanging="425"/>
      </w:pPr>
      <w:rPr>
        <w:rFonts w:hint="default"/>
      </w:rPr>
    </w:lvl>
  </w:abstractNum>
  <w:abstractNum w:abstractNumId="63">
    <w:nsid w:val="59B54A3C"/>
    <w:multiLevelType w:val="singleLevel"/>
    <w:tmpl w:val="59B54A3C"/>
    <w:lvl w:ilvl="0" w:tentative="0">
      <w:start w:val="1"/>
      <w:numFmt w:val="decimal"/>
      <w:lvlText w:val="%1."/>
      <w:lvlJc w:val="left"/>
      <w:pPr>
        <w:ind w:left="425" w:hanging="425"/>
      </w:pPr>
      <w:rPr>
        <w:rFonts w:hint="default"/>
      </w:rPr>
    </w:lvl>
  </w:abstractNum>
  <w:abstractNum w:abstractNumId="64">
    <w:nsid w:val="59B54A62"/>
    <w:multiLevelType w:val="singleLevel"/>
    <w:tmpl w:val="59B54A62"/>
    <w:lvl w:ilvl="0" w:tentative="0">
      <w:start w:val="1"/>
      <w:numFmt w:val="decimal"/>
      <w:lvlText w:val="%1."/>
      <w:lvlJc w:val="left"/>
      <w:pPr>
        <w:ind w:left="425" w:hanging="425"/>
      </w:pPr>
      <w:rPr>
        <w:rFonts w:hint="default"/>
      </w:rPr>
    </w:lvl>
  </w:abstractNum>
  <w:abstractNum w:abstractNumId="65">
    <w:nsid w:val="59EC7344"/>
    <w:multiLevelType w:val="multilevel"/>
    <w:tmpl w:val="59EC7344"/>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66">
    <w:nsid w:val="5B9A6BA0"/>
    <w:multiLevelType w:val="multilevel"/>
    <w:tmpl w:val="5B9A6BA0"/>
    <w:lvl w:ilvl="0" w:tentative="0">
      <w:start w:val="1"/>
      <w:numFmt w:val="decimal"/>
      <w:lvlText w:val="%1．"/>
      <w:lvlJc w:val="left"/>
      <w:pPr>
        <w:tabs>
          <w:tab w:val="left" w:pos="360"/>
        </w:tabs>
        <w:ind w:left="360" w:hanging="36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5BFFA6B2"/>
    <w:multiLevelType w:val="multilevel"/>
    <w:tmpl w:val="5BFFA6B2"/>
    <w:lvl w:ilvl="0" w:tentative="0">
      <w:start w:val="1"/>
      <w:numFmt w:val="decimal"/>
      <w:lvlText w:val="%1."/>
      <w:lvlJc w:val="left"/>
      <w:pPr>
        <w:tabs>
          <w:tab w:val="left" w:pos="425"/>
        </w:tabs>
        <w:ind w:left="425" w:hanging="425"/>
      </w:pPr>
      <w:rPr>
        <w:b w:val="0"/>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8">
    <w:nsid w:val="65E4722D"/>
    <w:multiLevelType w:val="multilevel"/>
    <w:tmpl w:val="65E4722D"/>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9">
    <w:nsid w:val="69C56FEF"/>
    <w:multiLevelType w:val="multilevel"/>
    <w:tmpl w:val="69C56FEF"/>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6E2FE0B0"/>
    <w:multiLevelType w:val="singleLevel"/>
    <w:tmpl w:val="6E2FE0B0"/>
    <w:lvl w:ilvl="0" w:tentative="0">
      <w:start w:val="1"/>
      <w:numFmt w:val="chineseCounting"/>
      <w:suff w:val="nothing"/>
      <w:lvlText w:val="（%1）"/>
      <w:lvlJc w:val="left"/>
      <w:pPr>
        <w:ind w:left="0" w:firstLine="420"/>
      </w:pPr>
      <w:rPr>
        <w:rFonts w:hint="eastAsia"/>
        <w:b w:val="0"/>
        <w:bCs w:val="0"/>
      </w:rPr>
    </w:lvl>
  </w:abstractNum>
  <w:abstractNum w:abstractNumId="71">
    <w:nsid w:val="7061088D"/>
    <w:multiLevelType w:val="multilevel"/>
    <w:tmpl w:val="7061088D"/>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2">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3">
    <w:nsid w:val="7D207E0B"/>
    <w:multiLevelType w:val="multilevel"/>
    <w:tmpl w:val="7D207E0B"/>
    <w:lvl w:ilvl="0" w:tentative="0">
      <w:start w:val="1"/>
      <w:numFmt w:val="decimal"/>
      <w:suff w:val="nothing"/>
      <w:lvlText w:val="%1."/>
      <w:lvlJc w:val="left"/>
      <w:pPr>
        <w:ind w:left="453" w:hanging="453"/>
      </w:pPr>
      <w:rPr>
        <w:rFonts w:hint="eastAsia"/>
      </w:rPr>
    </w:lvl>
    <w:lvl w:ilvl="1" w:tentative="0">
      <w:start w:val="1"/>
      <w:numFmt w:val="lowerLetter"/>
      <w:lvlText w:val="%2)"/>
      <w:lvlJc w:val="left"/>
      <w:pPr>
        <w:tabs>
          <w:tab w:val="left" w:pos="783"/>
        </w:tabs>
        <w:ind w:left="783" w:hanging="420"/>
      </w:pPr>
      <w:rPr>
        <w:rFonts w:hint="eastAsia"/>
      </w:rPr>
    </w:lvl>
    <w:lvl w:ilvl="2" w:tentative="0">
      <w:start w:val="1"/>
      <w:numFmt w:val="lowerRoman"/>
      <w:lvlText w:val="%3."/>
      <w:lvlJc w:val="right"/>
      <w:pPr>
        <w:tabs>
          <w:tab w:val="left" w:pos="1203"/>
        </w:tabs>
        <w:ind w:left="1203" w:hanging="420"/>
      </w:pPr>
      <w:rPr>
        <w:rFonts w:hint="eastAsia"/>
      </w:rPr>
    </w:lvl>
    <w:lvl w:ilvl="3" w:tentative="0">
      <w:start w:val="1"/>
      <w:numFmt w:val="decimal"/>
      <w:lvlText w:val="%4."/>
      <w:lvlJc w:val="left"/>
      <w:pPr>
        <w:tabs>
          <w:tab w:val="left" w:pos="1623"/>
        </w:tabs>
        <w:ind w:left="1623" w:hanging="420"/>
      </w:pPr>
      <w:rPr>
        <w:rFonts w:hint="eastAsia"/>
      </w:rPr>
    </w:lvl>
    <w:lvl w:ilvl="4" w:tentative="0">
      <w:start w:val="1"/>
      <w:numFmt w:val="lowerLetter"/>
      <w:lvlText w:val="%5)"/>
      <w:lvlJc w:val="left"/>
      <w:pPr>
        <w:tabs>
          <w:tab w:val="left" w:pos="2043"/>
        </w:tabs>
        <w:ind w:left="2043" w:hanging="420"/>
      </w:pPr>
      <w:rPr>
        <w:rFonts w:hint="eastAsia"/>
      </w:rPr>
    </w:lvl>
    <w:lvl w:ilvl="5" w:tentative="0">
      <w:start w:val="1"/>
      <w:numFmt w:val="lowerRoman"/>
      <w:lvlText w:val="%6."/>
      <w:lvlJc w:val="right"/>
      <w:pPr>
        <w:tabs>
          <w:tab w:val="left" w:pos="2463"/>
        </w:tabs>
        <w:ind w:left="2463" w:hanging="420"/>
      </w:pPr>
      <w:rPr>
        <w:rFonts w:hint="eastAsia"/>
      </w:rPr>
    </w:lvl>
    <w:lvl w:ilvl="6" w:tentative="0">
      <w:start w:val="1"/>
      <w:numFmt w:val="decimal"/>
      <w:lvlText w:val="%7."/>
      <w:lvlJc w:val="left"/>
      <w:pPr>
        <w:tabs>
          <w:tab w:val="left" w:pos="2883"/>
        </w:tabs>
        <w:ind w:left="2883" w:hanging="420"/>
      </w:pPr>
      <w:rPr>
        <w:rFonts w:hint="eastAsia"/>
      </w:rPr>
    </w:lvl>
    <w:lvl w:ilvl="7" w:tentative="0">
      <w:start w:val="1"/>
      <w:numFmt w:val="lowerLetter"/>
      <w:lvlText w:val="%8)"/>
      <w:lvlJc w:val="left"/>
      <w:pPr>
        <w:tabs>
          <w:tab w:val="left" w:pos="3303"/>
        </w:tabs>
        <w:ind w:left="3303" w:hanging="420"/>
      </w:pPr>
      <w:rPr>
        <w:rFonts w:hint="eastAsia"/>
      </w:rPr>
    </w:lvl>
    <w:lvl w:ilvl="8" w:tentative="0">
      <w:start w:val="1"/>
      <w:numFmt w:val="lowerRoman"/>
      <w:lvlText w:val="%9."/>
      <w:lvlJc w:val="right"/>
      <w:pPr>
        <w:tabs>
          <w:tab w:val="left" w:pos="3723"/>
        </w:tabs>
        <w:ind w:left="3723" w:hanging="420"/>
      </w:pPr>
      <w:rPr>
        <w:rFonts w:hint="eastAsia"/>
      </w:rPr>
    </w:lvl>
  </w:abstractNum>
  <w:abstractNum w:abstractNumId="74">
    <w:nsid w:val="7E67803F"/>
    <w:multiLevelType w:val="singleLevel"/>
    <w:tmpl w:val="7E67803F"/>
    <w:lvl w:ilvl="0" w:tentative="0">
      <w:start w:val="1"/>
      <w:numFmt w:val="chineseCounting"/>
      <w:suff w:val="nothing"/>
      <w:lvlText w:val="（%1）"/>
      <w:lvlJc w:val="left"/>
      <w:pPr>
        <w:ind w:left="0" w:firstLine="420"/>
      </w:pPr>
      <w:rPr>
        <w:rFonts w:hint="eastAsia"/>
      </w:rPr>
    </w:lvl>
  </w:abstractNum>
  <w:abstractNum w:abstractNumId="75">
    <w:nsid w:val="7E7B57D0"/>
    <w:multiLevelType w:val="singleLevel"/>
    <w:tmpl w:val="7E7B57D0"/>
    <w:lvl w:ilvl="0" w:tentative="0">
      <w:start w:val="1"/>
      <w:numFmt w:val="chineseCounting"/>
      <w:suff w:val="nothing"/>
      <w:lvlText w:val="（%1）"/>
      <w:lvlJc w:val="left"/>
      <w:pPr>
        <w:ind w:left="0" w:firstLine="420"/>
      </w:pPr>
      <w:rPr>
        <w:rFonts w:hint="eastAsia"/>
      </w:rPr>
    </w:lvl>
  </w:abstractNum>
  <w:num w:numId="1">
    <w:abstractNumId w:val="58"/>
  </w:num>
  <w:num w:numId="2">
    <w:abstractNumId w:val="29"/>
  </w:num>
  <w:num w:numId="3">
    <w:abstractNumId w:val="59"/>
  </w:num>
  <w:num w:numId="4">
    <w:abstractNumId w:val="7"/>
  </w:num>
  <w:num w:numId="5">
    <w:abstractNumId w:val="13"/>
  </w:num>
  <w:num w:numId="6">
    <w:abstractNumId w:val="56"/>
  </w:num>
  <w:num w:numId="7">
    <w:abstractNumId w:val="66"/>
  </w:num>
  <w:num w:numId="8">
    <w:abstractNumId w:val="30"/>
  </w:num>
  <w:num w:numId="9">
    <w:abstractNumId w:val="68"/>
  </w:num>
  <w:num w:numId="10">
    <w:abstractNumId w:val="51"/>
  </w:num>
  <w:num w:numId="11">
    <w:abstractNumId w:val="19"/>
  </w:num>
  <w:num w:numId="12">
    <w:abstractNumId w:val="39"/>
  </w:num>
  <w:num w:numId="13">
    <w:abstractNumId w:val="2"/>
  </w:num>
  <w:num w:numId="14">
    <w:abstractNumId w:val="23"/>
  </w:num>
  <w:num w:numId="15">
    <w:abstractNumId w:val="21"/>
  </w:num>
  <w:num w:numId="16">
    <w:abstractNumId w:val="15"/>
  </w:num>
  <w:num w:numId="17">
    <w:abstractNumId w:val="8"/>
  </w:num>
  <w:num w:numId="18">
    <w:abstractNumId w:val="11"/>
  </w:num>
  <w:num w:numId="19">
    <w:abstractNumId w:val="50"/>
  </w:num>
  <w:num w:numId="20">
    <w:abstractNumId w:val="10"/>
  </w:num>
  <w:num w:numId="21">
    <w:abstractNumId w:val="0"/>
  </w:num>
  <w:num w:numId="22">
    <w:abstractNumId w:val="16"/>
  </w:num>
  <w:num w:numId="23">
    <w:abstractNumId w:val="34"/>
  </w:num>
  <w:num w:numId="24">
    <w:abstractNumId w:val="67"/>
  </w:num>
  <w:num w:numId="25">
    <w:abstractNumId w:val="44"/>
  </w:num>
  <w:num w:numId="26">
    <w:abstractNumId w:val="48"/>
  </w:num>
  <w:num w:numId="27">
    <w:abstractNumId w:val="49"/>
  </w:num>
  <w:num w:numId="28">
    <w:abstractNumId w:val="32"/>
  </w:num>
  <w:num w:numId="29">
    <w:abstractNumId w:val="71"/>
  </w:num>
  <w:num w:numId="30">
    <w:abstractNumId w:val="24"/>
  </w:num>
  <w:num w:numId="31">
    <w:abstractNumId w:val="25"/>
  </w:num>
  <w:num w:numId="32">
    <w:abstractNumId w:val="17"/>
  </w:num>
  <w:num w:numId="33">
    <w:abstractNumId w:val="73"/>
  </w:num>
  <w:num w:numId="34">
    <w:abstractNumId w:val="70"/>
  </w:num>
  <w:num w:numId="35">
    <w:abstractNumId w:val="3"/>
  </w:num>
  <w:num w:numId="36">
    <w:abstractNumId w:val="9"/>
  </w:num>
  <w:num w:numId="37">
    <w:abstractNumId w:val="46"/>
  </w:num>
  <w:num w:numId="38">
    <w:abstractNumId w:val="38"/>
  </w:num>
  <w:num w:numId="39">
    <w:abstractNumId w:val="26"/>
  </w:num>
  <w:num w:numId="40">
    <w:abstractNumId w:val="14"/>
  </w:num>
  <w:num w:numId="41">
    <w:abstractNumId w:val="20"/>
  </w:num>
  <w:num w:numId="42">
    <w:abstractNumId w:val="18"/>
  </w:num>
  <w:num w:numId="43">
    <w:abstractNumId w:val="47"/>
  </w:num>
  <w:num w:numId="44">
    <w:abstractNumId w:val="52"/>
  </w:num>
  <w:num w:numId="45">
    <w:abstractNumId w:val="43"/>
  </w:num>
  <w:num w:numId="46">
    <w:abstractNumId w:val="75"/>
  </w:num>
  <w:num w:numId="47">
    <w:abstractNumId w:val="31"/>
  </w:num>
  <w:num w:numId="48">
    <w:abstractNumId w:val="74"/>
  </w:num>
  <w:num w:numId="49">
    <w:abstractNumId w:val="6"/>
  </w:num>
  <w:num w:numId="50">
    <w:abstractNumId w:val="4"/>
  </w:num>
  <w:num w:numId="51">
    <w:abstractNumId w:val="42"/>
  </w:num>
  <w:num w:numId="52">
    <w:abstractNumId w:val="54"/>
  </w:num>
  <w:num w:numId="53">
    <w:abstractNumId w:val="12"/>
  </w:num>
  <w:num w:numId="54">
    <w:abstractNumId w:val="60"/>
  </w:num>
  <w:num w:numId="55">
    <w:abstractNumId w:val="61"/>
  </w:num>
  <w:num w:numId="56">
    <w:abstractNumId w:val="41"/>
  </w:num>
  <w:num w:numId="57">
    <w:abstractNumId w:val="62"/>
  </w:num>
  <w:num w:numId="58">
    <w:abstractNumId w:val="65"/>
  </w:num>
  <w:num w:numId="59">
    <w:abstractNumId w:val="40"/>
  </w:num>
  <w:num w:numId="60">
    <w:abstractNumId w:val="45"/>
  </w:num>
  <w:num w:numId="61">
    <w:abstractNumId w:val="72"/>
  </w:num>
  <w:num w:numId="62">
    <w:abstractNumId w:val="5"/>
  </w:num>
  <w:num w:numId="63">
    <w:abstractNumId w:val="53"/>
  </w:num>
  <w:num w:numId="64">
    <w:abstractNumId w:val="27"/>
  </w:num>
  <w:num w:numId="65">
    <w:abstractNumId w:val="64"/>
  </w:num>
  <w:num w:numId="66">
    <w:abstractNumId w:val="35"/>
  </w:num>
  <w:num w:numId="67">
    <w:abstractNumId w:val="55"/>
  </w:num>
  <w:num w:numId="68">
    <w:abstractNumId w:val="63"/>
  </w:num>
  <w:num w:numId="69">
    <w:abstractNumId w:val="22"/>
  </w:num>
  <w:num w:numId="70">
    <w:abstractNumId w:val="69"/>
  </w:num>
  <w:num w:numId="71">
    <w:abstractNumId w:val="33"/>
  </w:num>
  <w:num w:numId="72">
    <w:abstractNumId w:val="36"/>
  </w:num>
  <w:num w:numId="73">
    <w:abstractNumId w:val="57"/>
  </w:num>
  <w:num w:numId="74">
    <w:abstractNumId w:val="37"/>
  </w:num>
  <w:num w:numId="75">
    <w:abstractNumId w:val="28"/>
  </w:num>
  <w:num w:numId="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MWU0YzUwODA1YTQ0YmQwNmQ1YzI4MThjNjBmNGIifQ=="/>
  </w:docVars>
  <w:rsids>
    <w:rsidRoot w:val="00172A27"/>
    <w:rsid w:val="00A8204E"/>
    <w:rsid w:val="01725B2E"/>
    <w:rsid w:val="027448E2"/>
    <w:rsid w:val="02832BC7"/>
    <w:rsid w:val="0296155C"/>
    <w:rsid w:val="039D6867"/>
    <w:rsid w:val="03EF7383"/>
    <w:rsid w:val="04173849"/>
    <w:rsid w:val="04F32B7C"/>
    <w:rsid w:val="06BF6017"/>
    <w:rsid w:val="0765760B"/>
    <w:rsid w:val="08FD582C"/>
    <w:rsid w:val="09486BF7"/>
    <w:rsid w:val="0949325D"/>
    <w:rsid w:val="094A0149"/>
    <w:rsid w:val="099A3A3F"/>
    <w:rsid w:val="0A2D5C34"/>
    <w:rsid w:val="0AE84B42"/>
    <w:rsid w:val="0B8D0492"/>
    <w:rsid w:val="0BC55E7E"/>
    <w:rsid w:val="0C8F72C5"/>
    <w:rsid w:val="0DE50C90"/>
    <w:rsid w:val="0F5B2655"/>
    <w:rsid w:val="100202F8"/>
    <w:rsid w:val="11B5429E"/>
    <w:rsid w:val="145A45EF"/>
    <w:rsid w:val="1473140E"/>
    <w:rsid w:val="14E23AFF"/>
    <w:rsid w:val="1558646B"/>
    <w:rsid w:val="15ED7E6E"/>
    <w:rsid w:val="162639BD"/>
    <w:rsid w:val="178A4DAA"/>
    <w:rsid w:val="18D6258B"/>
    <w:rsid w:val="19C902E5"/>
    <w:rsid w:val="1A807E56"/>
    <w:rsid w:val="1E7E74BF"/>
    <w:rsid w:val="1EAD5FFB"/>
    <w:rsid w:val="1F486752"/>
    <w:rsid w:val="200626AF"/>
    <w:rsid w:val="226376D9"/>
    <w:rsid w:val="229F48E7"/>
    <w:rsid w:val="22EF777C"/>
    <w:rsid w:val="24285B18"/>
    <w:rsid w:val="243454F7"/>
    <w:rsid w:val="2492046F"/>
    <w:rsid w:val="25713291"/>
    <w:rsid w:val="263E265D"/>
    <w:rsid w:val="26451C3D"/>
    <w:rsid w:val="2705317A"/>
    <w:rsid w:val="27C6444B"/>
    <w:rsid w:val="28771E56"/>
    <w:rsid w:val="299C7EBE"/>
    <w:rsid w:val="2A0F4881"/>
    <w:rsid w:val="2B784396"/>
    <w:rsid w:val="2C2C4B27"/>
    <w:rsid w:val="2C2D579E"/>
    <w:rsid w:val="2CE41BA6"/>
    <w:rsid w:val="2D920CB3"/>
    <w:rsid w:val="2EB7507F"/>
    <w:rsid w:val="2EC1140C"/>
    <w:rsid w:val="2ED25BA6"/>
    <w:rsid w:val="2F9F1FCE"/>
    <w:rsid w:val="300A1801"/>
    <w:rsid w:val="31A47A3D"/>
    <w:rsid w:val="31C448A4"/>
    <w:rsid w:val="3250622E"/>
    <w:rsid w:val="3257092C"/>
    <w:rsid w:val="32A837F0"/>
    <w:rsid w:val="338E1EAD"/>
    <w:rsid w:val="33C77538"/>
    <w:rsid w:val="34A913C8"/>
    <w:rsid w:val="35180B3A"/>
    <w:rsid w:val="3651044C"/>
    <w:rsid w:val="36D82C71"/>
    <w:rsid w:val="3824052A"/>
    <w:rsid w:val="3A841E41"/>
    <w:rsid w:val="3A8F1281"/>
    <w:rsid w:val="3A9F345B"/>
    <w:rsid w:val="3AF116FE"/>
    <w:rsid w:val="3B137ABA"/>
    <w:rsid w:val="3B627275"/>
    <w:rsid w:val="3C366993"/>
    <w:rsid w:val="3FDD4FD1"/>
    <w:rsid w:val="400C6C36"/>
    <w:rsid w:val="40767412"/>
    <w:rsid w:val="41E06866"/>
    <w:rsid w:val="42476483"/>
    <w:rsid w:val="42BC0C0E"/>
    <w:rsid w:val="42CD123A"/>
    <w:rsid w:val="4322645A"/>
    <w:rsid w:val="441A7E0D"/>
    <w:rsid w:val="45E15D5A"/>
    <w:rsid w:val="462D72F1"/>
    <w:rsid w:val="471054F8"/>
    <w:rsid w:val="494F67AB"/>
    <w:rsid w:val="495378B6"/>
    <w:rsid w:val="498645DA"/>
    <w:rsid w:val="499334E1"/>
    <w:rsid w:val="4B49179F"/>
    <w:rsid w:val="4BA206E8"/>
    <w:rsid w:val="4C3369CC"/>
    <w:rsid w:val="4D7001EC"/>
    <w:rsid w:val="4D9A0DDD"/>
    <w:rsid w:val="4DF0398D"/>
    <w:rsid w:val="4FA15887"/>
    <w:rsid w:val="5201085F"/>
    <w:rsid w:val="522C1FBE"/>
    <w:rsid w:val="545333E8"/>
    <w:rsid w:val="54743934"/>
    <w:rsid w:val="550362A0"/>
    <w:rsid w:val="55940563"/>
    <w:rsid w:val="56EE441B"/>
    <w:rsid w:val="59862D89"/>
    <w:rsid w:val="59AB5198"/>
    <w:rsid w:val="5B0867BA"/>
    <w:rsid w:val="5B507A5E"/>
    <w:rsid w:val="5B6F2D3C"/>
    <w:rsid w:val="5E960581"/>
    <w:rsid w:val="5F087282"/>
    <w:rsid w:val="60303201"/>
    <w:rsid w:val="62CF7BBD"/>
    <w:rsid w:val="62D22BF7"/>
    <w:rsid w:val="635D78BF"/>
    <w:rsid w:val="63807F12"/>
    <w:rsid w:val="63CE3380"/>
    <w:rsid w:val="64EB604D"/>
    <w:rsid w:val="6530528B"/>
    <w:rsid w:val="65586590"/>
    <w:rsid w:val="65960E66"/>
    <w:rsid w:val="65C51A26"/>
    <w:rsid w:val="669B4ED6"/>
    <w:rsid w:val="67BC1058"/>
    <w:rsid w:val="680D31EF"/>
    <w:rsid w:val="68317CD4"/>
    <w:rsid w:val="68712EE5"/>
    <w:rsid w:val="689A33BD"/>
    <w:rsid w:val="68C36416"/>
    <w:rsid w:val="68E72104"/>
    <w:rsid w:val="69572814"/>
    <w:rsid w:val="6A1F6CF7"/>
    <w:rsid w:val="6A4A058A"/>
    <w:rsid w:val="6ABE1B1B"/>
    <w:rsid w:val="6AC07030"/>
    <w:rsid w:val="6BC0231F"/>
    <w:rsid w:val="6C80479D"/>
    <w:rsid w:val="6D1170C8"/>
    <w:rsid w:val="6D4F42A6"/>
    <w:rsid w:val="6E493EB3"/>
    <w:rsid w:val="6EF022FA"/>
    <w:rsid w:val="6F6618B3"/>
    <w:rsid w:val="70392B8D"/>
    <w:rsid w:val="706F400A"/>
    <w:rsid w:val="70C525FF"/>
    <w:rsid w:val="711955DA"/>
    <w:rsid w:val="71327FAE"/>
    <w:rsid w:val="71A11B73"/>
    <w:rsid w:val="727E16B2"/>
    <w:rsid w:val="730A7FCE"/>
    <w:rsid w:val="742E508B"/>
    <w:rsid w:val="755846E6"/>
    <w:rsid w:val="76861594"/>
    <w:rsid w:val="769D30E2"/>
    <w:rsid w:val="78A55541"/>
    <w:rsid w:val="79071443"/>
    <w:rsid w:val="7C3F79E7"/>
    <w:rsid w:val="7D94511A"/>
    <w:rsid w:val="7DC076E0"/>
    <w:rsid w:val="7DF82005"/>
    <w:rsid w:val="7F961D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widowControl/>
      <w:jc w:val="left"/>
      <w:outlineLvl w:val="0"/>
    </w:pPr>
    <w:rPr>
      <w:b/>
      <w:bCs/>
      <w:kern w:val="0"/>
      <w:sz w:val="2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6"/>
    <w:next w:val="6"/>
    <w:qFormat/>
    <w:uiPriority w:val="99"/>
    <w:pPr>
      <w:spacing w:before="100" w:beforeAutospacing="1" w:after="100" w:afterAutospacing="1"/>
      <w:ind w:left="1091"/>
      <w:outlineLvl w:val="3"/>
    </w:pPr>
    <w:rPr>
      <w:rFonts w:ascii="宋体" w:hAnsi="宋体" w:cs="Times New Roman"/>
      <w:b/>
      <w:bCs/>
      <w:color w:val="0000FF"/>
      <w:sz w:val="28"/>
      <w:szCs w:val="28"/>
    </w:rPr>
  </w:style>
  <w:style w:type="paragraph" w:styleId="9">
    <w:name w:val="heading 6"/>
    <w:basedOn w:val="6"/>
    <w:next w:val="6"/>
    <w:qFormat/>
    <w:uiPriority w:val="99"/>
    <w:pPr>
      <w:spacing w:before="100" w:beforeAutospacing="1" w:after="100" w:afterAutospacing="1"/>
      <w:ind w:left="791"/>
      <w:outlineLvl w:val="5"/>
    </w:pPr>
    <w:rPr>
      <w:rFonts w:ascii="宋体" w:hAnsi="宋体" w:cs="Times New Roman"/>
      <w:b/>
      <w:bCs/>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6">
    <w:name w:val="正文_1"/>
    <w:basedOn w:val="7"/>
    <w:next w:val="8"/>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7">
    <w:name w:val="正文_2"/>
    <w:next w:val="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Plain Text1"/>
    <w:basedOn w:val="7"/>
    <w:qFormat/>
    <w:uiPriority w:val="0"/>
    <w:rPr>
      <w:rFonts w:ascii="宋体" w:hAnsi="Courier New" w:cs="Courier New"/>
      <w:szCs w:val="21"/>
    </w:rPr>
  </w:style>
  <w:style w:type="paragraph" w:styleId="10">
    <w:name w:val="Normal Indent"/>
    <w:basedOn w:val="1"/>
    <w:qFormat/>
    <w:uiPriority w:val="0"/>
    <w:pPr>
      <w:ind w:firstLine="420" w:firstLineChars="200"/>
    </w:pPr>
    <w:rPr>
      <w:szCs w:val="21"/>
    </w:rPr>
  </w:style>
  <w:style w:type="paragraph" w:styleId="11">
    <w:name w:val="annotation text"/>
    <w:basedOn w:val="1"/>
    <w:qFormat/>
    <w:uiPriority w:val="99"/>
    <w:pPr>
      <w:jc w:val="left"/>
    </w:pPr>
  </w:style>
  <w:style w:type="paragraph" w:styleId="12">
    <w:name w:val="Plain Text"/>
    <w:basedOn w:val="1"/>
    <w:qFormat/>
    <w:uiPriority w:val="0"/>
    <w:rPr>
      <w:rFonts w:ascii="宋体" w:hAnsi="Courier New" w:cs="Courier New"/>
      <w:szCs w:val="21"/>
    </w:rPr>
  </w:style>
  <w:style w:type="paragraph" w:styleId="13">
    <w:name w:val="endnote text"/>
    <w:basedOn w:val="1"/>
    <w:unhideWhenUsed/>
    <w:qFormat/>
    <w:uiPriority w:val="0"/>
    <w:pPr>
      <w:widowControl w:val="0"/>
      <w:snapToGrid w:val="0"/>
      <w:jc w:val="left"/>
    </w:pPr>
    <w:rPr>
      <w:rFonts w:ascii="宋体" w:hAnsi="宋体" w:eastAsia="宋体" w:cs="Times New Roman"/>
      <w:kern w:val="0"/>
      <w:sz w:val="28"/>
      <w:szCs w:val="22"/>
      <w:lang w:val="en-US" w:eastAsia="zh-CN" w:bidi="ar-SA"/>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060"/>
      </w:tabs>
      <w:spacing w:line="360" w:lineRule="auto"/>
    </w:pPr>
    <w:rPr>
      <w:szCs w:val="20"/>
    </w:rPr>
  </w:style>
  <w:style w:type="paragraph" w:styleId="17">
    <w:name w:val="Body Text 2"/>
    <w:basedOn w:val="1"/>
    <w:qFormat/>
    <w:uiPriority w:val="0"/>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qFormat/>
    <w:uiPriority w:val="0"/>
    <w:rPr>
      <w:color w:val="333333"/>
      <w:u w:val="none"/>
    </w:rPr>
  </w:style>
  <w:style w:type="character" w:styleId="25">
    <w:name w:val="Emphasis"/>
    <w:basedOn w:val="21"/>
    <w:qFormat/>
    <w:uiPriority w:val="0"/>
    <w:rPr>
      <w:u w:val="none"/>
    </w:rPr>
  </w:style>
  <w:style w:type="character" w:styleId="26">
    <w:name w:val="Hyperlink"/>
    <w:qFormat/>
    <w:uiPriority w:val="99"/>
    <w:rPr>
      <w:color w:val="000000"/>
      <w:sz w:val="18"/>
      <w:szCs w:val="18"/>
      <w:u w:val="none"/>
    </w:rPr>
  </w:style>
  <w:style w:type="character" w:styleId="27">
    <w:name w:val="annotation reference"/>
    <w:semiHidden/>
    <w:qFormat/>
    <w:uiPriority w:val="0"/>
    <w:rPr>
      <w:sz w:val="21"/>
      <w:szCs w:val="21"/>
    </w:rPr>
  </w:style>
  <w:style w:type="paragraph" w:customStyle="1" w:styleId="28">
    <w:name w:val="[Normal]"/>
    <w:qFormat/>
    <w:uiPriority w:val="0"/>
    <w:rPr>
      <w:rFonts w:ascii="宋体" w:hAnsi="宋体" w:eastAsia="宋体" w:cs="Times New Roman"/>
      <w:sz w:val="24"/>
      <w:lang w:val="en-US" w:eastAsia="en-US" w:bidi="ar-SA"/>
    </w:rPr>
  </w:style>
  <w:style w:type="paragraph" w:customStyle="1" w:styleId="29">
    <w:name w:val="表格文字"/>
    <w:basedOn w:val="1"/>
    <w:next w:val="2"/>
    <w:qFormat/>
    <w:uiPriority w:val="0"/>
    <w:pPr>
      <w:spacing w:before="25" w:after="25" w:line="240" w:lineRule="auto"/>
      <w:ind w:firstLine="0"/>
      <w:jc w:val="left"/>
    </w:pPr>
    <w:rPr>
      <w:bCs/>
      <w:spacing w:val="10"/>
      <w:kern w:val="0"/>
      <w:sz w:val="24"/>
    </w:rPr>
  </w:style>
  <w:style w:type="paragraph" w:customStyle="1" w:styleId="30">
    <w:name w:val="正文_0_0"/>
    <w:basedOn w:val="31"/>
    <w:qFormat/>
    <w:uiPriority w:val="0"/>
  </w:style>
  <w:style w:type="paragraph" w:customStyle="1" w:styleId="31">
    <w:name w:val="正文_1_0"/>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2">
    <w:name w:val="List Paragraph"/>
    <w:basedOn w:val="1"/>
    <w:qFormat/>
    <w:uiPriority w:val="99"/>
    <w:pPr>
      <w:ind w:firstLine="420" w:firstLineChars="200"/>
    </w:pPr>
  </w:style>
  <w:style w:type="paragraph" w:customStyle="1" w:styleId="33">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 w:type="paragraph" w:customStyle="1" w:styleId="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5">
    <w:name w:val="正文缩进1"/>
    <w:basedOn w:val="1"/>
    <w:next w:val="33"/>
    <w:qFormat/>
    <w:uiPriority w:val="0"/>
    <w:pPr>
      <w:ind w:firstLine="420" w:firstLineChars="200"/>
    </w:pPr>
    <w:rPr>
      <w:rFonts w:eastAsia="宋体"/>
      <w:szCs w:val="21"/>
    </w:rPr>
  </w:style>
  <w:style w:type="paragraph" w:customStyle="1" w:styleId="36">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37">
    <w:name w:val="owl-numbers"/>
    <w:basedOn w:val="21"/>
    <w:qFormat/>
    <w:uiPriority w:val="0"/>
    <w:rPr>
      <w:color w:val="FFFFFF"/>
      <w:sz w:val="18"/>
      <w:szCs w:val="18"/>
    </w:rPr>
  </w:style>
  <w:style w:type="paragraph" w:customStyle="1" w:styleId="38">
    <w:name w:val="null3"/>
    <w:qFormat/>
    <w:uiPriority w:val="0"/>
    <w:rPr>
      <w:rFonts w:hint="eastAsia" w:ascii="Calibri" w:hAnsi="Calibri" w:eastAsia="宋体" w:cs="Times New Roman"/>
      <w:lang w:val="en-US" w:eastAsia="zh-Hans"/>
    </w:rPr>
  </w:style>
  <w:style w:type="character" w:customStyle="1" w:styleId="39">
    <w:name w:val="font11"/>
    <w:basedOn w:val="21"/>
    <w:qFormat/>
    <w:uiPriority w:val="0"/>
    <w:rPr>
      <w:rFonts w:hint="eastAsia" w:ascii="宋体" w:hAnsi="宋体" w:eastAsia="宋体" w:cs="宋体"/>
      <w:b/>
      <w:bCs/>
      <w:color w:val="000000"/>
      <w:sz w:val="44"/>
      <w:szCs w:val="44"/>
      <w:u w:val="single"/>
    </w:rPr>
  </w:style>
  <w:style w:type="character" w:customStyle="1" w:styleId="40">
    <w:name w:val="font41"/>
    <w:basedOn w:val="21"/>
    <w:qFormat/>
    <w:uiPriority w:val="0"/>
    <w:rPr>
      <w:rFonts w:hint="eastAsia" w:ascii="宋体" w:hAnsi="宋体" w:eastAsia="宋体" w:cs="宋体"/>
      <w:b/>
      <w:bCs/>
      <w:color w:val="000000"/>
      <w:sz w:val="44"/>
      <w:szCs w:val="44"/>
      <w:u w:val="none"/>
    </w:rPr>
  </w:style>
  <w:style w:type="character" w:customStyle="1" w:styleId="41">
    <w:name w:val="font31"/>
    <w:basedOn w:val="21"/>
    <w:qFormat/>
    <w:uiPriority w:val="0"/>
    <w:rPr>
      <w:rFonts w:hint="eastAsia" w:ascii="宋体" w:hAnsi="宋体" w:eastAsia="宋体" w:cs="宋体"/>
      <w:color w:val="000000"/>
      <w:sz w:val="20"/>
      <w:szCs w:val="20"/>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eastAsia" w:ascii="宋体" w:hAnsi="宋体" w:eastAsia="宋体" w:cs="宋体"/>
      <w:color w:val="000000"/>
      <w:sz w:val="20"/>
      <w:szCs w:val="20"/>
      <w:u w:val="none"/>
    </w:rPr>
  </w:style>
  <w:style w:type="paragraph" w:customStyle="1" w:styleId="44">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45">
    <w:name w:val="正文_5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_4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8">
    <w:name w:val="正文_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_0_0_3_0"/>
    <w:qFormat/>
    <w:uiPriority w:val="99"/>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50">
    <w:name w:val="正文_0_6"/>
    <w:qFormat/>
    <w:uiPriority w:val="99"/>
    <w:pPr>
      <w:widowControl w:val="0"/>
      <w:jc w:val="both"/>
    </w:pPr>
    <w:rPr>
      <w:rFonts w:ascii="Times New Roman" w:hAnsi="Times New Roman" w:eastAsia="宋体" w:cs="Times New Roman"/>
      <w:kern w:val="2"/>
      <w:sz w:val="21"/>
      <w:szCs w:val="22"/>
      <w:lang w:val="en-US" w:eastAsia="zh-CN" w:bidi="ar-SA"/>
    </w:rPr>
  </w:style>
  <w:style w:type="table" w:customStyle="1" w:styleId="51">
    <w:name w:val="Table Normal"/>
    <w:autoRedefine/>
    <w:semiHidden/>
    <w:unhideWhenUsed/>
    <w:qFormat/>
    <w:uiPriority w:val="0"/>
    <w:tblPr>
      <w:tblCellMar>
        <w:top w:w="0" w:type="dxa"/>
        <w:left w:w="0" w:type="dxa"/>
        <w:bottom w:w="0" w:type="dxa"/>
        <w:right w:w="0" w:type="dxa"/>
      </w:tblCellMar>
    </w:tblPr>
  </w:style>
  <w:style w:type="paragraph" w:customStyle="1" w:styleId="52">
    <w:name w:val="Table Text"/>
    <w:basedOn w:val="1"/>
    <w:autoRedefine/>
    <w:semiHidden/>
    <w:qFormat/>
    <w:uiPriority w:val="0"/>
    <w:rPr>
      <w:rFonts w:ascii="Arial" w:hAnsi="Arial" w:eastAsia="Arial" w:cs="Arial"/>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819</Words>
  <Characters>909</Characters>
  <Lines>0</Lines>
  <Paragraphs>0</Paragraphs>
  <TotalTime>13</TotalTime>
  <ScaleCrop>false</ScaleCrop>
  <LinksUpToDate>false</LinksUpToDate>
  <CharactersWithSpaces>942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代理</cp:lastModifiedBy>
  <dcterms:modified xsi:type="dcterms:W3CDTF">2025-09-09T09:25:51Z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4F94E7EEB8384CDFA66EA4AF6B26AA8C_13</vt:lpwstr>
  </property>
  <property fmtid="{D5CDD505-2E9C-101B-9397-08002B2CF9AE}" pid="4" name="KSOTemplateDocerSaveRecord">
    <vt:lpwstr>eyJoZGlkIjoiODlhZmY3NzdhYWI1Y2Q3YmYyYzJlZThjODg5ODI0YzYiLCJ1c2VySWQiOiI5MTQwODUyOTQifQ==</vt:lpwstr>
  </property>
</Properties>
</file>