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440601-2026-00077</w:t>
      </w:r>
    </w:p>
    <w:p>
      <w:pPr>
        <w:pStyle w:val="null3"/>
        <w:jc w:val="center"/>
        <w:outlineLvl w:val="3"/>
      </w:pPr>
      <w:r>
        <w:rPr>
          <w:sz w:val="24"/>
          <w:b/>
        </w:rPr>
        <w:t>采购项目编号：</w:t>
      </w:r>
      <w:r>
        <w:rPr>
          <w:sz w:val="24"/>
          <w:b/>
        </w:rPr>
        <w:t>GDZC-25GZ178</w:t>
      </w:r>
    </w:p>
    <w:p>
      <w:pPr>
        <w:pStyle w:val="null3"/>
        <w:jc w:val="center"/>
        <w:outlineLvl w:val="3"/>
      </w:pPr>
      <w:r>
        <w:rPr>
          <w:sz w:val="24"/>
          <w:b/>
        </w:rPr>
        <w:t>项目名称：</w:t>
      </w:r>
      <w:r>
        <w:rPr>
          <w:sz w:val="24"/>
          <w:b/>
        </w:rPr>
        <w:t>佛山国创院联合培养开放平台信息管理系统项目</w:t>
      </w:r>
    </w:p>
    <w:p>
      <w:pPr>
        <w:pStyle w:val="null3"/>
        <w:jc w:val="center"/>
        <w:outlineLvl w:val="3"/>
      </w:pPr>
      <w:r>
        <w:rPr>
          <w:sz w:val="24"/>
          <w:b/>
        </w:rPr>
        <w:t>采购人：</w:t>
      </w:r>
      <w:r>
        <w:rPr>
          <w:sz w:val="24"/>
          <w:b/>
        </w:rPr>
        <w:t>粤港澳大湾区(佛山)先进制造业国家卓越工程师创新研究院</w:t>
      </w:r>
    </w:p>
    <w:p>
      <w:pPr>
        <w:pStyle w:val="null3"/>
        <w:jc w:val="center"/>
        <w:outlineLvl w:val="3"/>
      </w:pPr>
      <w:r>
        <w:rPr>
          <w:sz w:val="24"/>
          <w:b/>
        </w:rPr>
        <w:t>采购代理机构：</w:t>
      </w:r>
      <w:r>
        <w:rPr>
          <w:sz w:val="24"/>
          <w:b/>
        </w:rPr>
        <w:t>广东中采招标有限公司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广东中采招标有限公司</w:t>
      </w:r>
      <w:r>
        <w:rPr/>
        <w:t>受</w:t>
      </w:r>
      <w:r>
        <w:rPr/>
        <w:t>粤港澳大湾区(佛山)先进制造业国家卓越工程师创新研究院</w:t>
      </w:r>
      <w:r>
        <w:rPr/>
        <w:t>的委托，采用</w:t>
      </w:r>
      <w:r>
        <w:rPr/>
        <w:t>公开招标</w:t>
      </w:r>
      <w:r>
        <w:rPr/>
        <w:t>方式组织采购</w:t>
      </w:r>
      <w:r>
        <w:rPr/>
        <w:t>佛山国创院联合培养开放平台信息管理系统项目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佛山国创院联合培养开放平台信息管理系统项目</w:t>
      </w:r>
    </w:p>
    <w:p>
      <w:pPr>
        <w:pStyle w:val="null3"/>
        <w:ind w:firstLine="480"/>
      </w:pPr>
      <w:r>
        <w:rPr/>
        <w:t>采购计划编号：</w:t>
      </w:r>
      <w:r>
        <w:rPr/>
        <w:t>440601-2026-00077</w:t>
      </w:r>
    </w:p>
    <w:p>
      <w:pPr>
        <w:pStyle w:val="null3"/>
        <w:ind w:firstLine="480"/>
      </w:pPr>
      <w:r>
        <w:rPr/>
        <w:t>采购项目编号：</w:t>
      </w:r>
      <w:r>
        <w:rPr/>
        <w:t>GDZC-25GZ178</w:t>
      </w:r>
    </w:p>
    <w:p>
      <w:pPr>
        <w:pStyle w:val="null3"/>
        <w:ind w:firstLine="480"/>
      </w:pPr>
      <w:r>
        <w:rPr/>
        <w:t>采购方式：</w:t>
      </w:r>
      <w:r>
        <w:rPr/>
        <w:t>公开招标</w:t>
      </w:r>
    </w:p>
    <w:p>
      <w:pPr>
        <w:pStyle w:val="null3"/>
        <w:ind w:firstLine="480"/>
      </w:pPr>
      <w:r>
        <w:rPr/>
        <w:t>预算金额：</w:t>
      </w:r>
      <w:r>
        <w:rPr/>
        <w:t>1,140,700.00</w:t>
      </w:r>
      <w:r>
        <w:rPr/>
        <w:t>元</w:t>
      </w:r>
    </w:p>
    <w:p>
      <w:pPr>
        <w:pStyle w:val="null3"/>
        <w:outlineLvl w:val="3"/>
      </w:pPr>
      <w:r>
        <w:rPr>
          <w:sz w:val="24"/>
          <w:b/>
        </w:rPr>
        <w:t>2.项目内容及需求情况（采购项目技术规格、参数及要求）</w:t>
      </w:r>
    </w:p>
    <w:p>
      <w:pPr>
        <w:pStyle w:val="null3"/>
      </w:pPr>
      <w:r>
        <w:rPr/>
        <w:t>采购包1(佛山国创院联合培养开放平台信息管理系统项目):</w:t>
      </w:r>
    </w:p>
    <w:p>
      <w:pPr>
        <w:pStyle w:val="null3"/>
      </w:pPr>
      <w:r>
        <w:rPr/>
        <w:t>采购包预算金额：1,140,700.00元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行业应用软件开发服务</w:t>
            </w:r>
          </w:p>
        </w:tc>
        <w:tc>
          <w:tcPr>
            <w:tcW w:type="dxa" w:w="2136"/>
          </w:tcPr>
          <w:p>
            <w:pPr>
              <w:pStyle w:val="null3"/>
            </w:pPr>
            <w:r>
              <w:rPr/>
              <w:t>佛山国创院联合培养开放平台信息管理系统项目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供应商为自然人的需提供自然人身份证明扫描件</w:t>
      </w:r>
    </w:p>
    <w:p>
      <w:pPr>
        <w:pStyle w:val="null3"/>
      </w:pPr>
      <w:r>
        <w:rPr/>
        <w:t>2）有依法缴纳税收和社会保障资金的良好记录：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p>
      <w:pPr>
        <w:pStyle w:val="null3"/>
      </w:pPr>
      <w:r>
        <w:rPr/>
        <w:t>3）具有良好的商业信誉和健全的财务会计制度：须提供下列任一项证明材料：①提供《政府采购供应商资格信用承诺函》；②提供2024年度的财务状况报告，财务状况报告须由第三方会计师事务所出具，并能清晰显示第三方会计师事务所的印章和注册会计师签字盖章，且能反映审计结论（若供应商成立不足一年的，可提供本年度近1个月的财务状况报告）；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p>
      <w:pPr>
        <w:pStyle w:val="null3"/>
      </w:pPr>
      <w:r>
        <w:rPr/>
        <w:t>4）履行合同所必需的设备和专业技术能力：须提供下列任一项证明材料：①提供《政府采购供应商资格信用承诺函》；②按投标（响应）文件格式填报设备及专业技术能力情况。</w:t>
      </w:r>
    </w:p>
    <w:p>
      <w:pPr>
        <w:pStyle w:val="null3"/>
      </w:pPr>
      <w:r>
        <w:rPr/>
        <w:t>5）参加采购活动前3年内，在经营活动中没有重大违法记录：须提供下列任一项证明材料：①提供《政府采购供应商资格信用承诺函》；②提供《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采购包1（佛山国创院联合培养开放平台信息管理系统项目）：</w:t>
      </w:r>
      <w:r>
        <w:rPr/>
        <w:t>采购包整体专门面向中小企业采购，监狱企业、残疾人福利性单位视同小型、微型企业。 （1）中小企业评审及《中小企业声明函》填写要求： ① 本项目为服务类项目，投标人须根据本项目采购类别选择对应的《中小企业声明函》填写。 ② 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p>
      <w:pPr>
        <w:pStyle w:val="null3"/>
        <w:outlineLvl w:val="3"/>
      </w:pPr>
      <w:r>
        <w:rPr>
          <w:sz w:val="24"/>
          <w:b/>
        </w:rPr>
        <w:t>3.本项目特定的资格要求：</w:t>
      </w:r>
    </w:p>
    <w:p>
      <w:pPr>
        <w:pStyle w:val="null3"/>
      </w:pPr>
      <w:r>
        <w:rPr/>
        <w:t>采购包1（佛山国创院联合培养开放平台信息管理系统项目）：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广东省公共资源交易平台（佛山市）（https://ygp.gdzwfw.gov.cn/ggzy-portal/#/440600/jygg）及采购代理机构（http://www.gdzczb.com/）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粤港澳大湾区(佛山)先进制造业国家卓越工程师创新研究院</w:t>
      </w:r>
    </w:p>
    <w:p>
      <w:pPr>
        <w:pStyle w:val="null3"/>
        <w:ind w:firstLine="480"/>
      </w:pPr>
      <w:r>
        <w:rPr/>
        <w:t xml:space="preserve"> 地址：</w:t>
      </w:r>
      <w:r>
        <w:rPr/>
        <w:t>佛山市南海区狮山镇广云路33号</w:t>
      </w:r>
    </w:p>
    <w:p>
      <w:pPr>
        <w:pStyle w:val="null3"/>
        <w:ind w:firstLine="480"/>
      </w:pPr>
      <w:r>
        <w:rPr/>
        <w:t xml:space="preserve"> 联系方式：</w:t>
      </w:r>
      <w:r>
        <w:rPr/>
        <w:t>0757-82663192</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广东省佛山市禅城区祖庙街道季华六路17号一座1603室</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张小姐</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本项目总体建设内容为佛山国创院联合培养开放平台信息管理系统，主要包括：</w:t>
      </w:r>
    </w:p>
    <w:p>
      <w:pPr>
        <w:pStyle w:val="null3"/>
        <w:ind w:firstLine="420"/>
      </w:pPr>
      <w:r>
        <w:rPr>
          <w:sz w:val="21"/>
        </w:rPr>
        <w:t>1、软件开发： 主要内容为开发一套涵盖PC端和小程序端的综合信息管理平台。核心功能模块包括：联合培养管理（含联培学生管理、卓越人才培育项目管理、扶持项目管理、综合改革项目管理、共建共享课程建设）、科技攻关项目管理、成果转化管理（含成果库、业务流程库）、创新创业管理（含资料库、项目库）、合作单位管理（含遴选管理、过程管理、评价管理）、OA管理（含用章、采购、请假、误餐补贴、加班、入职、离职、资产管理等）、</w:t>
      </w:r>
      <w:r>
        <w:rPr>
          <w:sz w:val="21"/>
        </w:rPr>
        <w:t>AI问答、</w:t>
      </w:r>
      <w:r>
        <w:rPr>
          <w:sz w:val="21"/>
        </w:rPr>
        <w:t>系统管理、预警管理、通知管理、实时连线、知识图谱等。同时包括基础数据管理、统一身份认证、操作手册等辅助功能。</w:t>
      </w:r>
    </w:p>
    <w:p>
      <w:pPr>
        <w:pStyle w:val="null3"/>
        <w:ind w:firstLine="420"/>
      </w:pPr>
      <w:r>
        <w:rPr>
          <w:sz w:val="21"/>
        </w:rPr>
        <w:t>2</w:t>
      </w:r>
      <w:r>
        <w:rPr>
          <w:sz w:val="21"/>
        </w:rPr>
        <w:t>、运行维护：</w:t>
      </w:r>
      <w:r>
        <w:rPr>
          <w:sz w:val="21"/>
        </w:rPr>
        <w:t>本项目建成后，将产生系统运行维护需求，包括应用系统软件的功能配置完善、性能调优、安全保障，以及常规的例行检查、状态监控和响应支持等服务。</w:t>
      </w:r>
    </w:p>
    <w:p>
      <w:pPr>
        <w:pStyle w:val="null3"/>
      </w:pPr>
      <w:r>
        <w:rPr>
          <w:sz w:val="28"/>
          <w:b/>
        </w:rPr>
        <w:t>二、项目目标：</w:t>
      </w:r>
    </w:p>
    <w:p>
      <w:pPr>
        <w:pStyle w:val="null3"/>
        <w:ind w:firstLine="420"/>
      </w:pPr>
      <w:r>
        <w:rPr>
          <w:sz w:val="21"/>
        </w:rPr>
        <w:t>按照数字政府建设总体规划和佛山国创院信息化发展规划，结合联合培养、科技攻关、成果转化及内部管理等业务需求，本项目旨在建成一个集约、高效、智能的联合培养开放平台信息管理系统，具体目标如下：</w:t>
      </w:r>
    </w:p>
    <w:p>
      <w:pPr>
        <w:pStyle w:val="null3"/>
        <w:ind w:firstLine="420"/>
      </w:pPr>
      <w:r>
        <w:rPr>
          <w:sz w:val="21"/>
        </w:rPr>
        <w:t>1、</w:t>
      </w:r>
      <w:r>
        <w:rPr>
          <w:sz w:val="21"/>
        </w:rPr>
        <w:t>实现精细化和个性化管理：</w:t>
      </w:r>
      <w:r>
        <w:rPr>
          <w:sz w:val="21"/>
        </w:rPr>
        <w:t>通过对学生、导师、企业和佛山国创院等不同角色的需求进行深入分析，以更细致完善的管理方案和系统功能，实现对联合培养项目、扶持项目、科技攻关项目、学生、导师、成果等方面的精细化和个性化服务与管理。</w:t>
      </w:r>
    </w:p>
    <w:p>
      <w:pPr>
        <w:pStyle w:val="null3"/>
        <w:ind w:firstLine="420"/>
      </w:pPr>
      <w:r>
        <w:rPr>
          <w:sz w:val="21"/>
        </w:rPr>
        <w:t>2、</w:t>
      </w:r>
      <w:r>
        <w:rPr>
          <w:sz w:val="21"/>
        </w:rPr>
        <w:t>实现数据的有效整合数据及挖掘分析：</w:t>
      </w:r>
      <w:r>
        <w:rPr>
          <w:sz w:val="21"/>
        </w:rPr>
        <w:t>加强数据串联、分析和挖掘能力，实现多元数据的有效整合，提高佛山国创院数据利用效率，为项目动态监测、资源优化配置和科学决策提供有力支持。</w:t>
      </w:r>
    </w:p>
    <w:p>
      <w:pPr>
        <w:pStyle w:val="null3"/>
        <w:ind w:firstLine="420"/>
      </w:pPr>
      <w:r>
        <w:rPr>
          <w:sz w:val="21"/>
        </w:rPr>
        <w:t>3、</w:t>
      </w:r>
      <w:r>
        <w:rPr>
          <w:sz w:val="21"/>
        </w:rPr>
        <w:t>增强系统的适应性和灵活性：</w:t>
      </w:r>
      <w:r>
        <w:rPr>
          <w:sz w:val="21"/>
        </w:rPr>
        <w:t>规划采用低代码平台或具备类似快速开发能力的架构，在统一的数据中台中建设各业务子系统，加强系统间的紧密协同，实现新功能、新流程的快速开发和定制，灵活应对未来新增或变化的业务需求。</w:t>
      </w:r>
    </w:p>
    <w:p>
      <w:pPr>
        <w:pStyle w:val="null3"/>
        <w:ind w:firstLine="420"/>
      </w:pPr>
      <w:r>
        <w:rPr>
          <w:sz w:val="21"/>
        </w:rPr>
        <w:t>4、</w:t>
      </w:r>
      <w:r>
        <w:rPr>
          <w:sz w:val="21"/>
        </w:rPr>
        <w:t>提升行政效率与服务水平：</w:t>
      </w:r>
      <w:r>
        <w:rPr>
          <w:sz w:val="21"/>
        </w:rPr>
        <w:t>优化业务流程，减少人工操作，提高联合培养项目管理、科技项目申报审批、成果转化跟踪等工作的效率。通过</w:t>
      </w:r>
      <w:r>
        <w:rPr>
          <w:sz w:val="21"/>
        </w:rPr>
        <w:t>PC端和移动端（小程序）的协同应用，为各类用户提供便捷、高效的服务体验。</w:t>
      </w:r>
    </w:p>
    <w:p>
      <w:pPr>
        <w:pStyle w:val="null3"/>
        <w:ind w:firstLine="420"/>
      </w:pPr>
      <w:r>
        <w:rPr>
          <w:sz w:val="21"/>
        </w:rPr>
        <w:t>5、</w:t>
      </w:r>
      <w:r>
        <w:rPr>
          <w:sz w:val="21"/>
        </w:rPr>
        <w:t>降低行政成本：</w:t>
      </w:r>
      <w:r>
        <w:rPr>
          <w:sz w:val="21"/>
        </w:rPr>
        <w:t>通过无纸化办公、流程自动化、信息共享等方式，减少纸张、通讯、人力等方面的行政支出。</w:t>
      </w:r>
    </w:p>
    <w:p>
      <w:pPr>
        <w:pStyle w:val="null3"/>
        <w:ind w:firstLine="420"/>
      </w:pPr>
      <w:r>
        <w:rPr>
          <w:sz w:val="21"/>
        </w:rPr>
        <w:t>6、</w:t>
      </w:r>
      <w:r>
        <w:rPr>
          <w:sz w:val="21"/>
        </w:rPr>
        <w:t>解决的主要问题：</w:t>
      </w:r>
    </w:p>
    <w:p>
      <w:pPr>
        <w:pStyle w:val="null3"/>
        <w:ind w:firstLine="420"/>
      </w:pPr>
      <w:r>
        <w:rPr>
          <w:sz w:val="21"/>
        </w:rPr>
        <w:t>(1)</w:t>
      </w:r>
      <w:r>
        <w:rPr>
          <w:sz w:val="21"/>
        </w:rPr>
        <w:t>解决目前可能存在的各业务环节信息孤岛、数据不一致、流程不规范等问题</w:t>
      </w:r>
      <w:r>
        <w:rPr>
          <w:sz w:val="21"/>
        </w:rPr>
        <w:t>；</w:t>
      </w:r>
    </w:p>
    <w:p>
      <w:pPr>
        <w:pStyle w:val="null3"/>
        <w:ind w:firstLine="420"/>
      </w:pPr>
      <w:r>
        <w:rPr>
          <w:sz w:val="21"/>
        </w:rPr>
        <w:t>(2)</w:t>
      </w:r>
      <w:r>
        <w:rPr>
          <w:sz w:val="21"/>
        </w:rPr>
        <w:t>解决传统管理方式下信息获取不及时、过程监控难、决策支持弱等问题</w:t>
      </w:r>
      <w:r>
        <w:rPr>
          <w:sz w:val="21"/>
        </w:rPr>
        <w:t>；</w:t>
      </w:r>
    </w:p>
    <w:p>
      <w:pPr>
        <w:pStyle w:val="null3"/>
        <w:ind w:firstLine="420"/>
      </w:pPr>
      <w:r>
        <w:rPr>
          <w:sz w:val="21"/>
        </w:rPr>
        <w:t>(3)</w:t>
      </w:r>
      <w:r>
        <w:rPr>
          <w:sz w:val="21"/>
        </w:rPr>
        <w:t>解决多方协作（高校、企业、学生、导师）过程中沟通成本高、信息同步难的问题</w:t>
      </w:r>
      <w:r>
        <w:rPr>
          <w:sz w:val="21"/>
        </w:rPr>
        <w:t>；</w:t>
      </w:r>
    </w:p>
    <w:p>
      <w:pPr>
        <w:pStyle w:val="null3"/>
        <w:ind w:firstLine="420"/>
      </w:pPr>
      <w:r>
        <w:rPr>
          <w:sz w:val="21"/>
        </w:rPr>
        <w:t>(4)</w:t>
      </w:r>
      <w:r>
        <w:rPr>
          <w:sz w:val="21"/>
        </w:rPr>
        <w:t>项目建设的意义：</w:t>
      </w:r>
      <w:r>
        <w:rPr>
          <w:sz w:val="21"/>
        </w:rPr>
        <w:t>本项目的建设，将有力支撑佛山国创院卓越工程师培养模式的创新与实践，促进产学研深度融合，提升科技成果转化效率，优化内部管理效能，为佛山乃至粤港澳大湾区先进制造业发展提供强有力的人才和技术支撑。</w:t>
      </w:r>
    </w:p>
    <w:p>
      <w:pPr>
        <w:pStyle w:val="null3"/>
      </w:pPr>
      <w:r>
        <w:rPr>
          <w:sz w:val="28"/>
          <w:b/>
        </w:rPr>
        <w:t>三、项目现状及需求分析</w:t>
      </w:r>
    </w:p>
    <w:p>
      <w:pPr>
        <w:pStyle w:val="null3"/>
        <w:ind w:left="570"/>
      </w:pPr>
      <w:r>
        <w:rPr>
          <w:sz w:val="21"/>
          <w:b/>
        </w:rPr>
        <w:t>3</w:t>
      </w:r>
      <w:r>
        <w:rPr>
          <w:sz w:val="21"/>
          <w:b/>
        </w:rPr>
        <w:t>.1.</w:t>
      </w:r>
      <w:r>
        <w:rPr>
          <w:sz w:val="21"/>
          <w:b/>
        </w:rPr>
        <w:t xml:space="preserve"> </w:t>
      </w:r>
      <w:r>
        <w:rPr>
          <w:sz w:val="21"/>
          <w:b/>
        </w:rPr>
        <w:t>现状及存在问题</w:t>
      </w:r>
    </w:p>
    <w:p>
      <w:pPr>
        <w:pStyle w:val="null3"/>
        <w:ind w:left="705"/>
      </w:pPr>
      <w:r>
        <w:rPr>
          <w:sz w:val="21"/>
          <w:b/>
        </w:rPr>
        <w:t>3</w:t>
      </w:r>
      <w:r>
        <w:rPr>
          <w:sz w:val="21"/>
          <w:b/>
        </w:rPr>
        <w:t>.1.1.</w:t>
      </w:r>
      <w:r>
        <w:rPr>
          <w:sz w:val="21"/>
          <w:b/>
        </w:rPr>
        <w:t>基础设施现状</w:t>
      </w:r>
    </w:p>
    <w:p>
      <w:pPr>
        <w:pStyle w:val="null3"/>
        <w:ind w:firstLine="420"/>
      </w:pPr>
      <w:r>
        <w:rPr>
          <w:sz w:val="21"/>
        </w:rPr>
        <w:t>佛山国创院目前部署在佛山大学中心机房，使用云资源，信息化基础设施相对薄弱，缺乏统一的业务承载平台。拟通过本项目建立完整的联合培养开放平台信息管理系统</w:t>
      </w:r>
      <w:r>
        <w:rPr>
          <w:sz w:val="21"/>
        </w:rPr>
        <w:t>,不涉及大规模新增硬件基础设施。利旧使用原有的公共支撑平台。</w:t>
      </w:r>
    </w:p>
    <w:p>
      <w:pPr>
        <w:pStyle w:val="null3"/>
        <w:ind w:left="420"/>
      </w:pPr>
      <w:r>
        <w:rPr>
          <w:sz w:val="21"/>
          <w:b/>
        </w:rPr>
        <w:t>(1)</w:t>
      </w:r>
      <w:r>
        <w:rPr>
          <w:sz w:val="21"/>
          <w:b/>
        </w:rPr>
        <w:t>网络环境：</w:t>
      </w:r>
    </w:p>
    <w:p>
      <w:pPr>
        <w:pStyle w:val="null3"/>
        <w:ind w:firstLine="420"/>
      </w:pPr>
      <w:r>
        <w:rPr>
          <w:sz w:val="21"/>
        </w:rPr>
        <w:t>网络使用情况与覆盖范围：</w:t>
      </w:r>
      <w:r>
        <w:rPr>
          <w:sz w:val="21"/>
        </w:rPr>
        <w:t>佛山大学网络环境建设较为完善，覆盖了全校主要教学楼、实验楼、办公楼、图书馆、学生宿舍及主要公共区域，实现了有线与无线网络的全覆盖。网络支持教学、科研、办公及日常生活等多种应用场景。</w:t>
      </w:r>
    </w:p>
    <w:tbl>
      <w:tblPr>
        <w:tblW w:w="0" w:type="auto"/>
        <w:tblBorders>
          <w:top w:val="none" w:color="000000" w:sz="4"/>
          <w:left w:val="none" w:color="000000" w:sz="4"/>
          <w:bottom w:val="none" w:color="000000" w:sz="4"/>
          <w:right w:val="none" w:color="000000" w:sz="4"/>
          <w:insideH w:val="none"/>
          <w:insideV w:val="none"/>
        </w:tblBorders>
      </w:tblPr>
      <w:tblGrid>
        <w:gridCol w:w="1768"/>
        <w:gridCol w:w="6537"/>
      </w:tblGrid>
      <w:tr>
        <w:tc>
          <w:tcPr>
            <w:tcW w:type="dxa" w:w="1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项目</w:t>
            </w:r>
          </w:p>
        </w:tc>
        <w:tc>
          <w:tcPr>
            <w:tcW w:type="dxa" w:w="6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现状描述</w:t>
            </w:r>
          </w:p>
        </w:tc>
      </w:tr>
      <w:tr>
        <w:tc>
          <w:tcPr>
            <w:tcW w:type="dxa" w:w="1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覆盖范围</w:t>
            </w:r>
          </w:p>
        </w:tc>
        <w:tc>
          <w:tcPr>
            <w:tcW w:type="dxa" w:w="6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校本部、仙溪校区、河滨校区全部教学区、生活区、办公区、宿舍区等</w:t>
            </w:r>
          </w:p>
        </w:tc>
      </w:tr>
      <w:tr>
        <w:tc>
          <w:tcPr>
            <w:tcW w:type="dxa" w:w="1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网络类型</w:t>
            </w:r>
          </w:p>
        </w:tc>
        <w:tc>
          <w:tcPr>
            <w:tcW w:type="dxa" w:w="6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千兆主干、百兆到桌面，有线</w:t>
            </w:r>
            <w:r>
              <w:rPr>
                <w:sz w:val="21"/>
              </w:rPr>
              <w:t>+无线混合（Wi-Fi 6 部分区域）</w:t>
            </w:r>
          </w:p>
        </w:tc>
      </w:tr>
      <w:tr>
        <w:tc>
          <w:tcPr>
            <w:tcW w:type="dxa" w:w="1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互联网出口带宽</w:t>
            </w:r>
          </w:p>
        </w:tc>
        <w:tc>
          <w:tcPr>
            <w:tcW w:type="dxa" w:w="6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10Gbps（2022年升级）</w:t>
            </w:r>
          </w:p>
        </w:tc>
      </w:tr>
      <w:tr>
        <w:tc>
          <w:tcPr>
            <w:tcW w:type="dxa" w:w="1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用户数量</w:t>
            </w:r>
          </w:p>
        </w:tc>
        <w:tc>
          <w:tcPr>
            <w:tcW w:type="dxa" w:w="6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约</w:t>
            </w:r>
            <w:r>
              <w:rPr>
                <w:sz w:val="21"/>
              </w:rPr>
              <w:t>30000人（师生及部分访客）</w:t>
            </w:r>
          </w:p>
        </w:tc>
      </w:tr>
      <w:tr>
        <w:tc>
          <w:tcPr>
            <w:tcW w:type="dxa" w:w="1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网络安全</w:t>
            </w:r>
          </w:p>
        </w:tc>
        <w:tc>
          <w:tcPr>
            <w:tcW w:type="dxa" w:w="6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部署防火墙、入侵检测系统、上网行为审计等多重安全措施</w:t>
            </w:r>
          </w:p>
        </w:tc>
      </w:tr>
    </w:tbl>
    <w:p>
      <w:pPr>
        <w:pStyle w:val="null3"/>
      </w:pPr>
      <w:r>
        <w:rPr>
          <w:sz w:val="21"/>
          <w:b/>
        </w:rPr>
        <w:t>(2)</w:t>
      </w:r>
      <w:r>
        <w:rPr>
          <w:sz w:val="21"/>
          <w:b/>
        </w:rPr>
        <w:t>网络拓扑图（示意）：</w:t>
      </w:r>
    </w:p>
    <w:p>
      <w:pPr>
        <w:pStyle w:val="null3"/>
      </w:pPr>
      <w:r>
        <w:drawing>
          <wp:inline distT="0" distR="0" distB="0" distL="0">
            <wp:extent cx="5274310" cy="380435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5274310" cy="3804351"/>
                    </a:xfrm>
                    <a:prstGeom prst="rect">
                      <a:avLst/>
                    </a:prstGeom>
                  </pic:spPr>
                </pic:pic>
              </a:graphicData>
            </a:graphic>
          </wp:inline>
        </w:drawing>
      </w:r>
    </w:p>
    <w:p>
      <w:pPr>
        <w:pStyle w:val="null3"/>
        <w:ind w:left="420"/>
      </w:pPr>
      <w:r>
        <w:rPr>
          <w:sz w:val="21"/>
          <w:b/>
        </w:rPr>
        <w:t>(3)</w:t>
      </w:r>
      <w:r>
        <w:rPr>
          <w:sz w:val="21"/>
          <w:b/>
        </w:rPr>
        <w:t>云平台：</w:t>
      </w:r>
    </w:p>
    <w:p>
      <w:pPr>
        <w:pStyle w:val="null3"/>
      </w:pPr>
      <w:r>
        <w:rPr>
          <w:sz w:val="21"/>
        </w:rPr>
        <w:t>服务器、存储和网络设备情况：</w:t>
      </w:r>
    </w:p>
    <w:tbl>
      <w:tblPr>
        <w:tblW w:w="0" w:type="auto"/>
        <w:tblBorders>
          <w:top w:val="none" w:color="000000" w:sz="4"/>
          <w:left w:val="none" w:color="000000" w:sz="4"/>
          <w:bottom w:val="none" w:color="000000" w:sz="4"/>
          <w:right w:val="none" w:color="000000" w:sz="4"/>
          <w:insideH w:val="none"/>
          <w:insideV w:val="none"/>
        </w:tblBorders>
      </w:tblPr>
      <w:tblGrid>
        <w:gridCol w:w="841"/>
        <w:gridCol w:w="844"/>
        <w:gridCol w:w="2887"/>
        <w:gridCol w:w="2418"/>
        <w:gridCol w:w="1315"/>
      </w:tblGrid>
      <w:tr>
        <w:tc>
          <w:tcPr>
            <w:tcW w:type="dxa" w:w="8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类别</w:t>
            </w:r>
          </w:p>
        </w:tc>
        <w:tc>
          <w:tcPr>
            <w:tcW w:type="dxa" w:w="8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设备数量</w:t>
            </w:r>
          </w:p>
        </w:tc>
        <w:tc>
          <w:tcPr>
            <w:tcW w:type="dxa" w:w="28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型号</w:t>
            </w:r>
            <w:r>
              <w:rPr>
                <w:sz w:val="21"/>
              </w:rPr>
              <w:t>/配置</w:t>
            </w:r>
          </w:p>
        </w:tc>
        <w:tc>
          <w:tcPr>
            <w:tcW w:type="dxa" w:w="2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使用情况</w:t>
            </w:r>
          </w:p>
        </w:tc>
        <w:tc>
          <w:tcPr>
            <w:tcW w:type="dxa" w:w="1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利用率（估算）</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服务器</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约</w:t>
            </w:r>
            <w:r>
              <w:rPr>
                <w:sz w:val="21"/>
              </w:rPr>
              <w:t>200台</w:t>
            </w:r>
          </w:p>
        </w:tc>
        <w:tc>
          <w:tcPr>
            <w:tcW w:type="dxa" w:w="2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华为、戴尔、浪潮等品牌，</w:t>
            </w:r>
            <w:r>
              <w:rPr>
                <w:sz w:val="21"/>
              </w:rPr>
              <w:t>32-96核/台</w:t>
            </w:r>
          </w:p>
        </w:tc>
        <w:tc>
          <w:tcPr>
            <w:tcW w:type="dxa" w:w="2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教学、科研、门户、教务等系统</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75%</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存储设备</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约</w:t>
            </w:r>
            <w:r>
              <w:rPr>
                <w:sz w:val="21"/>
              </w:rPr>
              <w:t>10套</w:t>
            </w:r>
          </w:p>
        </w:tc>
        <w:tc>
          <w:tcPr>
            <w:tcW w:type="dxa" w:w="2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华为</w:t>
            </w:r>
            <w:r>
              <w:rPr>
                <w:sz w:val="21"/>
              </w:rPr>
              <w:t>OceanStor、EMC等</w:t>
            </w:r>
          </w:p>
        </w:tc>
        <w:tc>
          <w:tcPr>
            <w:tcW w:type="dxa" w:w="2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各类数据、备份、虚拟化存储</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60%</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网络设备</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约</w:t>
            </w:r>
            <w:r>
              <w:rPr>
                <w:sz w:val="21"/>
              </w:rPr>
              <w:t>100台</w:t>
            </w:r>
          </w:p>
        </w:tc>
        <w:tc>
          <w:tcPr>
            <w:tcW w:type="dxa" w:w="2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华为、</w:t>
            </w:r>
            <w:r>
              <w:rPr>
                <w:sz w:val="21"/>
              </w:rPr>
              <w:t>H3C等千兆核心交换机</w:t>
            </w:r>
          </w:p>
        </w:tc>
        <w:tc>
          <w:tcPr>
            <w:tcW w:type="dxa" w:w="2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校园网主干、汇聚、接入层设备</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80%</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云平台</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1套</w:t>
            </w:r>
          </w:p>
        </w:tc>
        <w:tc>
          <w:tcPr>
            <w:tcW w:type="dxa" w:w="2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私有云</w:t>
            </w:r>
            <w:r>
              <w:rPr>
                <w:sz w:val="21"/>
              </w:rPr>
              <w:t>+虚拟化（VMware/KVM）</w:t>
            </w:r>
          </w:p>
        </w:tc>
        <w:tc>
          <w:tcPr>
            <w:tcW w:type="dxa" w:w="2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支撑</w:t>
            </w:r>
            <w:r>
              <w:rPr>
                <w:sz w:val="21"/>
              </w:rPr>
              <w:t>OA、教务、科研等业务</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70%</w:t>
            </w:r>
          </w:p>
        </w:tc>
      </w:tr>
    </w:tbl>
    <w:p>
      <w:pPr>
        <w:pStyle w:val="null3"/>
        <w:ind w:left="420"/>
      </w:pPr>
      <w:r>
        <w:rPr>
          <w:sz w:val="21"/>
          <w:b/>
        </w:rPr>
        <w:t>(4)</w:t>
      </w:r>
      <w:r>
        <w:rPr>
          <w:sz w:val="21"/>
          <w:b/>
        </w:rPr>
        <w:t>承载业务情况</w:t>
      </w:r>
    </w:p>
    <w:p>
      <w:pPr>
        <w:pStyle w:val="null3"/>
      </w:pPr>
      <w:r>
        <w:rPr>
          <w:sz w:val="21"/>
        </w:rPr>
        <w:t>业务系统：智慧校园平台、教务管理、图书馆管理、一卡通、在线学习平台、科研数据等。</w:t>
      </w:r>
    </w:p>
    <w:p>
      <w:pPr>
        <w:pStyle w:val="null3"/>
      </w:pPr>
      <w:r>
        <w:rPr>
          <w:sz w:val="21"/>
        </w:rPr>
        <w:t>服务对象：全校师生、管理人员。</w:t>
      </w:r>
    </w:p>
    <w:p>
      <w:pPr>
        <w:pStyle w:val="null3"/>
      </w:pPr>
      <w:r>
        <w:rPr>
          <w:sz w:val="21"/>
        </w:rPr>
        <w:t>机房环境：</w:t>
      </w:r>
      <w:r>
        <w:rPr>
          <w:sz w:val="21"/>
        </w:rPr>
        <w:t>不涉及自建机房。</w:t>
      </w:r>
    </w:p>
    <w:tbl>
      <w:tblPr>
        <w:tblW w:w="0" w:type="auto"/>
        <w:tblBorders>
          <w:top w:val="none" w:color="000000" w:sz="4"/>
          <w:left w:val="none" w:color="000000" w:sz="4"/>
          <w:bottom w:val="none" w:color="000000" w:sz="4"/>
          <w:right w:val="none" w:color="000000" w:sz="4"/>
          <w:insideH w:val="none"/>
          <w:insideV w:val="none"/>
        </w:tblBorders>
      </w:tblPr>
      <w:tblGrid>
        <w:gridCol w:w="1769"/>
        <w:gridCol w:w="6535"/>
      </w:tblGrid>
      <w:tr>
        <w:tc>
          <w:tcPr>
            <w:tcW w:type="dxa" w:w="1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项目</w:t>
            </w:r>
          </w:p>
        </w:tc>
        <w:tc>
          <w:tcPr>
            <w:tcW w:type="dxa" w:w="6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现状描述</w:t>
            </w:r>
          </w:p>
        </w:tc>
      </w:tr>
      <w:tr>
        <w:tc>
          <w:tcPr>
            <w:tcW w:type="dxa" w:w="1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建设情况</w:t>
            </w:r>
          </w:p>
        </w:tc>
        <w:tc>
          <w:tcPr>
            <w:tcW w:type="dxa" w:w="6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校本部、仙溪校区、河滨校区各设有数据中心机房，具备恒温恒湿、</w:t>
            </w:r>
            <w:r>
              <w:rPr>
                <w:sz w:val="21"/>
              </w:rPr>
              <w:t>UPS电源等设施</w:t>
            </w:r>
          </w:p>
        </w:tc>
      </w:tr>
      <w:tr>
        <w:tc>
          <w:tcPr>
            <w:tcW w:type="dxa" w:w="1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设备概况</w:t>
            </w:r>
          </w:p>
        </w:tc>
        <w:tc>
          <w:tcPr>
            <w:tcW w:type="dxa" w:w="6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上架服务器、存储、网络设备、视频监控、安全设施齐全</w:t>
            </w:r>
          </w:p>
        </w:tc>
      </w:tr>
      <w:tr>
        <w:tc>
          <w:tcPr>
            <w:tcW w:type="dxa" w:w="1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承载业务</w:t>
            </w:r>
          </w:p>
        </w:tc>
        <w:tc>
          <w:tcPr>
            <w:tcW w:type="dxa" w:w="6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校园网、各类信息系统、数据处理及备份</w:t>
            </w:r>
          </w:p>
        </w:tc>
      </w:tr>
      <w:tr>
        <w:tc>
          <w:tcPr>
            <w:tcW w:type="dxa" w:w="1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建设年份</w:t>
            </w:r>
          </w:p>
        </w:tc>
        <w:tc>
          <w:tcPr>
            <w:tcW w:type="dxa" w:w="6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主校区机房</w:t>
            </w:r>
            <w:r>
              <w:rPr>
                <w:sz w:val="21"/>
              </w:rPr>
              <w:t>2008年建成，2016年、2020年两次升级</w:t>
            </w:r>
          </w:p>
        </w:tc>
      </w:tr>
      <w:tr>
        <w:tc>
          <w:tcPr>
            <w:tcW w:type="dxa" w:w="1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资金投入</w:t>
            </w:r>
          </w:p>
        </w:tc>
        <w:tc>
          <w:tcPr>
            <w:tcW w:type="dxa" w:w="6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历年累计约</w:t>
            </w:r>
            <w:r>
              <w:rPr>
                <w:sz w:val="21"/>
              </w:rPr>
              <w:t>1200万元</w:t>
            </w:r>
          </w:p>
        </w:tc>
      </w:tr>
      <w:tr>
        <w:tc>
          <w:tcPr>
            <w:tcW w:type="dxa" w:w="1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维护单位</w:t>
            </w:r>
          </w:p>
        </w:tc>
        <w:tc>
          <w:tcPr>
            <w:tcW w:type="dxa" w:w="6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校信息与网络中心负责日常运维</w:t>
            </w:r>
          </w:p>
        </w:tc>
      </w:tr>
    </w:tbl>
    <w:p>
      <w:pPr>
        <w:pStyle w:val="null3"/>
      </w:pPr>
      <w:r>
        <w:rPr>
          <w:sz w:val="21"/>
        </w:rPr>
        <w:t>其他基础设施：</w:t>
      </w:r>
      <w:r>
        <w:rPr>
          <w:sz w:val="21"/>
        </w:rPr>
        <w:t>不涉及大规模采购其他专用基础设施。</w:t>
      </w:r>
    </w:p>
    <w:tbl>
      <w:tblPr>
        <w:tblW w:w="0" w:type="auto"/>
        <w:tblBorders>
          <w:top w:val="none" w:color="000000" w:sz="4"/>
          <w:left w:val="none" w:color="000000" w:sz="4"/>
          <w:bottom w:val="none" w:color="000000" w:sz="4"/>
          <w:right w:val="none" w:color="000000" w:sz="4"/>
          <w:insideH w:val="none"/>
          <w:insideV w:val="none"/>
        </w:tblBorders>
      </w:tblPr>
      <w:tblGrid>
        <w:gridCol w:w="1277"/>
        <w:gridCol w:w="1174"/>
        <w:gridCol w:w="2730"/>
        <w:gridCol w:w="1834"/>
        <w:gridCol w:w="1291"/>
      </w:tblGrid>
      <w:tr>
        <w:tc>
          <w:tcPr>
            <w:tcW w:type="dxa" w:w="1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设备类型</w:t>
            </w:r>
          </w:p>
        </w:tc>
        <w:tc>
          <w:tcPr>
            <w:tcW w:type="dxa" w:w="1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数量</w:t>
            </w:r>
          </w:p>
        </w:tc>
        <w:tc>
          <w:tcPr>
            <w:tcW w:type="dxa" w:w="2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型号</w:t>
            </w:r>
            <w:r>
              <w:rPr>
                <w:sz w:val="21"/>
              </w:rPr>
              <w:t>/配置</w:t>
            </w:r>
          </w:p>
        </w:tc>
        <w:tc>
          <w:tcPr>
            <w:tcW w:type="dxa" w:w="18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用途</w:t>
            </w:r>
          </w:p>
        </w:tc>
        <w:tc>
          <w:tcPr>
            <w:tcW w:type="dxa" w:w="1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建设年份</w:t>
            </w:r>
          </w:p>
        </w:tc>
      </w:tr>
      <w:tr>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多媒体教室</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约</w:t>
            </w:r>
            <w:r>
              <w:rPr>
                <w:sz w:val="21"/>
              </w:rPr>
              <w:t>200间</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交互智能黑板、投影仪等</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教学、讲座</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2015-2022</w:t>
            </w:r>
          </w:p>
        </w:tc>
      </w:tr>
      <w:tr>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计算机教室</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约</w:t>
            </w:r>
            <w:r>
              <w:rPr>
                <w:sz w:val="21"/>
              </w:rPr>
              <w:t>30间</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联想、戴尔等品牌</w:t>
            </w:r>
            <w:r>
              <w:rPr>
                <w:sz w:val="21"/>
              </w:rPr>
              <w:t>PC</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信息技术课程、实验</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2010-2021</w:t>
            </w:r>
          </w:p>
        </w:tc>
      </w:tr>
      <w:tr>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监控设备</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约</w:t>
            </w:r>
            <w:r>
              <w:rPr>
                <w:sz w:val="21"/>
              </w:rPr>
              <w:t>3000路</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海康威视摄像头</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校园安防监控</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2016-2022</w:t>
            </w:r>
          </w:p>
        </w:tc>
      </w:tr>
      <w:tr>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电子阅览室</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3个</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电子期刊数据库、检索终端</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信息查阅、阅读</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2012-2020</w:t>
            </w:r>
          </w:p>
        </w:tc>
      </w:tr>
    </w:tbl>
    <w:p>
      <w:pPr>
        <w:pStyle w:val="null3"/>
      </w:pPr>
      <w:r>
        <w:rPr>
          <w:sz w:val="21"/>
          <w:b/>
        </w:rPr>
        <w:t>3</w:t>
      </w:r>
      <w:r>
        <w:rPr>
          <w:sz w:val="21"/>
          <w:b/>
        </w:rPr>
        <w:t>.1.2.</w:t>
      </w:r>
      <w:r>
        <w:rPr>
          <w:sz w:val="21"/>
          <w:b/>
        </w:rPr>
        <w:t>平台（系统）现状</w:t>
      </w:r>
    </w:p>
    <w:p>
      <w:pPr>
        <w:pStyle w:val="null3"/>
      </w:pPr>
      <w:r>
        <w:rPr>
          <w:sz w:val="21"/>
        </w:rPr>
        <w:t>部署位置：</w:t>
      </w:r>
      <w:r>
        <w:rPr>
          <w:sz w:val="21"/>
        </w:rPr>
        <w:t>本项目规划建设的系统拟部署在佛山大学中心机房的云平台资源上。</w:t>
      </w:r>
    </w:p>
    <w:p>
      <w:pPr>
        <w:pStyle w:val="null3"/>
      </w:pPr>
      <w:r>
        <w:rPr>
          <w:sz w:val="21"/>
        </w:rPr>
        <w:t>相关平台（系统）应用现状：佛山基地研究生联合培养平台于</w:t>
      </w:r>
      <w:r>
        <w:rPr>
          <w:sz w:val="21"/>
        </w:rPr>
        <w:t>2017年上线运行，系统采用B/S架构，使用JAVA语言开发，技术栈包括：Spring MVC、html、</w:t>
      </w:r>
      <w:r>
        <w:rPr>
          <w:sz w:val="21"/>
          <w:i/>
        </w:rPr>
        <w:t>JavaScript</w:t>
      </w:r>
      <w:r>
        <w:rPr>
          <w:sz w:val="21"/>
        </w:rPr>
        <w:t>、shiro等 。该系统在功能覆盖面、流程灵活性、数据共享、移动支持等方面已难以满足现有业务发展的需求。</w:t>
      </w:r>
    </w:p>
    <w:p>
      <w:pPr>
        <w:pStyle w:val="null3"/>
      </w:pPr>
      <w:r>
        <w:rPr>
          <w:sz w:val="21"/>
        </w:rPr>
        <w:t>公共支撑平台使用现状：</w:t>
      </w:r>
      <w:r>
        <w:rPr>
          <w:sz w:val="21"/>
        </w:rPr>
        <w:t>部署在佛山大学中心机房，云平台使用佛山大学校园云平台、单点登录、应用管理、工作台、数据中台。</w:t>
      </w:r>
    </w:p>
    <w:p>
      <w:pPr>
        <w:pStyle w:val="null3"/>
        <w:ind w:left="705"/>
      </w:pPr>
      <w:r>
        <w:rPr>
          <w:sz w:val="21"/>
          <w:b/>
        </w:rPr>
        <w:t>3</w:t>
      </w:r>
      <w:r>
        <w:rPr>
          <w:sz w:val="21"/>
          <w:b/>
        </w:rPr>
        <w:t>.1.3.</w:t>
      </w:r>
      <w:r>
        <w:rPr>
          <w:sz w:val="21"/>
          <w:b/>
        </w:rPr>
        <w:t>运行维护管理现状</w:t>
      </w:r>
    </w:p>
    <w:p>
      <w:pPr>
        <w:pStyle w:val="null3"/>
      </w:pPr>
      <w:r>
        <w:rPr>
          <w:sz w:val="21"/>
        </w:rPr>
        <w:t>目前缺乏针对此类综合信息管理平台的专业化运行维护体系。原建设软件厂家，已经过保。</w:t>
      </w:r>
    </w:p>
    <w:p>
      <w:pPr>
        <w:pStyle w:val="null3"/>
      </w:pPr>
      <w:r>
        <w:rPr>
          <w:sz w:val="21"/>
        </w:rPr>
        <w:t>本项目涉及新建系统，建成后将产生新的运行维护需求。在</w:t>
      </w:r>
      <w:r>
        <w:rPr>
          <w:sz w:val="21"/>
        </w:rPr>
        <w:t>3年质保期内，软件运维由</w:t>
      </w:r>
      <w:r>
        <w:rPr>
          <w:sz w:val="21"/>
        </w:rPr>
        <w:t>中标人</w:t>
      </w:r>
      <w:r>
        <w:rPr>
          <w:sz w:val="21"/>
        </w:rPr>
        <w:t>维护。</w:t>
      </w:r>
    </w:p>
    <w:p>
      <w:pPr>
        <w:pStyle w:val="null3"/>
        <w:ind w:left="705"/>
      </w:pPr>
      <w:r>
        <w:rPr>
          <w:sz w:val="21"/>
          <w:b/>
        </w:rPr>
        <w:t>3</w:t>
      </w:r>
      <w:r>
        <w:rPr>
          <w:sz w:val="21"/>
          <w:b/>
        </w:rPr>
        <w:t>.1.4.</w:t>
      </w:r>
      <w:r>
        <w:rPr>
          <w:sz w:val="21"/>
          <w:b/>
        </w:rPr>
        <w:t>系统业务运营服务现状</w:t>
      </w:r>
    </w:p>
    <w:p>
      <w:pPr>
        <w:pStyle w:val="null3"/>
      </w:pPr>
      <w:r>
        <w:rPr>
          <w:sz w:val="21"/>
        </w:rPr>
        <w:t>不涉及系统业务运营服务。</w:t>
      </w:r>
    </w:p>
    <w:p>
      <w:pPr>
        <w:pStyle w:val="null3"/>
        <w:ind w:left="705"/>
      </w:pPr>
      <w:r>
        <w:rPr>
          <w:sz w:val="21"/>
          <w:b/>
        </w:rPr>
        <w:t>3</w:t>
      </w:r>
      <w:r>
        <w:rPr>
          <w:sz w:val="21"/>
          <w:b/>
        </w:rPr>
        <w:t>.1.5.</w:t>
      </w:r>
      <w:r>
        <w:rPr>
          <w:sz w:val="21"/>
          <w:b/>
        </w:rPr>
        <w:t>网络安全现状</w:t>
      </w:r>
    </w:p>
    <w:p>
      <w:pPr>
        <w:pStyle w:val="null3"/>
      </w:pPr>
      <w:r>
        <w:rPr>
          <w:sz w:val="21"/>
        </w:rPr>
        <w:t>佛山大学中心机房具备防火墙、入侵检测等安全设备或服务。本项目规划按照网络安全等级保护二级标准进行建设。</w:t>
      </w:r>
    </w:p>
    <w:p>
      <w:pPr>
        <w:pStyle w:val="null3"/>
      </w:pPr>
      <w:r>
        <w:rPr>
          <w:sz w:val="21"/>
        </w:rPr>
        <w:t>网络安全保障措施：</w:t>
      </w:r>
    </w:p>
    <w:tbl>
      <w:tblPr>
        <w:tblW w:w="0" w:type="auto"/>
        <w:tblBorders>
          <w:top w:val="none" w:color="000000" w:sz="4"/>
          <w:left w:val="none" w:color="000000" w:sz="4"/>
          <w:bottom w:val="none" w:color="000000" w:sz="4"/>
          <w:right w:val="none" w:color="000000" w:sz="4"/>
          <w:insideH w:val="none"/>
          <w:insideV w:val="none"/>
        </w:tblBorders>
      </w:tblPr>
      <w:tblGrid>
        <w:gridCol w:w="2487"/>
        <w:gridCol w:w="5818"/>
      </w:tblGrid>
      <w:tr>
        <w:tc>
          <w:tcPr>
            <w:tcW w:type="dxa" w:w="2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类别</w:t>
            </w:r>
          </w:p>
        </w:tc>
        <w:tc>
          <w:tcPr>
            <w:tcW w:type="dxa" w:w="5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现状描述</w:t>
            </w:r>
          </w:p>
        </w:tc>
      </w:tr>
      <w:tr>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网络分区与隔离</w:t>
            </w:r>
          </w:p>
        </w:tc>
        <w:tc>
          <w:tcPr>
            <w:tcW w:type="dxa" w:w="5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平台部署在佛山大学校内专用服务器及私有云环境，业务系统、数据库、互联网访问区采用物理与逻辑隔离，关键应用和后台管理区采用</w:t>
            </w:r>
            <w:r>
              <w:rPr>
                <w:sz w:val="21"/>
              </w:rPr>
              <w:t>VLAN划分及访问控制策略，阻断内外网非法访问。</w:t>
            </w:r>
          </w:p>
        </w:tc>
      </w:tr>
      <w:tr>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边界防护</w:t>
            </w:r>
          </w:p>
        </w:tc>
        <w:tc>
          <w:tcPr>
            <w:tcW w:type="dxa" w:w="5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系统接入校园网核心区，通过出口防火墙（</w:t>
            </w:r>
            <w:r>
              <w:rPr>
                <w:sz w:val="21"/>
              </w:rPr>
              <w:t>NGFW）实现白名单访问、端口限制、黑名单拦截及DoS/DDos攻击防护。</w:t>
            </w:r>
          </w:p>
        </w:tc>
      </w:tr>
      <w:tr>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安全加固</w:t>
            </w:r>
          </w:p>
        </w:tc>
        <w:tc>
          <w:tcPr>
            <w:tcW w:type="dxa" w:w="5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服务器操作系统与各类中间件均已进行基线安全加固，关闭不必要端口和服务，采用强密码策略，定期更新补丁。</w:t>
            </w:r>
          </w:p>
        </w:tc>
      </w:tr>
      <w:tr>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身份认证与权限管理</w:t>
            </w:r>
          </w:p>
        </w:tc>
        <w:tc>
          <w:tcPr>
            <w:tcW w:type="dxa" w:w="5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采用统一身份认证平台（</w:t>
            </w:r>
            <w:r>
              <w:rPr>
                <w:sz w:val="21"/>
              </w:rPr>
              <w:t>UAP），支持多因子验证，用户权限最小化分配，敏感操作均要求二次认证。</w:t>
            </w:r>
          </w:p>
        </w:tc>
      </w:tr>
      <w:tr>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日志与审计</w:t>
            </w:r>
          </w:p>
        </w:tc>
        <w:tc>
          <w:tcPr>
            <w:tcW w:type="dxa" w:w="5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部署操作日志和安全审计系统，完整记录平台用户登录、操作、数据访问等全流程，便于安全溯源与责任追查。</w:t>
            </w:r>
          </w:p>
        </w:tc>
      </w:tr>
    </w:tbl>
    <w:p>
      <w:pPr>
        <w:pStyle w:val="null3"/>
      </w:pPr>
      <w:r>
        <w:rPr>
          <w:sz w:val="21"/>
        </w:rPr>
        <w:t>数据安全保障措施：</w:t>
      </w:r>
    </w:p>
    <w:tbl>
      <w:tblPr>
        <w:tblW w:w="0" w:type="auto"/>
        <w:tblBorders>
          <w:top w:val="none" w:color="000000" w:sz="4"/>
          <w:left w:val="none" w:color="000000" w:sz="4"/>
          <w:bottom w:val="none" w:color="000000" w:sz="4"/>
          <w:right w:val="none" w:color="000000" w:sz="4"/>
          <w:insideH w:val="none"/>
          <w:insideV w:val="none"/>
        </w:tblBorders>
      </w:tblPr>
      <w:tblGrid>
        <w:gridCol w:w="2487"/>
        <w:gridCol w:w="5818"/>
      </w:tblGrid>
      <w:tr>
        <w:tc>
          <w:tcPr>
            <w:tcW w:type="dxa" w:w="2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类别</w:t>
            </w:r>
          </w:p>
        </w:tc>
        <w:tc>
          <w:tcPr>
            <w:tcW w:type="dxa" w:w="5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现状描述</w:t>
            </w:r>
          </w:p>
        </w:tc>
      </w:tr>
      <w:tr>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数据传输加密</w:t>
            </w:r>
          </w:p>
        </w:tc>
        <w:tc>
          <w:tcPr>
            <w:tcW w:type="dxa" w:w="5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前后端交互采用</w:t>
            </w:r>
            <w:r>
              <w:rPr>
                <w:sz w:val="21"/>
              </w:rPr>
              <w:t>HTTPS（SSL/TLS加密），内部系统间接口数据采用加密传输，防止数据被窃听和篡改</w:t>
            </w:r>
          </w:p>
        </w:tc>
      </w:tr>
      <w:tr>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数据存储安全</w:t>
            </w:r>
          </w:p>
        </w:tc>
        <w:tc>
          <w:tcPr>
            <w:tcW w:type="dxa" w:w="5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数据库服务器不对外开放，采用专用</w:t>
            </w:r>
            <w:r>
              <w:rPr>
                <w:sz w:val="21"/>
              </w:rPr>
              <w:t>VLAN和访问白名单。平台重要数据（如用户信息、成果数据）加密存储，敏感字段如密码采用不可逆哈希</w:t>
            </w:r>
          </w:p>
        </w:tc>
      </w:tr>
      <w:tr>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数据备份</w:t>
            </w:r>
          </w:p>
        </w:tc>
        <w:tc>
          <w:tcPr>
            <w:tcW w:type="dxa" w:w="5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实现每日自动全量备份，</w:t>
            </w:r>
            <w:r>
              <w:rPr>
                <w:sz w:val="21"/>
              </w:rPr>
              <w:t>Data Guard实时归档日志备份。备份数据异机存放，定期开展备份有效性演练。</w:t>
            </w:r>
          </w:p>
        </w:tc>
      </w:tr>
      <w:tr>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数据脱敏与访问控制</w:t>
            </w:r>
          </w:p>
        </w:tc>
        <w:tc>
          <w:tcPr>
            <w:tcW w:type="dxa" w:w="5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测试环境数据脱敏，生产环境严格分级授权访问</w:t>
            </w:r>
          </w:p>
        </w:tc>
      </w:tr>
    </w:tbl>
    <w:p>
      <w:pPr>
        <w:pStyle w:val="null3"/>
      </w:pPr>
      <w:r>
        <w:rPr>
          <w:sz w:val="21"/>
        </w:rPr>
        <w:t>日常运营与监控响应：</w:t>
      </w:r>
    </w:p>
    <w:tbl>
      <w:tblPr>
        <w:tblW w:w="0" w:type="auto"/>
        <w:tblBorders>
          <w:top w:val="none" w:color="000000" w:sz="4"/>
          <w:left w:val="none" w:color="000000" w:sz="4"/>
          <w:bottom w:val="none" w:color="000000" w:sz="4"/>
          <w:right w:val="none" w:color="000000" w:sz="4"/>
          <w:insideH w:val="none"/>
          <w:insideV w:val="none"/>
        </w:tblBorders>
      </w:tblPr>
      <w:tblGrid>
        <w:gridCol w:w="2487"/>
        <w:gridCol w:w="5818"/>
      </w:tblGrid>
      <w:tr>
        <w:tc>
          <w:tcPr>
            <w:tcW w:type="dxa" w:w="2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类别</w:t>
            </w:r>
          </w:p>
        </w:tc>
        <w:tc>
          <w:tcPr>
            <w:tcW w:type="dxa" w:w="5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现状描述</w:t>
            </w:r>
          </w:p>
        </w:tc>
      </w:tr>
      <w:tr>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监控体系</w:t>
            </w:r>
          </w:p>
        </w:tc>
        <w:tc>
          <w:tcPr>
            <w:tcW w:type="dxa" w:w="5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平台纳入校数据中心统一运维监控，</w:t>
            </w:r>
            <w:r>
              <w:rPr>
                <w:sz w:val="21"/>
              </w:rPr>
              <w:t>7×24小时监控服务器资源、网络流量、安全事件</w:t>
            </w:r>
          </w:p>
        </w:tc>
      </w:tr>
      <w:tr>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入侵检测</w:t>
            </w:r>
          </w:p>
        </w:tc>
        <w:tc>
          <w:tcPr>
            <w:tcW w:type="dxa" w:w="5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部署</w:t>
            </w:r>
            <w:r>
              <w:rPr>
                <w:sz w:val="21"/>
              </w:rPr>
              <w:t>IDS/IPS、主机防护（HIDS）等安全设备，对异常行为、攻击尝试自动告警</w:t>
            </w:r>
          </w:p>
        </w:tc>
      </w:tr>
      <w:tr>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安全巡检</w:t>
            </w:r>
          </w:p>
        </w:tc>
        <w:tc>
          <w:tcPr>
            <w:tcW w:type="dxa" w:w="5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由校网信办</w:t>
            </w:r>
            <w:r>
              <w:rPr>
                <w:sz w:val="21"/>
              </w:rPr>
              <w:t>/信息中心与项目组联合，每周进行漏洞扫描、配置核查、系统日志分析，定期第三方渗透测试</w:t>
            </w:r>
          </w:p>
        </w:tc>
      </w:tr>
      <w:tr>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应急响应</w:t>
            </w:r>
          </w:p>
        </w:tc>
        <w:tc>
          <w:tcPr>
            <w:tcW w:type="dxa" w:w="5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建立应急响应流程，发生安全事件时可快速定位、隔离、恢复，并向上级主管部门备案；定期开展安全应急演练</w:t>
            </w:r>
          </w:p>
        </w:tc>
      </w:tr>
      <w:tr>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账号与权限复查</w:t>
            </w:r>
          </w:p>
        </w:tc>
        <w:tc>
          <w:tcPr>
            <w:tcW w:type="dxa" w:w="5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定期对平台所有账号和权限进行复审，确保离职、转岗等账号及时删除或回收</w:t>
            </w:r>
          </w:p>
        </w:tc>
      </w:tr>
      <w:tr>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安全培训</w:t>
            </w:r>
          </w:p>
        </w:tc>
        <w:tc>
          <w:tcPr>
            <w:tcW w:type="dxa" w:w="5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对项目运维人员、管理人员定期进行安全意识培训，提升防护能力</w:t>
            </w:r>
          </w:p>
        </w:tc>
      </w:tr>
    </w:tbl>
    <w:p>
      <w:pPr>
        <w:pStyle w:val="null3"/>
        <w:ind w:left="705"/>
      </w:pPr>
      <w:r>
        <w:rPr>
          <w:sz w:val="21"/>
          <w:b/>
        </w:rPr>
        <w:t>3</w:t>
      </w:r>
      <w:r>
        <w:rPr>
          <w:sz w:val="21"/>
          <w:b/>
        </w:rPr>
        <w:t>.1.6.</w:t>
      </w:r>
      <w:r>
        <w:rPr>
          <w:sz w:val="21"/>
          <w:b/>
        </w:rPr>
        <w:t>标准规范应用现状</w:t>
      </w:r>
    </w:p>
    <w:p>
      <w:pPr>
        <w:pStyle w:val="null3"/>
      </w:pPr>
      <w:r>
        <w:rPr>
          <w:sz w:val="21"/>
        </w:rPr>
        <w:t>以往信息化建设中标准规范应用尚不充分，本项目将注重遵循国家及地方相关标准规范。</w:t>
      </w:r>
    </w:p>
    <w:tbl>
      <w:tblPr>
        <w:tblW w:w="0" w:type="auto"/>
        <w:tblBorders>
          <w:top w:val="none" w:color="000000" w:sz="4"/>
          <w:left w:val="none" w:color="000000" w:sz="4"/>
          <w:bottom w:val="none" w:color="000000" w:sz="4"/>
          <w:right w:val="none" w:color="000000" w:sz="4"/>
          <w:insideH w:val="none"/>
          <w:insideV w:val="none"/>
        </w:tblBorders>
      </w:tblPr>
      <w:tblGrid>
        <w:gridCol w:w="1038"/>
        <w:gridCol w:w="3205"/>
        <w:gridCol w:w="4059"/>
      </w:tblGrid>
      <w:tr>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标准类型</w:t>
            </w:r>
          </w:p>
        </w:tc>
        <w:tc>
          <w:tcPr>
            <w:tcW w:type="dxa" w:w="3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适用标准名称及编号</w:t>
            </w:r>
          </w:p>
        </w:tc>
        <w:tc>
          <w:tcPr>
            <w:tcW w:type="dxa" w:w="40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应用实施情况</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国家标准</w:t>
            </w:r>
          </w:p>
        </w:tc>
        <w:tc>
          <w:tcPr>
            <w:tcW w:type="dxa" w:w="3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《信息安全技术网络安全等级保护基本要求》（</w:t>
            </w:r>
            <w:r>
              <w:rPr>
                <w:sz w:val="21"/>
              </w:rPr>
              <w:t>GB/T 22239-2019）《信息安全技术 个人信息安全规范》（GB/T 35273-2020）《信息技术 软件工程规范》</w:t>
            </w:r>
          </w:p>
        </w:tc>
        <w:tc>
          <w:tcPr>
            <w:tcW w:type="dxa" w:w="4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项目整体按照网络安全等级保护二级要求设计，落实安全防护措施，用户数据采集、存储和处理严格执行个人信息保护规范，开发流程规范化管理。</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行业标准</w:t>
            </w:r>
          </w:p>
        </w:tc>
        <w:tc>
          <w:tcPr>
            <w:tcW w:type="dxa" w:w="3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《教育信息化标准体系》《高等学校校园网建设规范》</w:t>
            </w:r>
          </w:p>
        </w:tc>
        <w:tc>
          <w:tcPr>
            <w:tcW w:type="dxa" w:w="4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系统接口、数据交换等方面参照教育行业标准实施，保障与高校现有信息平台兼容与协同。</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省级标准</w:t>
            </w:r>
          </w:p>
        </w:tc>
        <w:tc>
          <w:tcPr>
            <w:tcW w:type="dxa" w:w="3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《广东省数字政府建设技术标准》《广东省政务信息资源目录编制与管理办法》</w:t>
            </w:r>
          </w:p>
        </w:tc>
        <w:tc>
          <w:tcPr>
            <w:tcW w:type="dxa" w:w="4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数据接口、目录归集、系统对接等环节，按照省数字政府数据交换、共享及安全要求实施。</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地方标准</w:t>
            </w:r>
          </w:p>
        </w:tc>
        <w:tc>
          <w:tcPr>
            <w:tcW w:type="dxa" w:w="3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《佛山市公共数据资源管理办法》《佛山市智慧校园建设标准（试行）》</w:t>
            </w:r>
          </w:p>
        </w:tc>
        <w:tc>
          <w:tcPr>
            <w:tcW w:type="dxa" w:w="4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在平台数据归集、开放接口、互联互通、安全防护等方面按照佛山市智慧校园及数据管理相关规定设计和部署。</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国务院及电子政务办标准</w:t>
            </w:r>
          </w:p>
        </w:tc>
        <w:tc>
          <w:tcPr>
            <w:tcW w:type="dxa" w:w="3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《政务信息系统整合共享实施方案》《政务信息资源共享交换平台建设指南》</w:t>
            </w:r>
          </w:p>
        </w:tc>
        <w:tc>
          <w:tcPr>
            <w:tcW w:type="dxa" w:w="4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本项目涉及的数据共享、与政府部门平台对接相关接口，符合相关规范要求。</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数字政府工程标准</w:t>
            </w:r>
          </w:p>
        </w:tc>
        <w:tc>
          <w:tcPr>
            <w:tcW w:type="dxa" w:w="3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《数字政府建设总体规范》《数字政府应用平台通用要求》</w:t>
            </w:r>
          </w:p>
        </w:tc>
        <w:tc>
          <w:tcPr>
            <w:tcW w:type="dxa" w:w="4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平台架构、数据开放、接口安全、日志审计等按照数字政府技术标准执行。</w:t>
            </w:r>
          </w:p>
        </w:tc>
      </w:tr>
    </w:tbl>
    <w:p>
      <w:pPr>
        <w:pStyle w:val="null3"/>
      </w:pPr>
      <w:r>
        <w:rPr>
          <w:sz w:val="21"/>
          <w:b/>
        </w:rPr>
        <w:t>3</w:t>
      </w:r>
      <w:r>
        <w:rPr>
          <w:sz w:val="21"/>
          <w:b/>
        </w:rPr>
        <w:t>.2.</w:t>
      </w:r>
      <w:r>
        <w:rPr>
          <w:sz w:val="21"/>
          <w:b/>
        </w:rPr>
        <w:t>存在问题</w:t>
      </w:r>
    </w:p>
    <w:p>
      <w:pPr>
        <w:pStyle w:val="null3"/>
        <w:ind w:firstLine="417"/>
      </w:pPr>
      <w:r>
        <w:rPr>
          <w:sz w:val="21"/>
        </w:rPr>
        <w:t>3</w:t>
      </w:r>
      <w:r>
        <w:rPr>
          <w:sz w:val="21"/>
        </w:rPr>
        <w:t>.2.1.</w:t>
      </w:r>
      <w:r>
        <w:rPr>
          <w:sz w:val="21"/>
        </w:rPr>
        <w:t>依据佛山国创院政务信息化现状及业务发展需求，当前主要存在以下问题：</w:t>
      </w:r>
    </w:p>
    <w:p>
      <w:pPr>
        <w:pStyle w:val="null3"/>
        <w:ind w:firstLine="417"/>
      </w:pPr>
      <w:r>
        <w:rPr>
          <w:sz w:val="21"/>
        </w:rPr>
        <w:t>信息孤岛现象：各业务条线（联合培养、科技项目、成果转化、</w:t>
      </w:r>
      <w:r>
        <w:rPr>
          <w:sz w:val="21"/>
        </w:rPr>
        <w:t>OA等）数据分散，缺乏统一平台进行管理和共享，导致数据不一致、重复录入等问题，影响工作效率和决策准确性。</w:t>
      </w:r>
    </w:p>
    <w:p>
      <w:pPr>
        <w:pStyle w:val="null3"/>
        <w:ind w:firstLine="417"/>
      </w:pPr>
      <w:r>
        <w:rPr>
          <w:sz w:val="21"/>
        </w:rPr>
        <w:t>管理精细化程度不足：</w:t>
      </w:r>
      <w:r>
        <w:rPr>
          <w:sz w:val="21"/>
        </w:rPr>
        <w:t>旧系统对联合培养全过程、各类项目的动态跟踪、精细化考核评价等支持不足，难以满足个性化管理需求。</w:t>
      </w:r>
    </w:p>
    <w:p>
      <w:pPr>
        <w:pStyle w:val="null3"/>
        <w:ind w:firstLine="417"/>
      </w:pPr>
      <w:r>
        <w:rPr>
          <w:sz w:val="21"/>
        </w:rPr>
        <w:t>3</w:t>
      </w:r>
      <w:r>
        <w:rPr>
          <w:sz w:val="21"/>
        </w:rPr>
        <w:t>.2.2.</w:t>
      </w:r>
      <w:r>
        <w:rPr>
          <w:sz w:val="21"/>
        </w:rPr>
        <w:t>数据利用效率不高：</w:t>
      </w:r>
      <w:r>
        <w:rPr>
          <w:sz w:val="21"/>
        </w:rPr>
        <w:t>缺乏有效的数据整合、分析和挖掘手段，难以从现有数据中提炼有价值的信息，为国创院的战略规划和业务优化提供数据支持。</w:t>
      </w:r>
    </w:p>
    <w:p>
      <w:pPr>
        <w:pStyle w:val="null3"/>
        <w:ind w:firstLine="417"/>
      </w:pPr>
      <w:r>
        <w:rPr>
          <w:sz w:val="21"/>
        </w:rPr>
        <w:t>协同效率有待提升：</w:t>
      </w:r>
      <w:r>
        <w:rPr>
          <w:sz w:val="21"/>
        </w:rPr>
        <w:t>涉及多方（高校、企业、学生、导师、国创院内部）的协作流程，信息传递不畅，协同效率不高，缺乏便捷的移动化办公支持。</w:t>
      </w:r>
    </w:p>
    <w:p>
      <w:pPr>
        <w:pStyle w:val="null3"/>
        <w:ind w:firstLine="417"/>
      </w:pPr>
      <w:r>
        <w:rPr>
          <w:sz w:val="21"/>
        </w:rPr>
        <w:t>3</w:t>
      </w:r>
      <w:r>
        <w:rPr>
          <w:sz w:val="21"/>
        </w:rPr>
        <w:t>.2.3.</w:t>
      </w:r>
      <w:r>
        <w:rPr>
          <w:sz w:val="21"/>
        </w:rPr>
        <w:t>系统适应性与灵活性不足：</w:t>
      </w:r>
      <w:r>
        <w:rPr>
          <w:sz w:val="21"/>
        </w:rPr>
        <w:t>现有系统难以快速响应业务流程变化和新功能需求，定制开发周期长、成本高。</w:t>
      </w:r>
    </w:p>
    <w:p>
      <w:pPr>
        <w:pStyle w:val="null3"/>
        <w:ind w:firstLine="417"/>
      </w:pPr>
      <w:r>
        <w:rPr>
          <w:sz w:val="21"/>
        </w:rPr>
        <w:t>3</w:t>
      </w:r>
      <w:r>
        <w:rPr>
          <w:sz w:val="21"/>
        </w:rPr>
        <w:t>.2.4.</w:t>
      </w:r>
      <w:r>
        <w:rPr>
          <w:sz w:val="21"/>
        </w:rPr>
        <w:t>缺乏统一入口和便捷服务：</w:t>
      </w:r>
      <w:r>
        <w:rPr>
          <w:sz w:val="21"/>
        </w:rPr>
        <w:t>用户需要访问多个系统或通过线下方式办理业务，体验不佳。</w:t>
      </w:r>
    </w:p>
    <w:p>
      <w:pPr>
        <w:pStyle w:val="null3"/>
        <w:ind w:firstLine="417"/>
      </w:pPr>
      <w:r>
        <w:rPr>
          <w:sz w:val="21"/>
        </w:rPr>
        <w:t>3</w:t>
      </w:r>
      <w:r>
        <w:rPr>
          <w:sz w:val="21"/>
        </w:rPr>
        <w:t>.2.5.</w:t>
      </w:r>
      <w:r>
        <w:rPr>
          <w:sz w:val="21"/>
        </w:rPr>
        <w:t>过程监控与预警能力缺失：</w:t>
      </w:r>
      <w:r>
        <w:rPr>
          <w:sz w:val="21"/>
        </w:rPr>
        <w:t>对项目关键节点、异常情况缺乏有效的监控和预警机制。</w:t>
      </w:r>
    </w:p>
    <w:p>
      <w:pPr>
        <w:pStyle w:val="null3"/>
        <w:ind w:firstLine="420"/>
      </w:pPr>
      <w:r>
        <w:rPr>
          <w:sz w:val="21"/>
          <w:b/>
        </w:rPr>
        <w:t>3</w:t>
      </w:r>
      <w:r>
        <w:rPr>
          <w:sz w:val="21"/>
          <w:b/>
        </w:rPr>
        <w:t>.3.</w:t>
      </w:r>
      <w:r>
        <w:rPr>
          <w:sz w:val="21"/>
          <w:b/>
        </w:rPr>
        <w:t>项目</w:t>
      </w:r>
      <w:r>
        <w:rPr>
          <w:sz w:val="21"/>
          <w:b/>
        </w:rPr>
        <w:t>需求</w:t>
      </w:r>
    </w:p>
    <w:p>
      <w:pPr>
        <w:pStyle w:val="null3"/>
        <w:ind w:firstLine="420"/>
      </w:pPr>
      <w:r>
        <w:rPr>
          <w:sz w:val="21"/>
          <w:b/>
        </w:rPr>
        <w:t>3</w:t>
      </w:r>
      <w:r>
        <w:rPr>
          <w:sz w:val="21"/>
          <w:b/>
        </w:rPr>
        <w:t>.3.1.</w:t>
      </w:r>
      <w:r>
        <w:rPr>
          <w:sz w:val="21"/>
          <w:b/>
        </w:rPr>
        <w:t>针对项目需求及存在问题，本项目业务需求如下：</w:t>
      </w:r>
    </w:p>
    <w:p>
      <w:pPr>
        <w:pStyle w:val="null3"/>
        <w:ind w:firstLine="417"/>
      </w:pPr>
      <w:r>
        <w:rPr>
          <w:sz w:val="21"/>
        </w:rPr>
        <w:t>(1)</w:t>
      </w:r>
      <w:r>
        <w:rPr>
          <w:sz w:val="21"/>
        </w:rPr>
        <w:t>职能定位与社会服务需求：</w:t>
      </w:r>
      <w:r>
        <w:rPr>
          <w:sz w:val="21"/>
        </w:rPr>
        <w:t>佛山国创院作为卓越工程师培养和产学研合作的重要载体，需要一个强大的信息平台来支撑其核心职能，包括联合培养项目管理、科技攻关项目推动、创新成果转化、合作单位拓展与维护、内部高效协同办公等，从而更好地服务于区域产业发展和人才培养。</w:t>
      </w:r>
    </w:p>
    <w:p>
      <w:pPr>
        <w:pStyle w:val="null3"/>
        <w:ind w:firstLine="417"/>
      </w:pPr>
      <w:r>
        <w:rPr>
          <w:sz w:val="21"/>
        </w:rPr>
        <w:t>(2)</w:t>
      </w:r>
      <w:r>
        <w:rPr>
          <w:sz w:val="21"/>
        </w:rPr>
        <w:t>业务内容与流程梳理：</w:t>
      </w:r>
    </w:p>
    <w:p>
      <w:pPr>
        <w:pStyle w:val="null3"/>
        <w:ind w:firstLine="417"/>
      </w:pPr>
      <w:r>
        <w:rPr>
          <w:sz w:val="21"/>
        </w:rPr>
        <w:t>联合培养管理：</w:t>
      </w:r>
      <w:r>
        <w:rPr>
          <w:sz w:val="21"/>
        </w:rPr>
        <w:t>覆盖项目征集与对接、计划管理、学生管理（在校生、毕业生、终结生、学籍异动、图像）、卓越人才培育项目（南狮、醒狮、雄狮计划，含需求提交、对接、指标分配、师生互选、项目关联、考核）、过程管理（入驻协议、培养计划、考勤、周志、科研成果、中期</w:t>
      </w:r>
      <w:r>
        <w:rPr>
          <w:sz w:val="21"/>
        </w:rPr>
        <w:t>/结束考核、请假）、综合评价计分、评奖评优、共建共享课程等全流程。</w:t>
      </w:r>
    </w:p>
    <w:p>
      <w:pPr>
        <w:pStyle w:val="null3"/>
        <w:ind w:firstLine="417"/>
      </w:pPr>
      <w:r>
        <w:rPr>
          <w:sz w:val="21"/>
        </w:rPr>
        <w:t>扶持项目管理：</w:t>
      </w:r>
      <w:r>
        <w:rPr>
          <w:sz w:val="21"/>
        </w:rPr>
        <w:t>覆盖参数设置、项目申请、中期检查、项目结题全流程。</w:t>
      </w:r>
    </w:p>
    <w:p>
      <w:pPr>
        <w:pStyle w:val="null3"/>
        <w:ind w:firstLine="417"/>
      </w:pPr>
      <w:r>
        <w:rPr>
          <w:sz w:val="21"/>
        </w:rPr>
        <w:t>综合改革项目管理：</w:t>
      </w:r>
      <w:r>
        <w:rPr>
          <w:sz w:val="21"/>
        </w:rPr>
        <w:t>覆盖参数设置、项目申请、中期检查、项目结题全流程。</w:t>
      </w:r>
    </w:p>
    <w:p>
      <w:pPr>
        <w:pStyle w:val="null3"/>
        <w:ind w:firstLine="417"/>
      </w:pPr>
      <w:r>
        <w:rPr>
          <w:sz w:val="21"/>
        </w:rPr>
        <w:t>科技攻关项目管理：</w:t>
      </w:r>
      <w:r>
        <w:rPr>
          <w:sz w:val="21"/>
        </w:rPr>
        <w:t>覆盖自主攻关项目（榜单征集、申报、立项、结项评估）和揭榜挂帅项目（榜单征集、建议、申报、立项、合同、中期评估、结项评估）全流程。公开查询入口。</w:t>
      </w:r>
    </w:p>
    <w:p>
      <w:pPr>
        <w:pStyle w:val="null3"/>
        <w:ind w:firstLine="417"/>
      </w:pPr>
      <w:r>
        <w:rPr>
          <w:sz w:val="21"/>
        </w:rPr>
        <w:t>成果转化管理：</w:t>
      </w:r>
      <w:r>
        <w:rPr>
          <w:sz w:val="21"/>
        </w:rPr>
        <w:t>覆盖成果入库、审核、发布、查询（成果库、业务库）。</w:t>
      </w:r>
    </w:p>
    <w:p>
      <w:pPr>
        <w:pStyle w:val="null3"/>
        <w:ind w:firstLine="417"/>
      </w:pPr>
      <w:r>
        <w:rPr>
          <w:sz w:val="21"/>
        </w:rPr>
        <w:t>创新创业管理：</w:t>
      </w:r>
      <w:r>
        <w:rPr>
          <w:sz w:val="21"/>
        </w:rPr>
        <w:t>覆盖项目入库、审核、发布、查询（项目库、资料库）。</w:t>
      </w:r>
    </w:p>
    <w:p>
      <w:pPr>
        <w:pStyle w:val="null3"/>
        <w:ind w:firstLine="417"/>
      </w:pPr>
      <w:r>
        <w:rPr>
          <w:sz w:val="21"/>
        </w:rPr>
        <w:t>合作单位管理：</w:t>
      </w:r>
      <w:r>
        <w:rPr>
          <w:sz w:val="21"/>
        </w:rPr>
        <w:t>覆盖企业遴选（申请、专家评审、结果录入、公示）、过程管理（企业兼职导师遴选、产学研成果、企业走访、招聘发布）、评价管理（联合培养自评报告）。</w:t>
      </w:r>
    </w:p>
    <w:p>
      <w:pPr>
        <w:pStyle w:val="null3"/>
        <w:ind w:firstLine="417"/>
      </w:pPr>
      <w:r>
        <w:rPr>
          <w:sz w:val="21"/>
        </w:rPr>
        <w:t>OA管理： 覆盖行政（发文、收文、通知、周程表、公示、用章、采购）、人事（入职、离职、请假、加班、误餐补贴）、资产管理（资产账、实物管理、处置管理）等日常办公需求。</w:t>
      </w:r>
    </w:p>
    <w:p>
      <w:pPr>
        <w:pStyle w:val="null3"/>
        <w:ind w:firstLine="417"/>
      </w:pPr>
      <w:r>
        <w:rPr>
          <w:sz w:val="21"/>
        </w:rPr>
        <w:t>系统辅助功能：</w:t>
      </w:r>
      <w:r>
        <w:rPr>
          <w:sz w:val="21"/>
        </w:rPr>
        <w:t>注册管理、用户管理、角色管理、菜单管理、预警管理（短信通知）、通知公告、操作手册、知识图谱（企业、高校、导师、学生、项目、成果关系链可视化）。</w:t>
      </w:r>
    </w:p>
    <w:p>
      <w:pPr>
        <w:pStyle w:val="null3"/>
        <w:ind w:firstLine="417"/>
      </w:pPr>
      <w:r>
        <w:rPr>
          <w:sz w:val="21"/>
        </w:rPr>
        <w:t>用户角色、数量及应用场景：</w:t>
      </w:r>
    </w:p>
    <w:p>
      <w:pPr>
        <w:pStyle w:val="null3"/>
        <w:ind w:firstLine="417"/>
      </w:pPr>
      <w:r>
        <w:rPr>
          <w:sz w:val="21"/>
        </w:rPr>
        <w:t>佛山国创院管理员：</w:t>
      </w:r>
      <w:r>
        <w:rPr>
          <w:sz w:val="21"/>
        </w:rPr>
        <w:t>[预估数量，15人] 负责系统配置、用户权限管理、项目审核、数据统计分析、通知发布、内容管理等。</w:t>
      </w:r>
    </w:p>
    <w:p>
      <w:pPr>
        <w:pStyle w:val="null3"/>
        <w:ind w:firstLine="417"/>
      </w:pPr>
      <w:r>
        <w:rPr>
          <w:sz w:val="21"/>
        </w:rPr>
        <w:t>高校管理员：</w:t>
      </w:r>
      <w:r>
        <w:rPr>
          <w:sz w:val="21"/>
        </w:rPr>
        <w:t>[预估数量，100人，视合作高校数量而定] 负责本校导师信息维护、学生信息管理、项目对接协调、招生资格确认、指标管理等。</w:t>
      </w:r>
    </w:p>
    <w:p>
      <w:pPr>
        <w:pStyle w:val="null3"/>
        <w:ind w:firstLine="417"/>
      </w:pPr>
      <w:r>
        <w:rPr>
          <w:sz w:val="21"/>
        </w:rPr>
        <w:t>高校导师：</w:t>
      </w:r>
      <w:r>
        <w:rPr>
          <w:sz w:val="21"/>
        </w:rPr>
        <w:t>[预估数量，5000人，视合作高校数量而定] 负责项目申请、学生指导、科研成果提交、考核评价、扶持/综合改革项目申报等。</w:t>
      </w:r>
    </w:p>
    <w:p>
      <w:pPr>
        <w:pStyle w:val="null3"/>
        <w:ind w:firstLine="417"/>
      </w:pPr>
      <w:r>
        <w:rPr>
          <w:sz w:val="21"/>
        </w:rPr>
        <w:t>企业管理员：</w:t>
      </w:r>
      <w:r>
        <w:rPr>
          <w:sz w:val="21"/>
        </w:rPr>
        <w:t>[预估数量，500人，视合作企业数量而定] 负责企业信息维护、项目需求发布、对接确认、学生考勤管理、企业兼职导师遴选、产学研成果提交、招聘信息发布等。</w:t>
      </w:r>
    </w:p>
    <w:p>
      <w:pPr>
        <w:pStyle w:val="null3"/>
        <w:ind w:firstLine="417"/>
      </w:pPr>
      <w:r>
        <w:rPr>
          <w:sz w:val="21"/>
        </w:rPr>
        <w:t>企业兼职导师：</w:t>
      </w:r>
      <w:r>
        <w:rPr>
          <w:sz w:val="21"/>
        </w:rPr>
        <w:t>[预估数量，2000人，视合作企业数量而定] 参与学生指导、项目过程管理等。</w:t>
      </w:r>
    </w:p>
    <w:p>
      <w:pPr>
        <w:pStyle w:val="null3"/>
        <w:ind w:firstLine="417"/>
      </w:pPr>
      <w:r>
        <w:rPr>
          <w:sz w:val="21"/>
        </w:rPr>
        <w:t>联培学生：</w:t>
      </w:r>
      <w:r>
        <w:rPr>
          <w:sz w:val="21"/>
        </w:rPr>
        <w:t>[预估数量，新增500人/年，在库7500人以上] 负责个人信息维护、项目选择、培养计划提交、考勤周志填报、科研成果录入、请假申请、评奖评优申请等。</w:t>
      </w:r>
    </w:p>
    <w:p>
      <w:pPr>
        <w:pStyle w:val="null3"/>
        <w:ind w:firstLine="417"/>
      </w:pPr>
      <w:r>
        <w:rPr>
          <w:sz w:val="21"/>
        </w:rPr>
        <w:t>外部注册用户（科技攻关、成果转化、创新创业）：</w:t>
      </w:r>
      <w:r>
        <w:rPr>
          <w:sz w:val="21"/>
        </w:rPr>
        <w:t>[预估数量，500人] 负责相关项目/成果的申报、录入。</w:t>
      </w:r>
    </w:p>
    <w:p>
      <w:pPr>
        <w:pStyle w:val="null3"/>
        <w:ind w:firstLine="417"/>
      </w:pPr>
      <w:r>
        <w:rPr>
          <w:sz w:val="21"/>
        </w:rPr>
        <w:t>公众用户：</w:t>
      </w:r>
      <w:r>
        <w:rPr>
          <w:sz w:val="21"/>
        </w:rPr>
        <w:t>[无数量限制] 访问公开信息，如科技攻关项目榜单、成果库、创新创业项目库等。</w:t>
      </w:r>
    </w:p>
    <w:p>
      <w:pPr>
        <w:pStyle w:val="null3"/>
        <w:ind w:firstLine="417"/>
      </w:pPr>
      <w:r>
        <w:rPr>
          <w:sz w:val="21"/>
        </w:rPr>
        <w:t>OA系统用户（国创院内部员工）： [预估数量，15人] 使用各类办公审批流程。</w:t>
      </w:r>
    </w:p>
    <w:p>
      <w:pPr>
        <w:pStyle w:val="null3"/>
        <w:ind w:firstLine="420"/>
      </w:pPr>
      <w:r>
        <w:rPr>
          <w:sz w:val="21"/>
          <w:b/>
        </w:rPr>
        <w:t>3</w:t>
      </w:r>
      <w:r>
        <w:rPr>
          <w:sz w:val="21"/>
          <w:b/>
        </w:rPr>
        <w:t>.3.2.</w:t>
      </w:r>
      <w:r>
        <w:rPr>
          <w:sz w:val="21"/>
          <w:b/>
        </w:rPr>
        <w:t>基础设施需求</w:t>
      </w:r>
    </w:p>
    <w:p>
      <w:pPr>
        <w:pStyle w:val="null3"/>
        <w:ind w:firstLine="417"/>
      </w:pPr>
      <w:r>
        <w:rPr>
          <w:sz w:val="21"/>
        </w:rPr>
        <w:t>公共基础设施需求：无</w:t>
      </w:r>
    </w:p>
    <w:p>
      <w:pPr>
        <w:pStyle w:val="null3"/>
        <w:ind w:firstLine="420"/>
      </w:pPr>
      <w:r>
        <w:rPr>
          <w:sz w:val="21"/>
          <w:b/>
        </w:rPr>
        <w:t>3</w:t>
      </w:r>
      <w:r>
        <w:rPr>
          <w:sz w:val="21"/>
          <w:b/>
        </w:rPr>
        <w:t>.3.3.</w:t>
      </w:r>
      <w:r>
        <w:rPr>
          <w:sz w:val="21"/>
          <w:b/>
        </w:rPr>
        <w:t>其他基础设施需求：</w:t>
      </w:r>
    </w:p>
    <w:p>
      <w:pPr>
        <w:pStyle w:val="null3"/>
        <w:ind w:firstLine="417"/>
      </w:pPr>
      <w:r>
        <w:rPr>
          <w:sz w:val="21"/>
        </w:rPr>
        <w:t>本项目主要依托信息中心云资源，原则上不新增采购大量硬件设备。</w:t>
      </w:r>
    </w:p>
    <w:p>
      <w:pPr>
        <w:pStyle w:val="null3"/>
        <w:ind w:firstLine="420"/>
      </w:pPr>
      <w:r>
        <w:rPr>
          <w:sz w:val="21"/>
          <w:b/>
        </w:rPr>
        <w:t>3</w:t>
      </w:r>
      <w:r>
        <w:rPr>
          <w:sz w:val="21"/>
          <w:b/>
        </w:rPr>
        <w:t>.3.4.</w:t>
      </w:r>
      <w:r>
        <w:rPr>
          <w:sz w:val="21"/>
          <w:b/>
        </w:rPr>
        <w:t>公共服务需求（仅适用于基础设施、软件开发）</w:t>
      </w:r>
    </w:p>
    <w:p>
      <w:pPr>
        <w:pStyle w:val="null3"/>
        <w:ind w:firstLine="417"/>
      </w:pPr>
      <w:r>
        <w:rPr>
          <w:sz w:val="21"/>
        </w:rPr>
        <w:t>按照《佛山市人民政府办公室关于修订佛山市政务信息化项目管理办法的通知》《佛山市政务服务数据管理局关于修订佛山市政务信息化项目验收实施细则》的要求，完成数据全量编目至省一网共享平台。</w:t>
      </w:r>
    </w:p>
    <w:p>
      <w:pPr>
        <w:pStyle w:val="null3"/>
        <w:ind w:firstLine="420"/>
      </w:pPr>
      <w:r>
        <w:rPr>
          <w:sz w:val="21"/>
          <w:b/>
        </w:rPr>
        <w:t>3</w:t>
      </w:r>
      <w:r>
        <w:rPr>
          <w:sz w:val="21"/>
          <w:b/>
        </w:rPr>
        <w:t>.3.5.</w:t>
      </w:r>
      <w:r>
        <w:rPr>
          <w:sz w:val="21"/>
          <w:b/>
        </w:rPr>
        <w:t>政务服务场景化需求：</w:t>
      </w:r>
    </w:p>
    <w:p>
      <w:pPr>
        <w:pStyle w:val="null3"/>
        <w:ind w:firstLine="417"/>
      </w:pPr>
      <w:r>
        <w:rPr>
          <w:sz w:val="21"/>
        </w:rPr>
        <w:t>本项目暂不直接对接广东政务服务网、粤省事等，但未来可考虑将符合条件的公共服务信息（如成果展示、项目申报指南）通过接口方式推送至相关平台。</w:t>
      </w:r>
    </w:p>
    <w:p>
      <w:pPr>
        <w:pStyle w:val="null3"/>
        <w:ind w:firstLine="420"/>
      </w:pPr>
      <w:r>
        <w:rPr>
          <w:sz w:val="21"/>
          <w:b/>
        </w:rPr>
        <w:t>3</w:t>
      </w:r>
      <w:r>
        <w:rPr>
          <w:sz w:val="21"/>
          <w:b/>
        </w:rPr>
        <w:t>.3.6.</w:t>
      </w:r>
      <w:r>
        <w:rPr>
          <w:sz w:val="21"/>
          <w:b/>
        </w:rPr>
        <w:t>公共支撑平台服务能力需求：</w:t>
      </w:r>
    </w:p>
    <w:p>
      <w:pPr>
        <w:pStyle w:val="null3"/>
        <w:ind w:firstLine="417"/>
      </w:pPr>
      <w:r>
        <w:rPr>
          <w:sz w:val="21"/>
        </w:rPr>
        <w:t>统一身份认证平台：</w:t>
      </w:r>
      <w:r>
        <w:rPr>
          <w:sz w:val="21"/>
        </w:rPr>
        <w:t>与佛山大学统一身份认证平台对接，实现用户单点登录，并遵循相关安全规范。</w:t>
      </w:r>
    </w:p>
    <w:p>
      <w:pPr>
        <w:pStyle w:val="null3"/>
        <w:ind w:firstLine="417"/>
      </w:pPr>
      <w:r>
        <w:rPr>
          <w:sz w:val="21"/>
        </w:rPr>
        <w:t>短信平台：</w:t>
      </w:r>
      <w:r>
        <w:rPr>
          <w:sz w:val="21"/>
        </w:rPr>
        <w:t>用于系统预警通知、消息推送等，需申请短信发送配额。</w:t>
      </w:r>
    </w:p>
    <w:p>
      <w:pPr>
        <w:pStyle w:val="null3"/>
        <w:ind w:firstLine="420"/>
      </w:pPr>
      <w:r>
        <w:rPr>
          <w:sz w:val="21"/>
          <w:b/>
        </w:rPr>
        <w:t>3</w:t>
      </w:r>
      <w:r>
        <w:rPr>
          <w:sz w:val="21"/>
          <w:b/>
        </w:rPr>
        <w:t>.3.7.</w:t>
      </w:r>
      <w:r>
        <w:rPr>
          <w:sz w:val="21"/>
          <w:b/>
        </w:rPr>
        <w:t>通用软件和普遍适用专业软件需求：</w:t>
      </w:r>
    </w:p>
    <w:p>
      <w:pPr>
        <w:pStyle w:val="null3"/>
        <w:ind w:firstLine="417"/>
      </w:pPr>
      <w:r>
        <w:rPr>
          <w:sz w:val="21"/>
        </w:rPr>
        <w:t>协同办公平台：</w:t>
      </w:r>
      <w:r>
        <w:rPr>
          <w:sz w:val="21"/>
        </w:rPr>
        <w:t>本项目</w:t>
      </w:r>
      <w:r>
        <w:rPr>
          <w:sz w:val="21"/>
        </w:rPr>
        <w:t>OA管理模块包含发文、收文等，自建OA。</w:t>
      </w:r>
    </w:p>
    <w:p>
      <w:pPr>
        <w:pStyle w:val="null3"/>
        <w:ind w:firstLine="417"/>
      </w:pPr>
      <w:r>
        <w:rPr>
          <w:sz w:val="21"/>
        </w:rPr>
        <w:t>政府网站集约化平台：</w:t>
      </w:r>
      <w:r>
        <w:rPr>
          <w:sz w:val="21"/>
        </w:rPr>
        <w:t>项目涉及信息发布（通知公告、公示等），可考虑与政府网站集约化平台的内容接口。</w:t>
      </w:r>
    </w:p>
    <w:p>
      <w:pPr>
        <w:pStyle w:val="null3"/>
        <w:ind w:firstLine="417"/>
      </w:pPr>
      <w:r>
        <w:rPr>
          <w:sz w:val="21"/>
        </w:rPr>
        <w:t>“粤复用”平台应用： 考虑到佛山国创院业务的独特性和综合性（涵盖联合培养、多类科研项目、成果转化、创新创业、定制化OA等），需要定制开发以满足特定需求。</w:t>
      </w:r>
    </w:p>
    <w:p>
      <w:pPr>
        <w:pStyle w:val="null3"/>
        <w:ind w:firstLine="420"/>
      </w:pPr>
      <w:r>
        <w:rPr>
          <w:sz w:val="21"/>
          <w:b/>
        </w:rPr>
        <w:t>3</w:t>
      </w:r>
      <w:r>
        <w:rPr>
          <w:sz w:val="21"/>
          <w:b/>
        </w:rPr>
        <w:t>.3.8.</w:t>
      </w:r>
      <w:r>
        <w:rPr>
          <w:sz w:val="21"/>
          <w:b/>
        </w:rPr>
        <w:t>功能性需求（仅适用于软件开发）</w:t>
      </w:r>
    </w:p>
    <w:p>
      <w:pPr>
        <w:pStyle w:val="null3"/>
        <w:ind w:firstLine="417"/>
      </w:pPr>
      <w:r>
        <w:rPr>
          <w:sz w:val="21"/>
        </w:rPr>
        <w:t>本项目主要功能构成及要求详见</w:t>
      </w:r>
      <w:r>
        <w:rPr>
          <w:sz w:val="21"/>
          <w:b/>
        </w:rPr>
        <w:t>采购需求</w:t>
      </w:r>
      <w:r>
        <w:rPr>
          <w:sz w:val="21"/>
        </w:rPr>
        <w:t>“</w:t>
      </w:r>
      <w:r>
        <w:rPr>
          <w:sz w:val="21"/>
          <w:b/>
        </w:rPr>
        <w:t>2.技术标准与要求，附表一：软件开发</w:t>
      </w:r>
      <w:r>
        <w:rPr>
          <w:sz w:val="21"/>
        </w:rPr>
        <w:t>”部分及以下需求简述：</w:t>
      </w:r>
    </w:p>
    <w:p>
      <w:pPr>
        <w:pStyle w:val="null3"/>
        <w:ind w:firstLine="417"/>
      </w:pPr>
      <w:r>
        <w:rPr>
          <w:sz w:val="21"/>
        </w:rPr>
        <w:t>系统需提供</w:t>
      </w:r>
      <w:r>
        <w:rPr>
          <w:sz w:val="21"/>
        </w:rPr>
        <w:t>PC端和移动端（小程序）两种访问方式，数据同步。</w:t>
      </w:r>
    </w:p>
    <w:p>
      <w:pPr>
        <w:pStyle w:val="null3"/>
        <w:ind w:firstLine="417"/>
      </w:pPr>
      <w:r>
        <w:rPr>
          <w:sz w:val="21"/>
        </w:rPr>
        <w:t>核心业务模块：</w:t>
      </w:r>
      <w:r>
        <w:rPr>
          <w:sz w:val="21"/>
        </w:rPr>
        <w:t>联合培养管理、扶持项目管理、综合改革项目管理、科技攻关项目管理、成果转化管理、创新创业管理、合作单位管理。每个模块下设多个子功能，实现对应业务的全流程线上化管理、审批、查询、统计。</w:t>
      </w:r>
      <w:r>
        <w:rPr>
          <w:sz w:val="21"/>
        </w:rPr>
        <w:t xml:space="preserve">                                           </w:t>
      </w:r>
    </w:p>
    <w:p>
      <w:pPr>
        <w:pStyle w:val="null3"/>
        <w:ind w:firstLine="417"/>
      </w:pPr>
      <w:r>
        <w:rPr>
          <w:sz w:val="21"/>
        </w:rPr>
        <w:t>协同办公模块（</w:t>
      </w:r>
      <w:r>
        <w:rPr>
          <w:sz w:val="21"/>
        </w:rPr>
        <w:t>OA管理）： 行政、人事、资产等内部办公流程管理。</w:t>
      </w:r>
    </w:p>
    <w:p>
      <w:pPr>
        <w:pStyle w:val="null3"/>
        <w:ind w:firstLine="417"/>
      </w:pPr>
      <w:r>
        <w:rPr>
          <w:sz w:val="21"/>
        </w:rPr>
        <w:t>支撑模块：</w:t>
      </w:r>
      <w:r>
        <w:rPr>
          <w:sz w:val="21"/>
        </w:rPr>
        <w:t>系统管理（用户、角色、菜单、注册）、预警管理、通知管理、操作手册、知识图谱、实时连线。</w:t>
      </w:r>
    </w:p>
    <w:p>
      <w:pPr>
        <w:pStyle w:val="null3"/>
        <w:ind w:firstLine="417"/>
      </w:pPr>
      <w:r>
        <w:rPr>
          <w:sz w:val="21"/>
        </w:rPr>
        <w:t>基础功能：</w:t>
      </w:r>
      <w:r>
        <w:rPr>
          <w:sz w:val="21"/>
        </w:rPr>
        <w:t>基础数据维护、统一身份认证、数据导入导出、模板管理、附件上传下载、流程自定义（部分）、报表自定义（部分）。</w:t>
      </w:r>
    </w:p>
    <w:p>
      <w:pPr>
        <w:pStyle w:val="null3"/>
        <w:ind w:firstLine="417"/>
      </w:pPr>
      <w:r>
        <w:rPr>
          <w:sz w:val="21"/>
        </w:rPr>
        <w:t>接口需求：</w:t>
      </w:r>
    </w:p>
    <w:p>
      <w:pPr>
        <w:pStyle w:val="null3"/>
        <w:ind w:firstLine="417"/>
      </w:pPr>
      <w:r>
        <w:rPr>
          <w:sz w:val="21"/>
        </w:rPr>
        <w:t>内部接口：各子系统</w:t>
      </w:r>
      <w:r>
        <w:rPr>
          <w:sz w:val="21"/>
        </w:rPr>
        <w:t>/模块间的数据交互。</w:t>
      </w:r>
    </w:p>
    <w:p>
      <w:pPr>
        <w:pStyle w:val="null3"/>
        <w:ind w:firstLine="417"/>
      </w:pPr>
      <w:r>
        <w:rPr>
          <w:sz w:val="21"/>
        </w:rPr>
        <w:t>外部接口：与佛山大学短信网关接口（用于预警）、佛山大学统一身份认证接口（用于用户认证）</w:t>
      </w:r>
    </w:p>
    <w:p>
      <w:pPr>
        <w:pStyle w:val="null3"/>
        <w:ind w:firstLine="420"/>
      </w:pPr>
      <w:r>
        <w:rPr>
          <w:sz w:val="21"/>
          <w:b/>
        </w:rPr>
        <w:t>3</w:t>
      </w:r>
      <w:r>
        <w:rPr>
          <w:sz w:val="21"/>
          <w:b/>
        </w:rPr>
        <w:t>.3.9.</w:t>
      </w:r>
      <w:r>
        <w:rPr>
          <w:sz w:val="21"/>
          <w:b/>
        </w:rPr>
        <w:t>非功能性需求（仅适用于基础设施、软件开发）</w:t>
      </w:r>
    </w:p>
    <w:p>
      <w:pPr>
        <w:pStyle w:val="null3"/>
        <w:ind w:firstLine="417"/>
      </w:pPr>
      <w:r>
        <w:rPr>
          <w:sz w:val="21"/>
        </w:rPr>
        <w:t>性能需求：</w:t>
      </w:r>
    </w:p>
    <w:p>
      <w:pPr>
        <w:pStyle w:val="null3"/>
        <w:ind w:firstLine="417"/>
      </w:pPr>
      <w:r>
        <w:rPr>
          <w:sz w:val="21"/>
        </w:rPr>
        <w:t>响应时间：</w:t>
      </w:r>
      <w:r>
        <w:rPr>
          <w:sz w:val="21"/>
        </w:rPr>
        <w:t>一般查询及页面跳转响应时间应小于</w:t>
      </w:r>
      <w:r>
        <w:rPr>
          <w:sz w:val="21"/>
        </w:rPr>
        <w:t>3秒，复杂查询和报表生成响应时间应小于5-10秒。</w:t>
      </w:r>
    </w:p>
    <w:p>
      <w:pPr>
        <w:pStyle w:val="null3"/>
        <w:ind w:firstLine="417"/>
      </w:pPr>
      <w:r>
        <w:rPr>
          <w:sz w:val="21"/>
        </w:rPr>
        <w:t>并发用户数：</w:t>
      </w:r>
      <w:r>
        <w:rPr>
          <w:sz w:val="21"/>
        </w:rPr>
        <w:t>系统应能支持至少</w:t>
      </w:r>
      <w:r>
        <w:rPr>
          <w:sz w:val="21"/>
        </w:rPr>
        <w:t>1000 个并发用户同时在线操作，核心高峰期（如项目申报截止前）应能支持更高并发。</w:t>
      </w:r>
    </w:p>
    <w:p>
      <w:pPr>
        <w:pStyle w:val="null3"/>
        <w:ind w:firstLine="417"/>
      </w:pPr>
      <w:r>
        <w:rPr>
          <w:sz w:val="21"/>
        </w:rPr>
        <w:t>吞吐量：</w:t>
      </w:r>
      <w:r>
        <w:rPr>
          <w:sz w:val="21"/>
        </w:rPr>
        <w:t>系统应能处理</w:t>
      </w:r>
      <w:r>
        <w:rPr>
          <w:sz w:val="21"/>
        </w:rPr>
        <w:t>：大于</w:t>
      </w:r>
      <w:r>
        <w:rPr>
          <w:sz w:val="21"/>
        </w:rPr>
        <w:t>334 TPS 的平均事务请求。</w:t>
      </w:r>
    </w:p>
    <w:p>
      <w:pPr>
        <w:pStyle w:val="null3"/>
        <w:ind w:firstLine="417"/>
      </w:pPr>
      <w:r>
        <w:rPr>
          <w:sz w:val="21"/>
        </w:rPr>
        <w:t>资源利用率：</w:t>
      </w:r>
      <w:r>
        <w:rPr>
          <w:sz w:val="21"/>
        </w:rPr>
        <w:t>CPU、内存、磁盘I/O等资源在峰值负载下利用率应控制在合理范围（如75%以内）。</w:t>
      </w:r>
    </w:p>
    <w:p>
      <w:pPr>
        <w:pStyle w:val="null3"/>
        <w:ind w:firstLine="417"/>
      </w:pPr>
      <w:r>
        <w:rPr>
          <w:sz w:val="21"/>
        </w:rPr>
        <w:t>可维护性与可扩展性需求：</w:t>
      </w:r>
    </w:p>
    <w:p>
      <w:pPr>
        <w:pStyle w:val="null3"/>
        <w:ind w:firstLine="417"/>
      </w:pPr>
      <w:r>
        <w:rPr>
          <w:sz w:val="21"/>
        </w:rPr>
        <w:t>模块化设计：</w:t>
      </w:r>
      <w:r>
        <w:rPr>
          <w:sz w:val="21"/>
        </w:rPr>
        <w:t>系统应采用模块化设计，降低模块间耦合度，便于独立升级和维护。</w:t>
      </w:r>
    </w:p>
    <w:p>
      <w:pPr>
        <w:pStyle w:val="null3"/>
        <w:ind w:firstLine="417"/>
      </w:pPr>
      <w:r>
        <w:rPr>
          <w:sz w:val="21"/>
        </w:rPr>
        <w:t>代码规范性：</w:t>
      </w:r>
      <w:r>
        <w:rPr>
          <w:sz w:val="21"/>
        </w:rPr>
        <w:t>遵循良好的编程规范，提供清晰的开发文档。</w:t>
      </w:r>
    </w:p>
    <w:p>
      <w:pPr>
        <w:pStyle w:val="null3"/>
        <w:ind w:firstLine="417"/>
      </w:pPr>
      <w:r>
        <w:rPr>
          <w:sz w:val="21"/>
        </w:rPr>
        <w:t>配置化管理：</w:t>
      </w:r>
      <w:r>
        <w:rPr>
          <w:sz w:val="21"/>
        </w:rPr>
        <w:t>常用参数、流程节点、预警规则等应支持后台配置，减少硬编码。</w:t>
      </w:r>
    </w:p>
    <w:p>
      <w:pPr>
        <w:pStyle w:val="null3"/>
        <w:ind w:firstLine="417"/>
      </w:pPr>
      <w:r>
        <w:rPr>
          <w:sz w:val="21"/>
        </w:rPr>
        <w:t>可扩展性：</w:t>
      </w:r>
      <w:r>
        <w:rPr>
          <w:sz w:val="21"/>
        </w:rPr>
        <w:t>系统架构应具备良好的水平和垂直扩展能力，以应对未来用户量和业务量的增长。采用低代码平台有助于提升此方面能力。</w:t>
      </w:r>
    </w:p>
    <w:p>
      <w:pPr>
        <w:pStyle w:val="null3"/>
        <w:ind w:firstLine="417"/>
      </w:pPr>
      <w:r>
        <w:rPr>
          <w:sz w:val="21"/>
        </w:rPr>
        <w:t>可靠性需求：</w:t>
      </w:r>
    </w:p>
    <w:p>
      <w:pPr>
        <w:pStyle w:val="null3"/>
        <w:ind w:firstLine="417"/>
      </w:pPr>
      <w:r>
        <w:rPr>
          <w:sz w:val="21"/>
        </w:rPr>
        <w:t>系统可用性：</w:t>
      </w:r>
      <w:r>
        <w:rPr>
          <w:sz w:val="21"/>
        </w:rPr>
        <w:t>系统年可用性应达到</w:t>
      </w:r>
      <w:r>
        <w:rPr>
          <w:sz w:val="21"/>
        </w:rPr>
        <w:t>99.9%</w:t>
      </w:r>
    </w:p>
    <w:p>
      <w:pPr>
        <w:pStyle w:val="null3"/>
        <w:ind w:firstLine="417"/>
      </w:pPr>
      <w:r>
        <w:rPr>
          <w:sz w:val="21"/>
        </w:rPr>
        <w:t>故障恢复能力：</w:t>
      </w:r>
      <w:r>
        <w:rPr>
          <w:sz w:val="21"/>
        </w:rPr>
        <w:t>系统发生故障后，应能在</w:t>
      </w:r>
      <w:r>
        <w:rPr>
          <w:sz w:val="21"/>
        </w:rPr>
        <w:t>2 小时内恢复。关键数据应有备份和恢复机制。</w:t>
      </w:r>
    </w:p>
    <w:p>
      <w:pPr>
        <w:pStyle w:val="null3"/>
        <w:ind w:firstLine="417"/>
      </w:pPr>
      <w:r>
        <w:rPr>
          <w:sz w:val="21"/>
        </w:rPr>
        <w:t>数据一致性与完整性：</w:t>
      </w:r>
      <w:r>
        <w:rPr>
          <w:sz w:val="21"/>
        </w:rPr>
        <w:t>保证数据在存储、传输、处理过程中的一致性和完整性。</w:t>
      </w:r>
    </w:p>
    <w:p>
      <w:pPr>
        <w:pStyle w:val="null3"/>
        <w:ind w:firstLine="417"/>
      </w:pPr>
      <w:r>
        <w:rPr>
          <w:sz w:val="21"/>
        </w:rPr>
        <w:t>易用性需求：</w:t>
      </w:r>
    </w:p>
    <w:p>
      <w:pPr>
        <w:pStyle w:val="null3"/>
        <w:ind w:firstLine="417"/>
      </w:pPr>
      <w:r>
        <w:rPr>
          <w:sz w:val="21"/>
        </w:rPr>
        <w:t>界面友好：</w:t>
      </w:r>
      <w:r>
        <w:rPr>
          <w:sz w:val="21"/>
        </w:rPr>
        <w:t>界面设计简洁美观，符合用户操作习惯。</w:t>
      </w:r>
    </w:p>
    <w:p>
      <w:pPr>
        <w:pStyle w:val="null3"/>
        <w:ind w:firstLine="417"/>
      </w:pPr>
      <w:r>
        <w:rPr>
          <w:sz w:val="21"/>
        </w:rPr>
        <w:t>操作便捷：</w:t>
      </w:r>
      <w:r>
        <w:rPr>
          <w:sz w:val="21"/>
        </w:rPr>
        <w:t>业务流程清晰，操作步骤简便，提供必要的提示和引导。需求书中提及</w:t>
      </w:r>
      <w:r>
        <w:rPr>
          <w:sz w:val="21"/>
        </w:rPr>
        <w:t>“初次进入的动画操作指导”。</w:t>
      </w:r>
    </w:p>
    <w:p>
      <w:pPr>
        <w:pStyle w:val="null3"/>
        <w:ind w:firstLine="417"/>
      </w:pPr>
      <w:r>
        <w:rPr>
          <w:sz w:val="21"/>
        </w:rPr>
        <w:t>多端体验一致性：</w:t>
      </w:r>
      <w:r>
        <w:rPr>
          <w:sz w:val="21"/>
        </w:rPr>
        <w:t>PC端和小程序端在核心功能和用户体验上应保持一致性。</w:t>
      </w:r>
    </w:p>
    <w:p>
      <w:pPr>
        <w:pStyle w:val="null3"/>
        <w:ind w:firstLine="417"/>
      </w:pPr>
      <w:r>
        <w:rPr>
          <w:sz w:val="21"/>
        </w:rPr>
        <w:t>帮助与反馈：</w:t>
      </w:r>
      <w:r>
        <w:rPr>
          <w:sz w:val="21"/>
        </w:rPr>
        <w:t>提供在线操作手册（文档</w:t>
      </w:r>
      <w:r>
        <w:rPr>
          <w:sz w:val="21"/>
        </w:rPr>
        <w:t>+视频）和问题反馈渠道。</w:t>
      </w:r>
    </w:p>
    <w:p>
      <w:pPr>
        <w:pStyle w:val="null3"/>
        <w:ind w:firstLine="417"/>
      </w:pPr>
      <w:r>
        <w:rPr>
          <w:sz w:val="21"/>
        </w:rPr>
        <w:t>安全可靠的技术和软硬件产品需求：</w:t>
      </w:r>
    </w:p>
    <w:p>
      <w:pPr>
        <w:pStyle w:val="null3"/>
        <w:ind w:firstLine="417"/>
      </w:pPr>
      <w:r>
        <w:rPr>
          <w:sz w:val="21"/>
        </w:rPr>
        <w:t>本项目为新建政务信息系统，将优先采用安全可靠的技术和软硬件产品。</w:t>
      </w:r>
    </w:p>
    <w:p>
      <w:pPr>
        <w:pStyle w:val="null3"/>
        <w:ind w:firstLine="417"/>
      </w:pPr>
      <w:r>
        <w:rPr>
          <w:sz w:val="21"/>
        </w:rPr>
        <w:t>基础设施层面：</w:t>
      </w:r>
      <w:r>
        <w:rPr>
          <w:sz w:val="21"/>
        </w:rPr>
        <w:t>优先利旧使用学校内部的服务器虚拟化云服务资源。</w:t>
      </w:r>
    </w:p>
    <w:p>
      <w:pPr>
        <w:pStyle w:val="null3"/>
        <w:ind w:firstLine="417"/>
      </w:pPr>
      <w:r>
        <w:rPr>
          <w:sz w:val="21"/>
        </w:rPr>
        <w:t>软件层面：</w:t>
      </w:r>
      <w:r>
        <w:rPr>
          <w:sz w:val="21"/>
        </w:rPr>
        <w:t>操作系统、数据库、中间件等基础软件优先选用</w:t>
      </w:r>
      <w:r>
        <w:rPr>
          <w:sz w:val="21"/>
        </w:rPr>
        <w:t>信息技术应用创新</w:t>
      </w:r>
      <w:r>
        <w:rPr>
          <w:sz w:val="21"/>
        </w:rPr>
        <w:t>产品或者选择</w:t>
      </w:r>
      <w:r>
        <w:rPr>
          <w:sz w:val="21"/>
        </w:rPr>
        <w:t>tomcat、nginx等在</w:t>
      </w:r>
      <w:r>
        <w:rPr>
          <w:sz w:val="21"/>
        </w:rPr>
        <w:t>信息技术应用创新</w:t>
      </w:r>
      <w:r>
        <w:rPr>
          <w:sz w:val="21"/>
        </w:rPr>
        <w:t>环境验证过的开源软件。开发语言和框架选择成熟、稳定且社区支持良好、无已知重大安全漏洞的版本。开发工具和平台也需考虑其安全性。</w:t>
      </w:r>
    </w:p>
    <w:p>
      <w:pPr>
        <w:pStyle w:val="null3"/>
        <w:ind w:firstLine="417"/>
      </w:pPr>
      <w:r>
        <w:rPr>
          <w:sz w:val="21"/>
        </w:rPr>
        <w:t>具体选型将在技术方案设计和</w:t>
      </w:r>
      <w:r>
        <w:rPr>
          <w:sz w:val="21"/>
        </w:rPr>
        <w:t>信息技术应用创新</w:t>
      </w:r>
      <w:r>
        <w:rPr>
          <w:sz w:val="21"/>
        </w:rPr>
        <w:t>可行性分析中详述。</w:t>
      </w:r>
    </w:p>
    <w:p>
      <w:pPr>
        <w:pStyle w:val="null3"/>
        <w:ind w:firstLine="420"/>
      </w:pPr>
      <w:r>
        <w:rPr>
          <w:sz w:val="21"/>
          <w:b/>
        </w:rPr>
        <w:t>3</w:t>
      </w:r>
      <w:r>
        <w:rPr>
          <w:sz w:val="21"/>
          <w:b/>
        </w:rPr>
        <w:t>.3.10.</w:t>
      </w:r>
      <w:r>
        <w:rPr>
          <w:sz w:val="21"/>
          <w:b/>
        </w:rPr>
        <w:t>安全需求分析</w:t>
      </w:r>
    </w:p>
    <w:p>
      <w:pPr>
        <w:pStyle w:val="null3"/>
        <w:ind w:firstLine="417"/>
      </w:pPr>
      <w:r>
        <w:rPr>
          <w:sz w:val="21"/>
        </w:rPr>
        <w:t>网络安全风险分析：</w:t>
      </w:r>
    </w:p>
    <w:p>
      <w:pPr>
        <w:pStyle w:val="null3"/>
        <w:ind w:firstLine="417"/>
      </w:pPr>
      <w:r>
        <w:rPr>
          <w:sz w:val="21"/>
        </w:rPr>
        <w:t>面临的风险可能包括：非法访问、数据泄露、</w:t>
      </w:r>
      <w:r>
        <w:rPr>
          <w:sz w:val="21"/>
        </w:rPr>
        <w:t>SQL注入、跨站脚本（XSS）、拒绝服务攻击（DoS/DDoS）、病毒木马感染、内部人员误操作或恶意操作等。</w:t>
      </w:r>
    </w:p>
    <w:p>
      <w:pPr>
        <w:pStyle w:val="null3"/>
        <w:ind w:firstLine="417"/>
      </w:pPr>
      <w:r>
        <w:rPr>
          <w:sz w:val="21"/>
        </w:rPr>
        <w:t>网络安全保障需求：</w:t>
      </w:r>
    </w:p>
    <w:p>
      <w:pPr>
        <w:pStyle w:val="null3"/>
        <w:ind w:firstLine="417"/>
      </w:pPr>
      <w:r>
        <w:rPr>
          <w:sz w:val="21"/>
        </w:rPr>
        <w:t>安全域划分：</w:t>
      </w:r>
      <w:r>
        <w:rPr>
          <w:sz w:val="21"/>
        </w:rPr>
        <w:t>根据业务功能和数据敏感性，合理划分安全域，如互联网接入区、应用服务区、数据存储区等。</w:t>
      </w:r>
    </w:p>
    <w:p>
      <w:pPr>
        <w:pStyle w:val="null3"/>
        <w:ind w:firstLine="417"/>
      </w:pPr>
      <w:r>
        <w:rPr>
          <w:sz w:val="21"/>
        </w:rPr>
        <w:t>安全等级保护：</w:t>
      </w:r>
      <w:r>
        <w:rPr>
          <w:sz w:val="21"/>
        </w:rPr>
        <w:t>系统需按照网络安全等级保护二级要求进行设计、建设和测评。</w:t>
      </w:r>
    </w:p>
    <w:p>
      <w:pPr>
        <w:pStyle w:val="null3"/>
        <w:ind w:firstLine="417"/>
      </w:pPr>
      <w:r>
        <w:rPr>
          <w:sz w:val="21"/>
        </w:rPr>
        <w:t>身份认证与访问控制：</w:t>
      </w:r>
      <w:r>
        <w:rPr>
          <w:sz w:val="21"/>
        </w:rPr>
        <w:t>建立严格的身份认证机制（用户名密码、验证码等），基于角色的访问控制（</w:t>
      </w:r>
      <w:r>
        <w:rPr>
          <w:sz w:val="21"/>
        </w:rPr>
        <w:t>RBAC），确保用户只能访问其授权的资源和功能。</w:t>
      </w:r>
    </w:p>
    <w:p>
      <w:pPr>
        <w:pStyle w:val="null3"/>
        <w:ind w:firstLine="417"/>
      </w:pPr>
      <w:r>
        <w:rPr>
          <w:sz w:val="21"/>
        </w:rPr>
        <w:t>数据安全：</w:t>
      </w:r>
    </w:p>
    <w:p>
      <w:pPr>
        <w:pStyle w:val="null3"/>
        <w:ind w:firstLine="417"/>
      </w:pPr>
      <w:r>
        <w:rPr>
          <w:sz w:val="21"/>
        </w:rPr>
        <w:t>数据传输加密：敏感数据在传输过程中应使用</w:t>
      </w:r>
      <w:r>
        <w:rPr>
          <w:sz w:val="21"/>
        </w:rPr>
        <w:t>SSL/TLS等加密手段。</w:t>
      </w:r>
    </w:p>
    <w:p>
      <w:pPr>
        <w:pStyle w:val="null3"/>
        <w:ind w:firstLine="417"/>
      </w:pPr>
      <w:r>
        <w:rPr>
          <w:sz w:val="21"/>
        </w:rPr>
        <w:t>数据存储加密：核心敏感数据（如用户密码、个人身份信息）在数据库中应加密存储。</w:t>
      </w:r>
    </w:p>
    <w:p>
      <w:pPr>
        <w:pStyle w:val="null3"/>
        <w:ind w:firstLine="417"/>
      </w:pPr>
      <w:r>
        <w:rPr>
          <w:sz w:val="21"/>
        </w:rPr>
        <w:t>数据脱敏：对于非生产环境的数据使用或特定展示场景，应对敏感数据进行脱敏处理。</w:t>
      </w:r>
    </w:p>
    <w:p>
      <w:pPr>
        <w:pStyle w:val="null3"/>
        <w:ind w:firstLine="417"/>
      </w:pPr>
      <w:r>
        <w:rPr>
          <w:sz w:val="21"/>
        </w:rPr>
        <w:t>安全审计：</w:t>
      </w:r>
      <w:r>
        <w:rPr>
          <w:sz w:val="21"/>
        </w:rPr>
        <w:t>对用户登录、关键操作、异常行为等进行日志记录，便于审计和追溯。</w:t>
      </w:r>
    </w:p>
    <w:p>
      <w:pPr>
        <w:pStyle w:val="null3"/>
        <w:ind w:firstLine="417"/>
      </w:pPr>
      <w:r>
        <w:rPr>
          <w:sz w:val="21"/>
        </w:rPr>
        <w:t>漏洞防护：</w:t>
      </w:r>
      <w:r>
        <w:rPr>
          <w:sz w:val="21"/>
        </w:rPr>
        <w:t>定期进行安全漏洞扫描和渗透测试，及时修复已知漏洞。采用</w:t>
      </w:r>
      <w:r>
        <w:rPr>
          <w:sz w:val="21"/>
        </w:rPr>
        <w:t>WAF等防护措施。</w:t>
      </w:r>
    </w:p>
    <w:p>
      <w:pPr>
        <w:pStyle w:val="null3"/>
        <w:ind w:firstLine="417"/>
      </w:pPr>
      <w:r>
        <w:rPr>
          <w:sz w:val="21"/>
        </w:rPr>
        <w:t>代码安全：</w:t>
      </w:r>
      <w:r>
        <w:rPr>
          <w:sz w:val="21"/>
        </w:rPr>
        <w:t>开发过程中遵循安全编码规范，对代码进行安全审查。</w:t>
      </w:r>
    </w:p>
    <w:p>
      <w:pPr>
        <w:pStyle w:val="null3"/>
        <w:ind w:firstLine="417"/>
      </w:pPr>
      <w:r>
        <w:rPr>
          <w:sz w:val="21"/>
        </w:rPr>
        <w:t>商用密码应用：</w:t>
      </w:r>
      <w:r>
        <w:rPr>
          <w:sz w:val="21"/>
        </w:rPr>
        <w:t>根据国家和地方关于商用密码应用的要求，在身份认证、数据加密、安全传输等环节评估和应用商用密码技术。</w:t>
      </w:r>
    </w:p>
    <w:p>
      <w:pPr>
        <w:pStyle w:val="null3"/>
        <w:ind w:firstLine="417"/>
      </w:pPr>
      <w:r>
        <w:rPr>
          <w:sz w:val="21"/>
        </w:rPr>
        <w:t>备份策略：</w:t>
      </w:r>
    </w:p>
    <w:p>
      <w:pPr>
        <w:pStyle w:val="null3"/>
        <w:ind w:firstLine="417"/>
      </w:pPr>
      <w:r>
        <w:rPr>
          <w:sz w:val="21"/>
        </w:rPr>
        <w:t>备份内容：</w:t>
      </w:r>
      <w:r>
        <w:rPr>
          <w:sz w:val="21"/>
        </w:rPr>
        <w:t>系统应用、数据库数据、重要配置文件、用户上传的附件等。</w:t>
      </w:r>
    </w:p>
    <w:p>
      <w:pPr>
        <w:pStyle w:val="null3"/>
        <w:ind w:firstLine="417"/>
        <w:jc w:val="left"/>
      </w:pPr>
      <w:r>
        <w:rPr>
          <w:sz w:val="21"/>
        </w:rPr>
        <w:t>备份方式：</w:t>
      </w:r>
      <w:r>
        <w:rPr>
          <w:sz w:val="21"/>
        </w:rPr>
        <w:t>数据库采用每日全量备份</w:t>
      </w:r>
      <w:r>
        <w:rPr>
          <w:sz w:val="21"/>
        </w:rPr>
        <w:t>+ [每天定时使用 Oracle exp 导出工具进行全量逻辑备份，每周一、四定时采用 RMAN 方式全量备份数据库] 增量备份[每周2，3，5，6，日,定时RMAN方式增量备份数据库]。应用和附件可采用每日或每周全量备份。</w:t>
      </w:r>
    </w:p>
    <w:p>
      <w:pPr>
        <w:pStyle w:val="null3"/>
        <w:ind w:firstLine="417"/>
      </w:pPr>
      <w:r>
        <w:rPr>
          <w:sz w:val="21"/>
        </w:rPr>
        <w:t>备份存储：</w:t>
      </w:r>
      <w:r>
        <w:rPr>
          <w:sz w:val="21"/>
        </w:rPr>
        <w:t>备份数据应存储在独立于生产环境的存储介质上，考虑本地备份</w:t>
      </w:r>
      <w:r>
        <w:rPr>
          <w:sz w:val="21"/>
        </w:rPr>
        <w:t>+异地备份（如云平台提供的跨可用区/跨区域备份服务）。</w:t>
      </w:r>
    </w:p>
    <w:p>
      <w:pPr>
        <w:pStyle w:val="null3"/>
        <w:ind w:firstLine="417"/>
      </w:pPr>
      <w:r>
        <w:rPr>
          <w:sz w:val="21"/>
        </w:rPr>
        <w:t>备份频率与保存周期：</w:t>
      </w:r>
      <w:r>
        <w:rPr>
          <w:sz w:val="21"/>
        </w:rPr>
        <w:t>每日备份数据至少保存</w:t>
      </w:r>
      <w:r>
        <w:rPr>
          <w:sz w:val="21"/>
        </w:rPr>
        <w:t>15天，每周备份数据至少保存 3个月，具体周期根据数据重要性和合规要求确定。</w:t>
      </w:r>
    </w:p>
    <w:p>
      <w:pPr>
        <w:pStyle w:val="null3"/>
        <w:ind w:firstLine="417"/>
      </w:pPr>
      <w:r>
        <w:rPr>
          <w:sz w:val="21"/>
        </w:rPr>
        <w:t>系统恢复时间目标（</w:t>
      </w:r>
      <w:r>
        <w:rPr>
          <w:sz w:val="21"/>
        </w:rPr>
        <w:t>RTO）： 4小时内</w:t>
      </w:r>
    </w:p>
    <w:p>
      <w:pPr>
        <w:pStyle w:val="null3"/>
        <w:ind w:firstLine="417"/>
      </w:pPr>
      <w:r>
        <w:rPr>
          <w:sz w:val="21"/>
        </w:rPr>
        <w:t>数据恢复点目标（</w:t>
      </w:r>
      <w:r>
        <w:rPr>
          <w:sz w:val="21"/>
        </w:rPr>
        <w:t>RPO）： 1小时内</w:t>
      </w:r>
    </w:p>
    <w:p>
      <w:pPr>
        <w:pStyle w:val="null3"/>
        <w:ind w:firstLine="417"/>
      </w:pPr>
      <w:r>
        <w:rPr>
          <w:sz w:val="21"/>
        </w:rPr>
        <w:t>测算依据：基于数据量、数据增长率、业务对数据丢失的容忍度、恢复成本等因素综合考虑。</w:t>
      </w:r>
    </w:p>
    <w:p>
      <w:pPr>
        <w:pStyle w:val="null3"/>
        <w:ind w:firstLine="420"/>
      </w:pPr>
      <w:r>
        <w:rPr>
          <w:sz w:val="21"/>
          <w:b/>
        </w:rPr>
        <w:t>3</w:t>
      </w:r>
      <w:r>
        <w:rPr>
          <w:sz w:val="21"/>
          <w:b/>
        </w:rPr>
        <w:t>.3.11.</w:t>
      </w:r>
      <w:r>
        <w:rPr>
          <w:sz w:val="21"/>
          <w:b/>
        </w:rPr>
        <w:t>网络安全服务需求：</w:t>
      </w:r>
    </w:p>
    <w:p>
      <w:pPr>
        <w:pStyle w:val="null3"/>
        <w:ind w:firstLine="417"/>
      </w:pPr>
      <w:r>
        <w:rPr>
          <w:sz w:val="21"/>
        </w:rPr>
        <w:t>网络安全等级保护测评服务（二级）。</w:t>
      </w:r>
    </w:p>
    <w:p>
      <w:pPr>
        <w:pStyle w:val="null3"/>
        <w:ind w:firstLine="420"/>
      </w:pPr>
      <w:r>
        <w:rPr>
          <w:sz w:val="21"/>
          <w:b/>
        </w:rPr>
        <w:t>3</w:t>
      </w:r>
      <w:r>
        <w:rPr>
          <w:sz w:val="21"/>
          <w:b/>
        </w:rPr>
        <w:t>.3.12.</w:t>
      </w:r>
      <w:r>
        <w:rPr>
          <w:sz w:val="21"/>
          <w:b/>
        </w:rPr>
        <w:t>标准编制需求</w:t>
      </w:r>
      <w:r>
        <w:rPr>
          <w:sz w:val="21"/>
          <w:b/>
        </w:rPr>
        <w:t>：</w:t>
      </w:r>
    </w:p>
    <w:p>
      <w:pPr>
        <w:pStyle w:val="null3"/>
        <w:ind w:firstLine="417"/>
      </w:pPr>
      <w:r>
        <w:rPr>
          <w:sz w:val="21"/>
        </w:rPr>
        <w:t>本项目建设过程中，不涉及大规模全新的地方标准或行业标准的编制。</w:t>
      </w:r>
    </w:p>
    <w:p>
      <w:pPr>
        <w:pStyle w:val="null3"/>
        <w:ind w:firstLine="417"/>
      </w:pPr>
      <w:r>
        <w:rPr>
          <w:sz w:val="21"/>
        </w:rPr>
        <w:t>主要遵循和应用现有的国家、省、市相关政务信息化建设标准、数据共享标准、安全标准等。</w:t>
      </w:r>
    </w:p>
    <w:p>
      <w:pPr>
        <w:pStyle w:val="null3"/>
        <w:ind w:firstLine="420"/>
      </w:pPr>
      <w:r>
        <w:rPr/>
        <w:t>采购包1（佛山国创院联合培养开放平台信息管理系统项目）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★自合同签订之日起6个月内完成系统交付并通过最终验收。 具体进度如下： 第1个月：完成需求分析与系统设计。 第2-4个月：完成系统开发、集成与内部测试。 第5个月： 完成系统内部测试、修复、管理员培训，并组织采购人进行用户验收测试（UAT）。 第6个月： 完成系统试运行，并组织项目最终验收。 项目通过最终验收，且《项目最终验收报告》签署之日起，提供三年持续的运行维护与技术支持。</w:t>
            </w:r>
          </w:p>
        </w:tc>
      </w:tr>
      <w:tr>
        <w:tc>
          <w:tcPr>
            <w:tcW w:type="dxa" w:w="4153"/>
          </w:tcPr>
          <w:p>
            <w:pPr>
              <w:pStyle w:val="null3"/>
            </w:pPr>
            <w:r>
              <w:rPr/>
              <w:t>标的提供的地点</w:t>
            </w:r>
          </w:p>
        </w:tc>
        <w:tc>
          <w:tcPr>
            <w:tcW w:type="dxa" w:w="4153"/>
          </w:tcPr>
          <w:p>
            <w:pPr>
              <w:pStyle w:val="null3"/>
            </w:pPr>
            <w:r>
              <w:rPr/>
              <w:t>★采购人指定的地点。</w:t>
            </w:r>
          </w:p>
        </w:tc>
      </w:tr>
      <w:tr>
        <w:tc>
          <w:tcPr>
            <w:tcW w:type="dxa" w:w="4153"/>
          </w:tcPr>
          <w:p>
            <w:pPr>
              <w:pStyle w:val="null3"/>
            </w:pPr>
            <w:r>
              <w:rPr/>
              <w:t>付款方式</w:t>
            </w:r>
          </w:p>
        </w:tc>
        <w:tc>
          <w:tcPr>
            <w:tcW w:type="dxa" w:w="4153"/>
          </w:tcPr>
          <w:p>
            <w:pPr>
              <w:pStyle w:val="null3"/>
            </w:pPr>
            <w:r>
              <w:rPr/>
              <w:t>1期：支付比例30%,★双方签订项目合同后，采购人向中标人支付合同额30%。</w:t>
            </w:r>
          </w:p>
          <w:p>
            <w:pPr>
              <w:pStyle w:val="null3"/>
            </w:pPr>
            <w:r>
              <w:rPr/>
              <w:t>2期：支付比例60%,★中标人完成全部系统开发，并通过内部测试和用户验收测试，取得采购人签署的《用户验收测试(UAT)通过确认书》后，采购人在收到发票后 10个工作日内，向中标人支付合同总额的60%</w:t>
            </w:r>
          </w:p>
          <w:p>
            <w:pPr>
              <w:pStyle w:val="null3"/>
            </w:pPr>
            <w:r>
              <w:rPr/>
              <w:t>3期：支付比例10%,★项目通过本合同约定的最终验收，并取得《项目最终验收报告》后，采购人在收到发票后 10个工作日内，向中标人支付合同总额的10%。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1期：阶段性验收要求： 1、履约验收主体：采购人、中标人。 2、履约验收时间：在投标文件约定的UAT阶段内完成。 3、履约验收方式：采购人依据招标文件、投标文件及《需求规格说明书》，在真实生产环境中对系统所有功能模块进行测试。 4、验收标准：系统功能、性能及用户体验满足采购要求，无阻断性缺陷。 5、履约验收程序、验收标准：由采购人组织项目阶段性验收，项目验收依次序对照执行标准为：①符合中华人民共和国国家和履约地相关安全质量标准、行业技术规范标准；②符合采购文件和投标承诺中各方共同认可的各项要求；③双方约定的其他验收标准。项目生产业务试运行阶段中标人向采购人提供项目期间的各种文档，中标人需为验收提供：（1）完成本项目建设内容开发工作； （2）提供初步成果，包括软件成果、文档成果（需求说明书、系统设计文档、测试文档等）和其他成果等条件。（3）由采购人出具《用户验收测试(UAT)通过确认书》。</w:t>
            </w:r>
          </w:p>
          <w:p>
            <w:pPr>
              <w:pStyle w:val="null3"/>
            </w:pPr>
            <w:r>
              <w:rPr/>
              <w:t>2期：项目最终验收： 1、履约验收主体：由采购人组织专家或第三方机构、中标人统一对项目进行验收。 2、履约验收时间：在试运行期满且UAT通过后，采购人在收到中标人项目验收建议之日起7个工作日内按本单位的项目验收相关工作要求和流程组织验收。 3、履约验收方式：按招标文件、投标文件、合同文件标准进行验收。 4、履约验收内容：对应中标人的投标文件的技术和商务、人员要求等，结合采购人招标文件要求的标准为准则。 5、履约验收程序、验收标准：①系统稳定运行，完成全部合同规定的建设内容；②已通过用户验收测试并取得确认书；③已通过国家网络安全等级保护二级测评；④已按照“文档管理要求”提交全部合同约定的技术文档与交付物；⑤已完成对所有最终用户的培训。项目所有工作内容完成以后，由采购人组织专家或第三方机构统一对项目进行验收，项目验收依次序对照执行标准为：①符合中华人民共和国国家和履约地相关安全质量标准、行业技术规范标准；②符合采购文件和投标承诺中各方共同认可的各项要求；③双方约定的其他验收标准。④输出成果：形成《项目最终验收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其他，付款方式补充，中标人凭以下有效文件与采购人结算： （1）合同； （2）中标人开具的正式发票； （3）验收证明材料、项目成果（加盖采购人公章）； （4）中标通知书。 按合同支付款项前，中标人必须先向采购人提供有效发票，且收款方、出具发票方、合同乙方均必须与中标人名称一致，否则采购人有权顺延付款时间。</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报价方式为总价包干。投标报价中必须包括但不限于完成本项目的软件开发、系统集成、调试、试运行、验收、培训、维护服务期内维护费用、全额含税发票、雇员费用等，合同实施过程中的应预见或不可预见费用等所需的一切费用。 (2)投标供应商必须自行考虑在本项目实施期间的一切可能产生的费用，在项目的实施过程中，采购人除了支付合同付款方式中规定的款项外，一切合同规定外的费用将拒绝支付。</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人员管理</w:t>
            </w:r>
          </w:p>
        </w:tc>
        <w:tc>
          <w:tcPr>
            <w:tcW w:type="dxa" w:w="2076"/>
          </w:tcPr>
          <w:p>
            <w:pPr>
              <w:pStyle w:val="null3"/>
              <w:jc w:val="left"/>
            </w:pPr>
            <w:r>
              <w:rPr/>
              <w:t>1、中标人须按其投标文件中承诺提供的项目组人员必须按要求投入到本项目中，在合同期内不得擅自更换。中标人如因工作安排或其他原因，需要更换项目组人员时，应事前向采购人书面提出书面申请，未经采购人同意，不得更换人员。 2、如中标人未经采购人书面同意擅自更换项目组人员，除须按采购人的要求对人员作出调整外，累计达3次后，采购人有权终止合同，由此引致的经济损失，中标人须全额赔偿，采购人保留追究中标人相关责任的权利。 3、采购人有权以书面形式要求中标人更换不能按规定履行合同的人员。 4、即使是采购人要求或同意更换的人员，其代替人员的资质仍应得到采购人的认可，且其资历和经验均不低于被更换人员。由此而产生的费用由中标人承担。 5、中标人对其投入的服务人员的人身安全负全部责任。</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知识产权要求</w:t>
            </w:r>
          </w:p>
        </w:tc>
        <w:tc>
          <w:tcPr>
            <w:tcW w:type="dxa" w:w="2076"/>
          </w:tcPr>
          <w:p>
            <w:pPr>
              <w:pStyle w:val="null3"/>
              <w:jc w:val="left"/>
            </w:pPr>
            <w:r>
              <w:rPr/>
              <w:t>（1）本项目实施中所产生的所有服务成果（包括但不限于发明、发现及相关技术资料、文档等）的知识产权归采购人所有。中标人保证所提供的服务没有侵害任何第三方的知识产权或其他正当权益。如有第三方指控中标人提供给采购人的服务侵犯了该方的知识产权或其他权利，中标人应自费就上述指控为采购人辩护或进行妥善处理，并承担给采购人及第三方造成的一切损失（包括但不限于赔偿金、律师费等）。如中标人不为采购人辩护或不进行妥善处理，采购人可自行处理，采购人与第三方达成的和解协议或法院生效判决由采购人承担的责任，及采购人自行处理所支出的费用（包括但不限于律师费、案件受理费、执行费、差旅费等）由中标人承担。 （2）本采购包形成的所有服务成果（包括但不限于软件、文档、设计、算法、数据），以及供应商利用采购人提供的资料和工作条件完成的新成果，其知识产权（包括但不限于著作权、专利权等权利）及衍生权利均归采购人独有。协助采购人完成知识产权申报。 关于源代码:供应商须交付全部可编译的源代码（含注释、开发文档、API接口说明）、数据库结构设计及第三方组件授权文件。交付即视为权利转让"。 (3)本项目完成后，软件著作权归属采购人所有。</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保密要求</w:t>
            </w:r>
          </w:p>
        </w:tc>
        <w:tc>
          <w:tcPr>
            <w:tcW w:type="dxa" w:w="2076"/>
          </w:tcPr>
          <w:p>
            <w:pPr>
              <w:pStyle w:val="null3"/>
              <w:jc w:val="left"/>
            </w:pPr>
            <w:r>
              <w:rPr/>
              <w:t>1、在服务期间，中标人派驻服务团队须严格遵守采购人制定的各项规章制度、管理流程以及操作规范。如有违反，将追究服务商责任。 2、不论何时（服务期间或服务期结束后），中标人须对安全服务过程中接触的采购人所有信息和数据保密。未经允许不得以任何方式向外界传递或泄露采购人的任何信息或数据，一旦发现，将追究中标人法律责任。 3、对采购人的全部资产（包括全部设备、线路、软件、配套设施、系统产生的各类数据信息及相关文档资料等），中标人不得以任何方式对其进行出售、抵押或转移；且在服务期间，中标人有责任保证上述资产的完整、安全并处于良好状态，因中标人责任而导致的设备损坏或资产损失，由中标人承担责任。</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质量保证期</w:t>
            </w:r>
          </w:p>
        </w:tc>
        <w:tc>
          <w:tcPr>
            <w:tcW w:type="dxa" w:w="2076"/>
          </w:tcPr>
          <w:p>
            <w:pPr>
              <w:pStyle w:val="null3"/>
              <w:jc w:val="left"/>
            </w:pPr>
            <w:r>
              <w:rPr/>
              <w:t>项目通过最终验收，且《项目最终验收报告》签署之日起，提供三年持续的运行维护与技术支持。</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售后服务要求</w:t>
            </w:r>
          </w:p>
        </w:tc>
        <w:tc>
          <w:tcPr>
            <w:tcW w:type="dxa" w:w="2076"/>
          </w:tcPr>
          <w:p>
            <w:pPr>
              <w:pStyle w:val="null3"/>
              <w:jc w:val="left"/>
            </w:pPr>
            <w:r>
              <w:rPr/>
              <w:t>(1)在质保期内，中标人负责对其实施的项目提供7×24小时技术支持服务。当发生故障问题时，中标人需在2小时内派技术人员到达现场，并最迟在第2个工作日内排除故障错误，若在2个工作日内无法解决的，中标人需采取临时应急措施，以保证系统的正常使用运行。质保期满后，最终运维金额的确定另行协商。 (2)售后服务期内突发需协助采购人通过信息化主管部门的符合性验收，如符合性验收不通过，中标人需配合整改直到验收合格为止。</w:t>
            </w:r>
          </w:p>
        </w:tc>
      </w:tr>
      <w:tr>
        <w:tc>
          <w:tcPr>
            <w:tcW w:type="dxa" w:w="2076"/>
          </w:tcPr>
          <w:p/>
        </w:tc>
        <w:tc>
          <w:tcPr>
            <w:tcW w:type="dxa" w:w="2076"/>
          </w:tcPr>
          <w:p>
            <w:pPr>
              <w:pStyle w:val="null3"/>
              <w:jc w:val="center"/>
            </w:pPr>
            <w:r>
              <w:rPr/>
              <w:t>7</w:t>
            </w:r>
          </w:p>
        </w:tc>
        <w:tc>
          <w:tcPr>
            <w:tcW w:type="dxa" w:w="2076"/>
          </w:tcPr>
          <w:p>
            <w:pPr>
              <w:pStyle w:val="null3"/>
              <w:jc w:val="left"/>
            </w:pPr>
            <w:r>
              <w:rPr/>
              <w:t>培训要求</w:t>
            </w:r>
          </w:p>
        </w:tc>
        <w:tc>
          <w:tcPr>
            <w:tcW w:type="dxa" w:w="2076"/>
          </w:tcPr>
          <w:p>
            <w:pPr>
              <w:pStyle w:val="null3"/>
              <w:jc w:val="left"/>
            </w:pPr>
            <w:r>
              <w:rPr/>
              <w:t>为确保系统顺利移交与稳定运行，中标人须制定详细的培训计划并提供全面培训。培训应分为系统管理员培训与最终用户培训两个阶段，具体要求如下： 1. 系统管理员培训 (1)培训时间：系统开发完成后、用户验收测试开始前完成。 (2)培训对象：采购人指定的系统管理员与运维技术人员。 (3)培训目标：使受训人员能独立完成系统的安装、配置、备份、恢复、日常监控、用户管理、常见故障诊断与处理等运维工作。 (4)培训内容：系统架构、部署方案、后台管理功能、参数配置、日志分析、安全策略与应急预案等。 2. 最终用户培训 (1)培训时间：用户验收测试通过后、系统正式上线前完成。 (2)培训对象：采购人及各相关方（如高校管理员、导师、企业管理员、学生等）的所有系统使用人员。 (3)培训目标：使各类最终用户能熟练使用与其角色相关的系统功能，顺利完成业务操作。 (4)培训内容：针对不同用户角色，讲解其对应的业务流程、功能模块操作、信息查询、报表生成等。需提供模拟环境进行实操练习。</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行业应用软件开发服务</w:t>
            </w:r>
          </w:p>
        </w:tc>
        <w:tc>
          <w:tcPr>
            <w:tcW w:type="dxa" w:w="933"/>
          </w:tcPr>
          <w:p>
            <w:pPr>
              <w:pStyle w:val="null3"/>
              <w:jc w:val="left"/>
            </w:pPr>
            <w:r>
              <w:rPr/>
              <w:t>佛山国创院联合培养开放平台信息管理系统项目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1,140,700.00</w:t>
            </w:r>
          </w:p>
        </w:tc>
        <w:tc>
          <w:tcPr>
            <w:tcW w:type="dxa" w:w="933"/>
          </w:tcPr>
          <w:p>
            <w:pPr>
              <w:pStyle w:val="null3"/>
              <w:jc w:val="right"/>
            </w:pPr>
            <w:r>
              <w:rPr/>
              <w:t>1,140,700.00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佛山国创院联合培养开放平台信息管理系统项目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219"/>
              <w:jc w:val="both"/>
            </w:pPr>
            <w:r>
              <w:rPr>
                <w:sz w:val="21"/>
                <w:b/>
              </w:rPr>
              <w:t>建设内容：</w:t>
            </w:r>
          </w:p>
          <w:p>
            <w:pPr>
              <w:pStyle w:val="null3"/>
              <w:ind w:firstLine="218"/>
              <w:jc w:val="both"/>
            </w:pPr>
            <w:r>
              <w:rPr>
                <w:sz w:val="21"/>
              </w:rPr>
              <w:t>软件开发</w:t>
            </w:r>
            <w:r>
              <w:rPr>
                <w:sz w:val="21"/>
              </w:rPr>
              <w:t>服务内容：本项目软件开发类型主要为定制软件开发，软件开发服务将涵盖</w:t>
            </w:r>
            <w:r>
              <w:rPr>
                <w:sz w:val="21"/>
              </w:rPr>
              <w:t>PC端Web应用和移动端（微信小程序）的开发，确保数据同步和核心功能的一致性体验。</w:t>
            </w:r>
          </w:p>
          <w:p>
            <w:pPr>
              <w:pStyle w:val="null3"/>
              <w:ind w:firstLine="218"/>
              <w:jc w:val="both"/>
            </w:pPr>
            <w:r>
              <w:rPr>
                <w:sz w:val="21"/>
              </w:rPr>
              <w:t>主要功能模块和服务内容描述如下：</w:t>
            </w:r>
          </w:p>
          <w:p>
            <w:pPr>
              <w:pStyle w:val="null3"/>
              <w:ind w:firstLine="219"/>
              <w:jc w:val="both"/>
            </w:pPr>
            <w:r>
              <w:rPr>
                <w:sz w:val="21"/>
                <w:b/>
              </w:rPr>
              <w:t>定制软件开发</w:t>
            </w:r>
          </w:p>
          <w:p>
            <w:pPr>
              <w:pStyle w:val="null3"/>
              <w:ind w:firstLine="218"/>
              <w:jc w:val="both"/>
            </w:pPr>
            <w:r>
              <w:rPr>
                <w:sz w:val="21"/>
              </w:rPr>
              <w:t>（一）总体设计与实现原则</w:t>
            </w:r>
          </w:p>
          <w:p>
            <w:pPr>
              <w:pStyle w:val="null3"/>
              <w:ind w:firstLine="218"/>
              <w:jc w:val="both"/>
            </w:pPr>
            <w:r>
              <w:rPr>
                <w:sz w:val="21"/>
              </w:rPr>
              <w:t>1、 端到端一致性</w:t>
            </w:r>
          </w:p>
          <w:p>
            <w:pPr>
              <w:pStyle w:val="null3"/>
              <w:ind w:firstLine="218"/>
              <w:jc w:val="both"/>
            </w:pPr>
            <w:r>
              <w:rPr>
                <w:sz w:val="21"/>
              </w:rPr>
              <w:t>多端统一：</w:t>
            </w:r>
            <w:r>
              <w:rPr>
                <w:sz w:val="21"/>
              </w:rPr>
              <w:t>PC端与小程序端共用同一领域模型与服务层，采用统一API网关与认证体系，多端差异仅体现在UI适配与交互简化上。</w:t>
            </w:r>
          </w:p>
          <w:p>
            <w:pPr>
              <w:pStyle w:val="null3"/>
              <w:ind w:firstLine="218"/>
              <w:jc w:val="both"/>
            </w:pPr>
            <w:r>
              <w:rPr>
                <w:sz w:val="21"/>
              </w:rPr>
              <w:t>数据同步：所有业务数据在同一数据库实例（或集群）中存储，移动端不做离线主存，仅缓存草稿与列表分页缓存，确保数据一致性与时效。</w:t>
            </w:r>
          </w:p>
          <w:p>
            <w:pPr>
              <w:pStyle w:val="null3"/>
              <w:ind w:firstLine="218"/>
              <w:jc w:val="both"/>
            </w:pPr>
            <w:r>
              <w:rPr>
                <w:sz w:val="21"/>
              </w:rPr>
              <w:t>2、 规则驱动、配置优先</w:t>
            </w:r>
          </w:p>
          <w:p>
            <w:pPr>
              <w:pStyle w:val="null3"/>
              <w:ind w:firstLine="218"/>
              <w:jc w:val="both"/>
            </w:pPr>
            <w:r>
              <w:rPr>
                <w:sz w:val="21"/>
              </w:rPr>
              <w:t>低代码能力：表单引擎、流程引擎、报表引擎配置优先，业务规则以策略配置</w:t>
            </w:r>
            <w:r>
              <w:rPr>
                <w:sz w:val="21"/>
              </w:rPr>
              <w:t>/规则脚本实现，减少硬编码，快速适应政策变化。</w:t>
            </w:r>
          </w:p>
          <w:p>
            <w:pPr>
              <w:pStyle w:val="null3"/>
              <w:ind w:firstLine="218"/>
              <w:jc w:val="both"/>
            </w:pPr>
            <w:r>
              <w:rPr>
                <w:sz w:val="21"/>
              </w:rPr>
              <w:t>参数中心：时间窗（申报</w:t>
            </w:r>
            <w:r>
              <w:rPr>
                <w:sz w:val="21"/>
              </w:rPr>
              <w:t>/评审/互选/打分）、名额与指标、校验阈值、模板规则可配置；支持按学年/批次/项目类型生效。</w:t>
            </w:r>
          </w:p>
          <w:p>
            <w:pPr>
              <w:pStyle w:val="null3"/>
              <w:ind w:firstLine="218"/>
              <w:jc w:val="both"/>
            </w:pPr>
            <w:r>
              <w:rPr>
                <w:sz w:val="21"/>
              </w:rPr>
              <w:t>3、权限与安全</w:t>
            </w:r>
          </w:p>
          <w:p>
            <w:pPr>
              <w:pStyle w:val="null3"/>
              <w:ind w:firstLine="218"/>
              <w:jc w:val="both"/>
            </w:pPr>
            <w:r>
              <w:rPr>
                <w:sz w:val="21"/>
              </w:rPr>
              <w:t>四层权限：菜单权限、按钮权限、字段权限、行级数据权限（如</w:t>
            </w:r>
            <w:r>
              <w:rPr>
                <w:sz w:val="21"/>
              </w:rPr>
              <w:t>“只看本人/本单位/本角色范围数据”），支持条件表达式与策略组合。</w:t>
            </w:r>
          </w:p>
          <w:p>
            <w:pPr>
              <w:pStyle w:val="null3"/>
              <w:ind w:firstLine="218"/>
              <w:jc w:val="both"/>
            </w:pPr>
            <w:r>
              <w:rPr>
                <w:sz w:val="21"/>
              </w:rPr>
              <w:t>安全审计：关键操作留痕（创建</w:t>
            </w:r>
            <w:r>
              <w:rPr>
                <w:sz w:val="21"/>
              </w:rPr>
              <w:t>/修改/审批/回退/导入导出/权限变更），审计日志不可篡改、可导出，满足等保二级要求。</w:t>
            </w:r>
          </w:p>
          <w:p>
            <w:pPr>
              <w:pStyle w:val="null3"/>
              <w:ind w:firstLine="218"/>
              <w:jc w:val="both"/>
            </w:pPr>
            <w:r>
              <w:rPr>
                <w:sz w:val="21"/>
              </w:rPr>
              <w:t>4、数据治理与质量</w:t>
            </w:r>
          </w:p>
          <w:p>
            <w:pPr>
              <w:pStyle w:val="null3"/>
              <w:ind w:firstLine="218"/>
              <w:jc w:val="both"/>
            </w:pPr>
            <w:r>
              <w:rPr>
                <w:sz w:val="21"/>
              </w:rPr>
              <w:t>数据域（</w:t>
            </w:r>
            <w:r>
              <w:rPr>
                <w:sz w:val="21"/>
              </w:rPr>
              <w:t>ILF）清晰：学生、导师、企业、项目、成果、评审、OA、人事、资产等独立数据域，避免重复存储与过度拆分。</w:t>
            </w:r>
          </w:p>
          <w:p>
            <w:pPr>
              <w:pStyle w:val="null3"/>
              <w:ind w:firstLine="218"/>
              <w:jc w:val="both"/>
            </w:pPr>
            <w:r>
              <w:rPr>
                <w:sz w:val="21"/>
              </w:rPr>
              <w:t>质量控制：导入</w:t>
            </w:r>
            <w:r>
              <w:rPr>
                <w:sz w:val="21"/>
              </w:rPr>
              <w:t>/迁移提供规则校验（唯一性/参照完整性/枚举合法性/数据类型/时序一致性），并生成校验报告与修复任务。端到端一致性</w:t>
            </w:r>
          </w:p>
          <w:p>
            <w:pPr>
              <w:pStyle w:val="null3"/>
              <w:ind w:firstLine="218"/>
              <w:jc w:val="both"/>
            </w:pPr>
            <w:r>
              <w:rPr>
                <w:sz w:val="21"/>
              </w:rPr>
              <w:t>5、技术实现方案</w:t>
            </w:r>
          </w:p>
          <w:p>
            <w:pPr>
              <w:pStyle w:val="null3"/>
              <w:ind w:firstLine="218"/>
              <w:jc w:val="both"/>
            </w:pPr>
            <w:r>
              <w:rPr>
                <w:sz w:val="21"/>
              </w:rPr>
              <w:t>开发框架：采用微信小程序原生开发或成熟的跨端框架（如</w:t>
            </w:r>
            <w:r>
              <w:rPr>
                <w:sz w:val="21"/>
              </w:rPr>
              <w:t>Uni-app、Taro），以获得最佳性能和原生体验，并确保与微信生态能力的深度融合（如微信支付、消息订阅等）。</w:t>
            </w:r>
          </w:p>
          <w:p>
            <w:pPr>
              <w:pStyle w:val="null3"/>
              <w:ind w:firstLine="218"/>
              <w:jc w:val="both"/>
            </w:pPr>
            <w:r>
              <w:rPr>
                <w:sz w:val="21"/>
              </w:rPr>
              <w:t>后端服务：复用</w:t>
            </w:r>
            <w:r>
              <w:rPr>
                <w:sz w:val="21"/>
              </w:rPr>
              <w:t>PC端的后端微服务架构。通过API网关提供统一的接口服务，小程序端通过HTTPS协议调用这些接口进行数据交互，确保业务逻辑和数据处理的一致性。</w:t>
            </w:r>
          </w:p>
          <w:p>
            <w:pPr>
              <w:pStyle w:val="null3"/>
              <w:ind w:firstLine="218"/>
              <w:jc w:val="both"/>
            </w:pPr>
            <w:r>
              <w:rPr>
                <w:sz w:val="21"/>
              </w:rPr>
              <w:t>UI/UX设计：</w:t>
            </w:r>
          </w:p>
          <w:p>
            <w:pPr>
              <w:pStyle w:val="null3"/>
              <w:ind w:firstLine="218"/>
              <w:jc w:val="both"/>
            </w:pPr>
            <w:r>
              <w:rPr>
                <w:sz w:val="21"/>
              </w:rPr>
              <w:t>遵循微信官方设计指南，确保界面风格简洁、统一。</w:t>
            </w:r>
          </w:p>
          <w:p>
            <w:pPr>
              <w:pStyle w:val="null3"/>
              <w:ind w:firstLine="218"/>
              <w:jc w:val="both"/>
            </w:pPr>
            <w:r>
              <w:rPr>
                <w:sz w:val="21"/>
              </w:rPr>
              <w:t>采用响应式布局，适配不同尺寸的手机屏幕。</w:t>
            </w:r>
          </w:p>
          <w:p>
            <w:pPr>
              <w:pStyle w:val="null3"/>
              <w:ind w:firstLine="218"/>
              <w:jc w:val="both"/>
            </w:pPr>
            <w:r>
              <w:rPr>
                <w:sz w:val="21"/>
              </w:rPr>
              <w:t>交互设计上，多使用手势操作、减少键盘输入，优化表单填写、文件上传等移动端常见操作。</w:t>
            </w:r>
          </w:p>
          <w:p>
            <w:pPr>
              <w:pStyle w:val="null3"/>
              <w:ind w:firstLine="218"/>
              <w:jc w:val="both"/>
            </w:pPr>
            <w:r>
              <w:rPr>
                <w:sz w:val="21"/>
              </w:rPr>
              <w:t>前后端交互：</w:t>
            </w:r>
          </w:p>
          <w:p>
            <w:pPr>
              <w:pStyle w:val="null3"/>
              <w:ind w:firstLine="218"/>
              <w:jc w:val="both"/>
            </w:pPr>
            <w:r>
              <w:rPr>
                <w:sz w:val="21"/>
              </w:rPr>
              <w:t>所有</w:t>
            </w:r>
            <w:r>
              <w:rPr>
                <w:sz w:val="21"/>
              </w:rPr>
              <w:t>API接口均采用RESTful风格设计。</w:t>
            </w:r>
          </w:p>
          <w:p>
            <w:pPr>
              <w:pStyle w:val="null3"/>
              <w:ind w:firstLine="218"/>
              <w:jc w:val="both"/>
            </w:pPr>
            <w:r>
              <w:rPr>
                <w:sz w:val="21"/>
              </w:rPr>
              <w:t>使用</w:t>
            </w:r>
            <w:r>
              <w:rPr>
                <w:sz w:val="21"/>
              </w:rPr>
              <w:t>Token机制进行用户会话管理和接口访问授权。</w:t>
            </w:r>
          </w:p>
          <w:p>
            <w:pPr>
              <w:pStyle w:val="null3"/>
              <w:ind w:firstLine="218"/>
              <w:jc w:val="both"/>
            </w:pPr>
            <w:r>
              <w:rPr>
                <w:sz w:val="21"/>
              </w:rPr>
              <w:t>关键数据传输进行加密处理，保障通信安全。</w:t>
            </w:r>
          </w:p>
          <w:p>
            <w:pPr>
              <w:pStyle w:val="null3"/>
              <w:ind w:firstLine="218"/>
              <w:jc w:val="both"/>
            </w:pPr>
            <w:r>
              <w:rPr>
                <w:sz w:val="21"/>
              </w:rPr>
              <w:t>6、系统整合与协同</w:t>
            </w:r>
          </w:p>
          <w:p>
            <w:pPr>
              <w:pStyle w:val="null3"/>
              <w:ind w:firstLine="218"/>
              <w:jc w:val="both"/>
            </w:pPr>
            <w:r>
              <w:rPr>
                <w:sz w:val="21"/>
              </w:rPr>
              <w:t>统一身份认证：小程序与</w:t>
            </w:r>
            <w:r>
              <w:rPr>
                <w:sz w:val="21"/>
              </w:rPr>
              <w:t>PC端共用一套用户账户体系和权限模型。用户在一个终端的操作（如审批），另一终端状态应实时更新。</w:t>
            </w:r>
          </w:p>
          <w:p>
            <w:pPr>
              <w:pStyle w:val="null3"/>
              <w:ind w:firstLine="218"/>
              <w:jc w:val="both"/>
            </w:pPr>
            <w:r>
              <w:rPr>
                <w:sz w:val="21"/>
              </w:rPr>
              <w:t>数据双向同步：基于统一的后端数据库和</w:t>
            </w:r>
            <w:r>
              <w:rPr>
                <w:sz w:val="21"/>
              </w:rPr>
              <w:t>API服务，确保用户在小程序上提交的数据（如请假申请、周志）能被PC端实时获取和处理；反之，在PC端发布的信息（如通知公告）也能即时推送到小程序端。</w:t>
            </w:r>
          </w:p>
          <w:p>
            <w:pPr>
              <w:pStyle w:val="null3"/>
              <w:ind w:firstLine="218"/>
              <w:jc w:val="both"/>
            </w:pPr>
            <w:r>
              <w:rPr>
                <w:sz w:val="21"/>
              </w:rPr>
              <w:t>消息推送机制：利用微信小程序的订阅消息能力，对关键的业务节点（如</w:t>
            </w:r>
            <w:r>
              <w:rPr>
                <w:sz w:val="21"/>
              </w:rPr>
              <w:t>“您有新的审批待办”、“您的请假已通过”）向用户发送服务通知，实现主动触达，避免信息遗漏。</w:t>
            </w:r>
          </w:p>
        </w:tc>
      </w:tr>
      <w:tr>
        <w:tc>
          <w:tcPr>
            <w:tcW w:type="dxa" w:w="2076"/>
          </w:tcPr>
          <w:p/>
        </w:tc>
        <w:tc>
          <w:tcPr>
            <w:tcW w:type="dxa" w:w="415"/>
          </w:tcPr>
          <w:p>
            <w:pPr>
              <w:pStyle w:val="null3"/>
            </w:pPr>
            <w:r>
              <w:rPr/>
              <w:t>2</w:t>
            </w:r>
          </w:p>
        </w:tc>
        <w:tc>
          <w:tcPr>
            <w:tcW w:type="dxa" w:w="5814"/>
          </w:tcPr>
          <w:p>
            <w:pPr>
              <w:pStyle w:val="null3"/>
              <w:jc w:val="both"/>
            </w:pPr>
            <w:r>
              <w:rPr>
                <w:sz w:val="21"/>
                <w:b/>
              </w:rPr>
              <w:t>一、系统管理与基础平台</w:t>
            </w:r>
          </w:p>
          <w:p>
            <w:pPr>
              <w:pStyle w:val="null3"/>
              <w:jc w:val="both"/>
            </w:pPr>
            <w:r>
              <w:rPr>
                <w:sz w:val="21"/>
              </w:rPr>
              <w:t>1、统一基础主数据与权限配置库（高校、院系/专业、用户、角色、菜单、权限策略、组织架构等）</w:t>
            </w:r>
          </w:p>
          <w:p>
            <w:pPr>
              <w:pStyle w:val="null3"/>
              <w:jc w:val="both"/>
            </w:pPr>
            <w:r>
              <w:rPr>
                <w:sz w:val="21"/>
              </w:rPr>
              <w:t>为全系统提供标准化、结构化的主数据与账号权限基础，支撑后续各业务模块的数据一致性与访问安全。</w:t>
            </w:r>
          </w:p>
          <w:p>
            <w:pPr>
              <w:pStyle w:val="null3"/>
              <w:jc w:val="both"/>
            </w:pPr>
            <w:r>
              <w:rPr>
                <w:sz w:val="21"/>
              </w:rPr>
              <w:t>（</w:t>
            </w:r>
            <w:r>
              <w:rPr>
                <w:sz w:val="21"/>
              </w:rPr>
              <w:t xml:space="preserve">1）基础主数据维护  </w:t>
            </w:r>
          </w:p>
          <w:p>
            <w:pPr>
              <w:pStyle w:val="null3"/>
              <w:jc w:val="both"/>
            </w:pPr>
            <w:r>
              <w:rPr>
                <w:sz w:val="21"/>
              </w:rPr>
              <w:t>学校、门类、一级学科、二级学科、专业类别、专业领域等基础字典的新增、编辑、启停与查询；支持数据字典项的版本控制避免误删；导师名录与组织架构维护（单位</w:t>
            </w:r>
            <w:r>
              <w:rPr>
                <w:sz w:val="21"/>
              </w:rPr>
              <w:t>/部门/岗位），支持层级化管理与人员挂接。</w:t>
            </w:r>
          </w:p>
          <w:p>
            <w:pPr>
              <w:pStyle w:val="null3"/>
              <w:jc w:val="both"/>
            </w:pPr>
            <w:r>
              <w:rPr>
                <w:sz w:val="21"/>
              </w:rPr>
              <w:t>（</w:t>
            </w:r>
            <w:r>
              <w:rPr>
                <w:sz w:val="21"/>
              </w:rPr>
              <w:t>2）用户与角色</w:t>
            </w:r>
          </w:p>
          <w:p>
            <w:pPr>
              <w:pStyle w:val="null3"/>
              <w:jc w:val="both"/>
            </w:pPr>
            <w:r>
              <w:rPr>
                <w:sz w:val="21"/>
              </w:rPr>
              <w:t>用户（高校管理员、高校导师、企业管理员、学生、外部用户等）主体信息维护，含状态、所属单位、角色集合；角色管理（创建、复制、启停）、角色权限快速分配与批量授权；密码策略（强口令、到期提醒）、用户冻结</w:t>
            </w:r>
            <w:r>
              <w:rPr>
                <w:sz w:val="21"/>
              </w:rPr>
              <w:t xml:space="preserve">/解冻、重置密码。  </w:t>
            </w:r>
          </w:p>
          <w:p>
            <w:pPr>
              <w:pStyle w:val="null3"/>
              <w:jc w:val="both"/>
            </w:pPr>
            <w:r>
              <w:rPr>
                <w:sz w:val="21"/>
              </w:rPr>
              <w:t>（</w:t>
            </w:r>
            <w:r>
              <w:rPr>
                <w:sz w:val="21"/>
              </w:rPr>
              <w:t>3）菜单与权限策略</w:t>
            </w:r>
          </w:p>
          <w:p>
            <w:pPr>
              <w:pStyle w:val="null3"/>
              <w:jc w:val="both"/>
            </w:pPr>
            <w:r>
              <w:rPr>
                <w:sz w:val="21"/>
              </w:rPr>
              <w:t>菜单树管理（新增、编辑、排序、隐藏、图标配置），多级结构；按角色配置菜单权限、按钮级权限；按业务需要设置数据权限（如</w:t>
            </w:r>
            <w:r>
              <w:rPr>
                <w:sz w:val="21"/>
              </w:rPr>
              <w:t>“仅查看本单位/本人/本导师下数据”）；字段级权限与行级权限策略表达（策略条件支持单位/导师/项目等属性维度）。</w:t>
            </w:r>
          </w:p>
          <w:p>
            <w:pPr>
              <w:pStyle w:val="null3"/>
              <w:jc w:val="both"/>
            </w:pPr>
            <w:r>
              <w:rPr>
                <w:sz w:val="21"/>
              </w:rPr>
              <w:t>（</w:t>
            </w:r>
            <w:r>
              <w:rPr>
                <w:sz w:val="21"/>
              </w:rPr>
              <w:t>4）注册与统一认证绑定</w:t>
            </w:r>
          </w:p>
          <w:p>
            <w:pPr>
              <w:pStyle w:val="null3"/>
              <w:jc w:val="both"/>
            </w:pPr>
            <w:r>
              <w:rPr>
                <w:sz w:val="21"/>
              </w:rPr>
              <w:t>内外双入口注册：内（高校</w:t>
            </w:r>
            <w:r>
              <w:rPr>
                <w:sz w:val="21"/>
              </w:rPr>
              <w:t>/导师/企业管理员/学生）与外（成果转化、创新创业、科技攻关申报），注册信息进入待审核；审核通过自动写入用户主表并赋权，重复注册走“找回/绑定”流程，禁止重复建档；首次登录绑定统一认证ID，解绑需管理员审批；支持白名单导师自动通过。</w:t>
            </w:r>
          </w:p>
          <w:p>
            <w:pPr>
              <w:pStyle w:val="null3"/>
              <w:jc w:val="both"/>
            </w:pPr>
            <w:r>
              <w:rPr>
                <w:sz w:val="21"/>
              </w:rPr>
              <w:t>实现方式：</w:t>
            </w:r>
          </w:p>
          <w:p>
            <w:pPr>
              <w:pStyle w:val="null3"/>
              <w:jc w:val="both"/>
            </w:pPr>
            <w:r>
              <w:rPr>
                <w:sz w:val="21"/>
              </w:rPr>
              <w:t>权限策略以结构化配置方式存储，通过统一身份认证在后端鉴权；基础字典表与业务数据外键约束绑定，提供</w:t>
            </w:r>
            <w:r>
              <w:rPr>
                <w:sz w:val="21"/>
              </w:rPr>
              <w:t xml:space="preserve">“影响范围”提示；  </w:t>
            </w:r>
          </w:p>
          <w:p>
            <w:pPr>
              <w:pStyle w:val="null3"/>
              <w:jc w:val="both"/>
            </w:pPr>
            <w:r>
              <w:rPr>
                <w:sz w:val="21"/>
              </w:rPr>
              <w:t>实现规则：</w:t>
            </w:r>
          </w:p>
          <w:p>
            <w:pPr>
              <w:pStyle w:val="null3"/>
              <w:jc w:val="both"/>
            </w:pPr>
            <w:r>
              <w:rPr>
                <w:sz w:val="21"/>
              </w:rPr>
              <w:t>权限最小化：默认拒绝，按策略显式授权；重复注册防控：手机号</w:t>
            </w:r>
            <w:r>
              <w:rPr>
                <w:sz w:val="21"/>
              </w:rPr>
              <w:t>/身份证/邮箱/统一认证ID四要素联合校验；基础字典项被引用时，禁止直接删除，建议先停用；数据导出强制水印与日志记录（配合审计库）。</w:t>
            </w:r>
          </w:p>
          <w:p>
            <w:pPr>
              <w:pStyle w:val="null3"/>
              <w:jc w:val="both"/>
            </w:pPr>
            <w:r>
              <w:rPr>
                <w:sz w:val="21"/>
              </w:rPr>
              <w:t>2、系统参数与通知模板配置库（系统参数、预警/消息模板、流程规则参数化）</w:t>
            </w:r>
          </w:p>
          <w:p>
            <w:pPr>
              <w:pStyle w:val="null3"/>
              <w:jc w:val="both"/>
            </w:pPr>
            <w:r>
              <w:rPr>
                <w:sz w:val="21"/>
              </w:rPr>
              <w:t>提供</w:t>
            </w:r>
            <w:r>
              <w:rPr>
                <w:sz w:val="21"/>
              </w:rPr>
              <w:t>“可配置”的系统级参数与规则模板，实现时间窗、指标名额、预警与消息模板、流程规则的集中配置与统一治理。</w:t>
            </w:r>
          </w:p>
          <w:p>
            <w:pPr>
              <w:pStyle w:val="null3"/>
              <w:jc w:val="both"/>
            </w:pPr>
            <w:r>
              <w:rPr>
                <w:sz w:val="21"/>
              </w:rPr>
              <w:t>（</w:t>
            </w:r>
            <w:r>
              <w:rPr>
                <w:sz w:val="21"/>
              </w:rPr>
              <w:t>1）时间窗与年度参数</w:t>
            </w:r>
          </w:p>
          <w:p>
            <w:pPr>
              <w:pStyle w:val="null3"/>
              <w:jc w:val="both"/>
            </w:pPr>
            <w:r>
              <w:rPr>
                <w:sz w:val="21"/>
              </w:rPr>
              <w:t>申报开始</w:t>
            </w:r>
            <w:r>
              <w:rPr>
                <w:sz w:val="21"/>
              </w:rPr>
              <w:t>/结束时间、评审打分期、师生互选期、关键节点提交截止期；跨年申报策略：项目年份以系统参数为准，不以用户提交日期为准。</w:t>
            </w:r>
          </w:p>
          <w:p>
            <w:pPr>
              <w:pStyle w:val="null3"/>
              <w:jc w:val="both"/>
            </w:pPr>
            <w:r>
              <w:rPr>
                <w:sz w:val="21"/>
              </w:rPr>
              <w:t>（</w:t>
            </w:r>
            <w:r>
              <w:rPr>
                <w:sz w:val="21"/>
              </w:rPr>
              <w:t xml:space="preserve">2）指标与名额  </w:t>
            </w:r>
          </w:p>
          <w:p>
            <w:pPr>
              <w:pStyle w:val="null3"/>
              <w:jc w:val="both"/>
            </w:pPr>
            <w:r>
              <w:rPr>
                <w:sz w:val="21"/>
              </w:rPr>
              <w:t>导师招生指标上限、项目名额配置与分配参数；指标</w:t>
            </w:r>
            <w:r>
              <w:rPr>
                <w:sz w:val="21"/>
              </w:rPr>
              <w:t>/名额的合计与分配口径校验（防止超配）。</w:t>
            </w:r>
          </w:p>
          <w:p>
            <w:pPr>
              <w:pStyle w:val="null3"/>
              <w:jc w:val="both"/>
            </w:pPr>
            <w:r>
              <w:rPr>
                <w:sz w:val="21"/>
              </w:rPr>
              <w:t>（</w:t>
            </w:r>
            <w:r>
              <w:rPr>
                <w:sz w:val="21"/>
              </w:rPr>
              <w:t xml:space="preserve">3）预警与消息模板  </w:t>
            </w:r>
          </w:p>
          <w:p>
            <w:pPr>
              <w:pStyle w:val="null3"/>
              <w:jc w:val="both"/>
            </w:pPr>
            <w:r>
              <w:rPr>
                <w:sz w:val="21"/>
              </w:rPr>
              <w:t>预警规则模板（触发条件、对象范围、升级策略）、消息模板（标题、内容变量、签名）；通知渠道配置（站内、短信），可按场景启停。</w:t>
            </w:r>
          </w:p>
          <w:p>
            <w:pPr>
              <w:pStyle w:val="null3"/>
              <w:jc w:val="both"/>
            </w:pPr>
            <w:r>
              <w:rPr>
                <w:sz w:val="21"/>
              </w:rPr>
              <w:t>（</w:t>
            </w:r>
            <w:r>
              <w:rPr>
                <w:sz w:val="21"/>
              </w:rPr>
              <w:t>4）流程规则参数</w:t>
            </w:r>
          </w:p>
          <w:p>
            <w:pPr>
              <w:pStyle w:val="null3"/>
              <w:jc w:val="both"/>
            </w:pPr>
            <w:r>
              <w:rPr>
                <w:sz w:val="21"/>
              </w:rPr>
              <w:t>各业务流程的规则化参数，运行时由流程引擎读取并执行。</w:t>
            </w:r>
            <w:r>
              <w:rPr>
                <w:sz w:val="21"/>
              </w:rPr>
              <w:t xml:space="preserve">  </w:t>
            </w:r>
          </w:p>
          <w:p>
            <w:pPr>
              <w:pStyle w:val="null3"/>
              <w:jc w:val="both"/>
            </w:pPr>
            <w:r>
              <w:rPr>
                <w:sz w:val="21"/>
              </w:rPr>
              <w:t>实现方式：</w:t>
            </w:r>
          </w:p>
          <w:p>
            <w:pPr>
              <w:pStyle w:val="null3"/>
              <w:jc w:val="both"/>
            </w:pPr>
            <w:r>
              <w:rPr>
                <w:sz w:val="21"/>
              </w:rPr>
              <w:t>参数中心统一存储系统参数与模板；保存时进行</w:t>
            </w:r>
            <w:r>
              <w:rPr>
                <w:sz w:val="21"/>
              </w:rPr>
              <w:t>“时间窗重叠”与“名额超限”校验；预警/消息触发时从参数中心获取模板变量并渲染。</w:t>
            </w:r>
          </w:p>
          <w:p>
            <w:pPr>
              <w:pStyle w:val="null3"/>
              <w:jc w:val="both"/>
            </w:pPr>
            <w:r>
              <w:rPr>
                <w:sz w:val="21"/>
              </w:rPr>
              <w:t>实现规则：</w:t>
            </w:r>
          </w:p>
          <w:p>
            <w:pPr>
              <w:pStyle w:val="null3"/>
              <w:jc w:val="both"/>
            </w:pPr>
            <w:r>
              <w:rPr>
                <w:sz w:val="21"/>
              </w:rPr>
              <w:t>时间窗冲突不允许保存，提示冲突明细；预警规则不得指向无效或不存在的对象范围；生效策略明确：明确定时生效的配置，避免二义性。</w:t>
            </w:r>
          </w:p>
          <w:p>
            <w:pPr>
              <w:pStyle w:val="null3"/>
              <w:jc w:val="both"/>
            </w:pPr>
            <w:r>
              <w:rPr>
                <w:sz w:val="21"/>
              </w:rPr>
              <w:t>3、统一消息公告与用户站内信库（公告、系统通知、预警与已读/未读）</w:t>
            </w:r>
          </w:p>
          <w:p>
            <w:pPr>
              <w:pStyle w:val="null3"/>
              <w:jc w:val="both"/>
            </w:pPr>
            <w:r>
              <w:rPr>
                <w:sz w:val="21"/>
              </w:rPr>
              <w:t>实现面向全员与分群体的公告发布、审批</w:t>
            </w:r>
            <w:r>
              <w:rPr>
                <w:sz w:val="21"/>
              </w:rPr>
              <w:t>/预警/系统消息的统一投递与已读跟踪，保障信息直达与过程留痕。</w:t>
            </w:r>
          </w:p>
          <w:p>
            <w:pPr>
              <w:pStyle w:val="null3"/>
              <w:jc w:val="both"/>
            </w:pPr>
            <w:r>
              <w:rPr>
                <w:sz w:val="21"/>
              </w:rPr>
              <w:t>（</w:t>
            </w:r>
            <w:r>
              <w:rPr>
                <w:sz w:val="21"/>
              </w:rPr>
              <w:t>1）公告管理</w:t>
            </w:r>
          </w:p>
          <w:p>
            <w:pPr>
              <w:pStyle w:val="null3"/>
              <w:jc w:val="both"/>
            </w:pPr>
            <w:r>
              <w:rPr>
                <w:sz w:val="21"/>
              </w:rPr>
              <w:t>拟稿、预览、发布范围（全体</w:t>
            </w:r>
            <w:r>
              <w:rPr>
                <w:sz w:val="21"/>
              </w:rPr>
              <w:t>/按角色/按单位/按项目）、置顶/撤回、发布；回执查看。</w:t>
            </w:r>
          </w:p>
          <w:p>
            <w:pPr>
              <w:pStyle w:val="null3"/>
              <w:jc w:val="both"/>
            </w:pPr>
            <w:r>
              <w:rPr>
                <w:sz w:val="21"/>
              </w:rPr>
              <w:t>（</w:t>
            </w:r>
            <w:r>
              <w:rPr>
                <w:sz w:val="21"/>
              </w:rPr>
              <w:t>2）站内消息与提醒</w:t>
            </w:r>
          </w:p>
          <w:p>
            <w:pPr>
              <w:pStyle w:val="null3"/>
              <w:jc w:val="both"/>
            </w:pPr>
            <w:r>
              <w:rPr>
                <w:sz w:val="21"/>
              </w:rPr>
              <w:t>审批提醒、预警通知、系统广播等统一接入消息中心；支持消息分类、已读</w:t>
            </w:r>
            <w:r>
              <w:rPr>
                <w:sz w:val="21"/>
              </w:rPr>
              <w:t>/未读、重点消息加急。</w:t>
            </w:r>
          </w:p>
          <w:p>
            <w:pPr>
              <w:pStyle w:val="null3"/>
              <w:jc w:val="both"/>
            </w:pPr>
            <w:r>
              <w:rPr>
                <w:sz w:val="21"/>
              </w:rPr>
              <w:t>（</w:t>
            </w:r>
            <w:r>
              <w:rPr>
                <w:sz w:val="21"/>
              </w:rPr>
              <w:t>3）触发与日志</w:t>
            </w:r>
          </w:p>
          <w:p>
            <w:pPr>
              <w:pStyle w:val="null3"/>
              <w:jc w:val="both"/>
            </w:pPr>
            <w:r>
              <w:rPr>
                <w:sz w:val="21"/>
              </w:rPr>
              <w:t>消息触发日志、模板渲染记录、投递结果与失败重试记录。</w:t>
            </w:r>
            <w:r>
              <w:rPr>
                <w:sz w:val="21"/>
              </w:rPr>
              <w:t xml:space="preserve">  </w:t>
            </w:r>
          </w:p>
          <w:p>
            <w:pPr>
              <w:pStyle w:val="null3"/>
              <w:jc w:val="both"/>
            </w:pPr>
            <w:r>
              <w:rPr>
                <w:sz w:val="21"/>
              </w:rPr>
              <w:t>实现方式：</w:t>
            </w:r>
          </w:p>
          <w:p>
            <w:pPr>
              <w:pStyle w:val="null3"/>
              <w:jc w:val="both"/>
            </w:pPr>
            <w:r>
              <w:rPr>
                <w:sz w:val="21"/>
              </w:rPr>
              <w:t>统一通知总线：业务事件触发</w:t>
            </w:r>
            <w:r>
              <w:rPr>
                <w:sz w:val="21"/>
              </w:rPr>
              <w:t xml:space="preserve">→读取ILF02模板→渲染→生成站内信；对接短信网关（详见EIF01）：短信作为补充渠道；批量消息采用异步队列处理，站内消息支持分表与归档，减轻热表压力。  </w:t>
            </w:r>
          </w:p>
          <w:p>
            <w:pPr>
              <w:pStyle w:val="null3"/>
              <w:jc w:val="both"/>
            </w:pPr>
            <w:r>
              <w:rPr>
                <w:sz w:val="21"/>
              </w:rPr>
              <w:t>实现规则：</w:t>
            </w:r>
          </w:p>
          <w:p>
            <w:pPr>
              <w:pStyle w:val="null3"/>
              <w:jc w:val="both"/>
            </w:pPr>
            <w:r>
              <w:rPr>
                <w:sz w:val="21"/>
              </w:rPr>
              <w:t>防骚扰策略：同类事件短时内合并提醒，短信限频；撤回机制：公告</w:t>
            </w:r>
            <w:r>
              <w:rPr>
                <w:sz w:val="21"/>
              </w:rPr>
              <w:t xml:space="preserve">/通知可撤回，但已读状态不可逆，历史保留可追溯；所有投递、阅读均生成日志，便于审计。  </w:t>
            </w:r>
          </w:p>
          <w:p>
            <w:pPr>
              <w:pStyle w:val="null3"/>
              <w:jc w:val="both"/>
            </w:pPr>
            <w:r>
              <w:rPr>
                <w:sz w:val="21"/>
              </w:rPr>
              <w:t>4、帮助与反馈知识库（帮助、FAQ、用户反馈及处理记录）</w:t>
            </w:r>
          </w:p>
          <w:p>
            <w:pPr>
              <w:pStyle w:val="null3"/>
              <w:jc w:val="both"/>
            </w:pPr>
            <w:r>
              <w:rPr>
                <w:sz w:val="21"/>
              </w:rPr>
              <w:t>构建</w:t>
            </w:r>
            <w:r>
              <w:rPr>
                <w:sz w:val="21"/>
              </w:rPr>
              <w:t>“可自助学习+可闭环处理”的知识与反馈体系，降低使用门槛，提升问题响应与解决效率。</w:t>
            </w:r>
          </w:p>
          <w:p>
            <w:pPr>
              <w:pStyle w:val="null3"/>
              <w:jc w:val="both"/>
            </w:pPr>
            <w:r>
              <w:rPr>
                <w:sz w:val="21"/>
              </w:rPr>
              <w:t>（</w:t>
            </w:r>
            <w:r>
              <w:rPr>
                <w:sz w:val="21"/>
              </w:rPr>
              <w:t xml:space="preserve">1）知识内容  </w:t>
            </w:r>
          </w:p>
          <w:p>
            <w:pPr>
              <w:pStyle w:val="null3"/>
              <w:jc w:val="both"/>
            </w:pPr>
            <w:r>
              <w:rPr>
                <w:sz w:val="21"/>
              </w:rPr>
              <w:t>帮助文档、操作视频、</w:t>
            </w:r>
            <w:r>
              <w:rPr>
                <w:sz w:val="21"/>
              </w:rPr>
              <w:t>FAQ的创建、分类、检索与版本管理；支持按角色、模块配置展示范围；复杂页面支持“首次进入动效引导”。</w:t>
            </w:r>
          </w:p>
          <w:p>
            <w:pPr>
              <w:pStyle w:val="null3"/>
              <w:jc w:val="both"/>
            </w:pPr>
            <w:r>
              <w:rPr>
                <w:sz w:val="21"/>
              </w:rPr>
              <w:t>（</w:t>
            </w:r>
            <w:r>
              <w:rPr>
                <w:sz w:val="21"/>
              </w:rPr>
              <w:t xml:space="preserve">2）反馈  </w:t>
            </w:r>
          </w:p>
          <w:p>
            <w:pPr>
              <w:pStyle w:val="null3"/>
              <w:jc w:val="both"/>
            </w:pPr>
            <w:r>
              <w:rPr>
                <w:sz w:val="21"/>
              </w:rPr>
              <w:t>用户在线反馈（支持截图、附件）；反馈</w:t>
            </w:r>
            <w:r>
              <w:rPr>
                <w:sz w:val="21"/>
              </w:rPr>
              <w:t>-处理记录与知识条目可互相关联，形成经验沉淀。</w:t>
            </w:r>
          </w:p>
          <w:p>
            <w:pPr>
              <w:pStyle w:val="null3"/>
              <w:jc w:val="both"/>
            </w:pPr>
            <w:r>
              <w:rPr>
                <w:sz w:val="21"/>
              </w:rPr>
              <w:t>实现方式：</w:t>
            </w:r>
          </w:p>
          <w:p>
            <w:pPr>
              <w:pStyle w:val="null3"/>
              <w:jc w:val="both"/>
            </w:pPr>
            <w:r>
              <w:rPr>
                <w:sz w:val="21"/>
              </w:rPr>
              <w:t>富文本编辑与视频托管（统一文件服务）；全文检索（标题、标签、正文）支持模糊与高亮，按角色权限过滤结果。</w:t>
            </w:r>
          </w:p>
          <w:p>
            <w:pPr>
              <w:pStyle w:val="null3"/>
              <w:jc w:val="both"/>
            </w:pPr>
            <w:r>
              <w:rPr>
                <w:sz w:val="21"/>
              </w:rPr>
              <w:t>5、审计与安全日志库（用户操作日志、安全审计、风控事件）</w:t>
            </w:r>
          </w:p>
          <w:p>
            <w:pPr>
              <w:pStyle w:val="null3"/>
              <w:jc w:val="both"/>
            </w:pPr>
            <w:r>
              <w:rPr>
                <w:sz w:val="21"/>
              </w:rPr>
              <w:t>对关键业务操作与安全相关事件进行全程留痕与可视化检索，满足等保二级安全审计要求，支撑责任追溯与风险研判。</w:t>
            </w:r>
          </w:p>
          <w:p>
            <w:pPr>
              <w:pStyle w:val="null3"/>
              <w:jc w:val="both"/>
            </w:pPr>
            <w:r>
              <w:rPr>
                <w:sz w:val="21"/>
              </w:rPr>
              <w:t>（</w:t>
            </w:r>
            <w:r>
              <w:rPr>
                <w:sz w:val="21"/>
              </w:rPr>
              <w:t xml:space="preserve">1）操作审计  </w:t>
            </w:r>
          </w:p>
          <w:p>
            <w:pPr>
              <w:pStyle w:val="null3"/>
              <w:jc w:val="both"/>
            </w:pPr>
            <w:r>
              <w:rPr>
                <w:sz w:val="21"/>
              </w:rPr>
              <w:t>增删改审批、权限变更、导入导出、登录登出等关键行为的操作日志；对象快照摘要（变更前</w:t>
            </w:r>
            <w:r>
              <w:rPr>
                <w:sz w:val="21"/>
              </w:rPr>
              <w:t>/后关键字段摘要）。</w:t>
            </w:r>
          </w:p>
          <w:p>
            <w:pPr>
              <w:pStyle w:val="null3"/>
              <w:jc w:val="both"/>
            </w:pPr>
            <w:r>
              <w:rPr>
                <w:sz w:val="21"/>
              </w:rPr>
              <w:t>（</w:t>
            </w:r>
            <w:r>
              <w:rPr>
                <w:sz w:val="21"/>
              </w:rPr>
              <w:t>2）安全日志与风控事件</w:t>
            </w:r>
          </w:p>
          <w:p>
            <w:pPr>
              <w:pStyle w:val="null3"/>
              <w:jc w:val="both"/>
            </w:pPr>
            <w:r>
              <w:rPr>
                <w:sz w:val="21"/>
              </w:rPr>
              <w:t>失败登录、越权访问尝试、</w:t>
            </w:r>
            <w:r>
              <w:rPr>
                <w:sz w:val="21"/>
              </w:rPr>
              <w:t>IP异常、接口异常；黑白名单事件记录、策略触发记录。</w:t>
            </w:r>
          </w:p>
          <w:p>
            <w:pPr>
              <w:pStyle w:val="null3"/>
              <w:jc w:val="both"/>
            </w:pPr>
            <w:r>
              <w:rPr>
                <w:sz w:val="21"/>
              </w:rPr>
              <w:t>实现方式：</w:t>
            </w:r>
          </w:p>
          <w:p>
            <w:pPr>
              <w:pStyle w:val="null3"/>
              <w:jc w:val="both"/>
            </w:pPr>
            <w:r>
              <w:rPr>
                <w:sz w:val="21"/>
              </w:rPr>
              <w:t>统一日志格式，敏感字段脱敏后写入；大量写入场景采用异步写盘与批量入库；定期归档与压缩，在线与冷数据分层存储。</w:t>
            </w:r>
            <w:r>
              <w:rPr>
                <w:sz w:val="21"/>
              </w:rPr>
              <w:t xml:space="preserve">  </w:t>
            </w:r>
          </w:p>
          <w:p>
            <w:pPr>
              <w:pStyle w:val="null3"/>
              <w:jc w:val="both"/>
            </w:pPr>
            <w:r>
              <w:rPr>
                <w:sz w:val="21"/>
              </w:rPr>
              <w:t>实现规则：</w:t>
            </w:r>
          </w:p>
          <w:p>
            <w:pPr>
              <w:pStyle w:val="null3"/>
              <w:jc w:val="both"/>
            </w:pPr>
            <w:r>
              <w:rPr>
                <w:sz w:val="21"/>
              </w:rPr>
              <w:t>在线可查周期</w:t>
            </w:r>
            <w:r>
              <w:rPr>
                <w:sz w:val="21"/>
              </w:rPr>
              <w:t xml:space="preserve">≥180天，历史归档≥2年（按甲方策略）；日志“只增不改”。  </w:t>
            </w:r>
          </w:p>
          <w:p>
            <w:pPr>
              <w:pStyle w:val="null3"/>
              <w:jc w:val="both"/>
            </w:pPr>
            <w:r>
              <w:rPr>
                <w:sz w:val="21"/>
              </w:rPr>
              <w:t>6、 移动端个性化工作台配置库（首页组件、快捷入口、个人中心配置）</w:t>
            </w:r>
          </w:p>
          <w:p>
            <w:pPr>
              <w:pStyle w:val="null3"/>
              <w:jc w:val="both"/>
            </w:pPr>
            <w:r>
              <w:rPr>
                <w:sz w:val="21"/>
              </w:rPr>
              <w:t>为</w:t>
            </w:r>
            <w:r>
              <w:rPr>
                <w:sz w:val="21"/>
              </w:rPr>
              <w:t>PC端与微信小程序提供“可配置、可灰度、可个性化调整”的首页工作台，统一下发角色化的组件与入口，提升多角色的使用效率。</w:t>
            </w:r>
          </w:p>
          <w:p>
            <w:pPr>
              <w:pStyle w:val="null3"/>
              <w:jc w:val="both"/>
            </w:pPr>
            <w:r>
              <w:rPr>
                <w:sz w:val="21"/>
              </w:rPr>
              <w:t>（</w:t>
            </w:r>
            <w:r>
              <w:rPr>
                <w:sz w:val="21"/>
              </w:rPr>
              <w:t>1）工作台组件</w:t>
            </w:r>
          </w:p>
          <w:p>
            <w:pPr>
              <w:pStyle w:val="null3"/>
              <w:jc w:val="both"/>
            </w:pPr>
            <w:r>
              <w:rPr>
                <w:sz w:val="21"/>
              </w:rPr>
              <w:t>待办摘要、项目进度卡片、消息红点策略、快捷入口等组件的配置与发布；支持按角色、单位、用户群组下发差异化组件组合。</w:t>
            </w:r>
            <w:r>
              <w:rPr>
                <w:sz w:val="21"/>
              </w:rPr>
              <w:t xml:space="preserve">  </w:t>
            </w:r>
          </w:p>
          <w:p>
            <w:pPr>
              <w:pStyle w:val="null3"/>
              <w:jc w:val="both"/>
            </w:pPr>
            <w:r>
              <w:rPr>
                <w:sz w:val="21"/>
              </w:rPr>
              <w:t>（</w:t>
            </w:r>
            <w:r>
              <w:rPr>
                <w:sz w:val="21"/>
              </w:rPr>
              <w:t xml:space="preserve">2）布局与主题  </w:t>
            </w:r>
          </w:p>
          <w:p>
            <w:pPr>
              <w:pStyle w:val="null3"/>
              <w:jc w:val="both"/>
            </w:pPr>
            <w:r>
              <w:rPr>
                <w:sz w:val="21"/>
              </w:rPr>
              <w:t>工作台布局模板、组件顺序与显示规则（时间</w:t>
            </w:r>
            <w:r>
              <w:rPr>
                <w:sz w:val="21"/>
              </w:rPr>
              <w:t xml:space="preserve">/角色/条件）；  </w:t>
            </w:r>
          </w:p>
          <w:p>
            <w:pPr>
              <w:pStyle w:val="null3"/>
              <w:jc w:val="both"/>
            </w:pPr>
            <w:r>
              <w:rPr>
                <w:sz w:val="21"/>
              </w:rPr>
              <w:t>（</w:t>
            </w:r>
            <w:r>
              <w:rPr>
                <w:sz w:val="21"/>
              </w:rPr>
              <w:t xml:space="preserve">3）个性化偏好  </w:t>
            </w:r>
          </w:p>
          <w:p>
            <w:pPr>
              <w:pStyle w:val="null3"/>
              <w:jc w:val="both"/>
            </w:pPr>
            <w:r>
              <w:rPr>
                <w:sz w:val="21"/>
              </w:rPr>
              <w:t>用户可对部分组件进行顺序调整与隐藏。</w:t>
            </w:r>
            <w:r>
              <w:rPr>
                <w:sz w:val="21"/>
              </w:rPr>
              <w:t xml:space="preserve">  </w:t>
            </w:r>
          </w:p>
          <w:p>
            <w:pPr>
              <w:pStyle w:val="null3"/>
              <w:jc w:val="both"/>
            </w:pPr>
            <w:r>
              <w:rPr>
                <w:sz w:val="21"/>
              </w:rPr>
              <w:t>实现方式：</w:t>
            </w:r>
          </w:p>
          <w:p>
            <w:pPr>
              <w:pStyle w:val="null3"/>
              <w:jc w:val="both"/>
            </w:pPr>
            <w:r>
              <w:rPr>
                <w:sz w:val="21"/>
              </w:rPr>
              <w:t>小程序与</w:t>
            </w:r>
            <w:r>
              <w:rPr>
                <w:sz w:val="21"/>
              </w:rPr>
              <w:t xml:space="preserve">PC工作台渲染从ILF06读取配置；数据卡片所需业务数据通过聚合接口只读拉取（不在本ILF入库），避免重复存储；组件点击与曝光统计进入审计库（ILF05）用于分析与优化。  </w:t>
            </w:r>
          </w:p>
          <w:p>
            <w:pPr>
              <w:pStyle w:val="null3"/>
              <w:jc w:val="both"/>
            </w:pPr>
            <w:r>
              <w:rPr>
                <w:sz w:val="21"/>
              </w:rPr>
              <w:t>7、 统一认证/短信推送等外部服务网关接口</w:t>
            </w:r>
          </w:p>
          <w:p>
            <w:pPr>
              <w:pStyle w:val="null3"/>
              <w:jc w:val="both"/>
            </w:pPr>
            <w:r>
              <w:rPr>
                <w:sz w:val="21"/>
              </w:rPr>
              <w:t>对接外部统一身份认证与短信推送服务，为全系统提供统一的认证与消息触达能力。</w:t>
            </w:r>
          </w:p>
          <w:p>
            <w:pPr>
              <w:pStyle w:val="null3"/>
              <w:jc w:val="both"/>
            </w:pPr>
            <w:r>
              <w:rPr>
                <w:sz w:val="21"/>
              </w:rPr>
              <w:t>（</w:t>
            </w:r>
            <w:r>
              <w:rPr>
                <w:sz w:val="21"/>
              </w:rPr>
              <w:t>1）统一认证（SSO）</w:t>
            </w:r>
          </w:p>
          <w:p>
            <w:pPr>
              <w:pStyle w:val="null3"/>
              <w:jc w:val="both"/>
            </w:pPr>
            <w:r>
              <w:rPr>
                <w:sz w:val="21"/>
              </w:rPr>
              <w:t>登录重定向、票据校验、首次绑定；获取基础身份资料（不保存明文口令）。</w:t>
            </w:r>
          </w:p>
          <w:p>
            <w:pPr>
              <w:pStyle w:val="null3"/>
              <w:jc w:val="both"/>
            </w:pPr>
            <w:r>
              <w:rPr>
                <w:sz w:val="21"/>
              </w:rPr>
              <w:t>（</w:t>
            </w:r>
            <w:r>
              <w:rPr>
                <w:sz w:val="21"/>
              </w:rPr>
              <w:t>2）短信推送</w:t>
            </w:r>
          </w:p>
          <w:p>
            <w:pPr>
              <w:pStyle w:val="null3"/>
              <w:jc w:val="both"/>
            </w:pPr>
            <w:r>
              <w:rPr>
                <w:sz w:val="21"/>
              </w:rPr>
              <w:t>对接短信网关，支持模板变量渲染、批量发送、回执与失败码处理；</w:t>
            </w:r>
          </w:p>
          <w:p>
            <w:pPr>
              <w:pStyle w:val="null3"/>
              <w:jc w:val="both"/>
            </w:pPr>
            <w:r>
              <w:rPr>
                <w:sz w:val="21"/>
              </w:rPr>
              <w:t>实现方式：</w:t>
            </w:r>
          </w:p>
          <w:p>
            <w:pPr>
              <w:pStyle w:val="null3"/>
              <w:jc w:val="both"/>
            </w:pPr>
            <w:r>
              <w:rPr>
                <w:sz w:val="21"/>
              </w:rPr>
              <w:t>敏感参数加密传输，失败回退为站内消息（</w:t>
            </w:r>
            <w:r>
              <w:rPr>
                <w:sz w:val="21"/>
              </w:rPr>
              <w:t xml:space="preserve">ILF03）。  </w:t>
            </w:r>
          </w:p>
          <w:p>
            <w:pPr>
              <w:pStyle w:val="null3"/>
              <w:jc w:val="both"/>
            </w:pPr>
            <w:r>
              <w:rPr>
                <w:sz w:val="21"/>
                <w:b/>
              </w:rPr>
              <w:t>二、联合培养管理</w:t>
            </w:r>
          </w:p>
          <w:p>
            <w:pPr>
              <w:pStyle w:val="null3"/>
              <w:jc w:val="both"/>
            </w:pPr>
            <w:r>
              <w:rPr>
                <w:sz w:val="21"/>
              </w:rPr>
              <w:t>1、 联培学生电子档案库（学籍、个人信息、培养计划、异动）</w:t>
            </w:r>
          </w:p>
          <w:p>
            <w:pPr>
              <w:pStyle w:val="null3"/>
              <w:jc w:val="both"/>
            </w:pPr>
            <w:r>
              <w:rPr>
                <w:sz w:val="21"/>
              </w:rPr>
              <w:t>围绕</w:t>
            </w:r>
            <w:r>
              <w:rPr>
                <w:sz w:val="21"/>
              </w:rPr>
              <w:t>“在校—毕业—终结”全周期，统一学生学籍主数据与培养信息，保障不同角色（高校/企业/导师/国创院）在权限范围内的精细化管理与查询统计。</w:t>
            </w:r>
          </w:p>
          <w:p>
            <w:pPr>
              <w:pStyle w:val="null3"/>
              <w:jc w:val="both"/>
            </w:pPr>
            <w:r>
              <w:rPr>
                <w:sz w:val="21"/>
              </w:rPr>
              <w:t>（</w:t>
            </w:r>
            <w:r>
              <w:rPr>
                <w:sz w:val="21"/>
              </w:rPr>
              <w:t xml:space="preserve">1）学籍主档  </w:t>
            </w:r>
          </w:p>
          <w:p>
            <w:pPr>
              <w:pStyle w:val="null3"/>
              <w:jc w:val="both"/>
            </w:pPr>
            <w:r>
              <w:rPr>
                <w:sz w:val="21"/>
              </w:rPr>
              <w:t>学生基本信息、学位层次、培养单位、入学时间、培养方向、联系方式等。导师</w:t>
            </w:r>
            <w:r>
              <w:rPr>
                <w:sz w:val="21"/>
              </w:rPr>
              <w:t>/项目/企业绑定关系、状态标识（在校/毕业/终结）。毕业生：中期/结束考核通过后自动转入，终结生：结束/放弃/终止联培自动归档，支持倒回（需审批与审计）。</w:t>
            </w:r>
          </w:p>
          <w:p>
            <w:pPr>
              <w:pStyle w:val="null3"/>
              <w:jc w:val="both"/>
            </w:pPr>
            <w:r>
              <w:rPr>
                <w:sz w:val="21"/>
              </w:rPr>
              <w:t>（</w:t>
            </w:r>
            <w:r>
              <w:rPr>
                <w:sz w:val="21"/>
              </w:rPr>
              <w:t xml:space="preserve">2）培养计划关联  </w:t>
            </w:r>
          </w:p>
          <w:p>
            <w:pPr>
              <w:pStyle w:val="null3"/>
              <w:jc w:val="both"/>
            </w:pPr>
            <w:r>
              <w:rPr>
                <w:sz w:val="21"/>
              </w:rPr>
              <w:t>学生个人培养计划的绑定与快速入口；未提交提醒。</w:t>
            </w:r>
            <w:r>
              <w:rPr>
                <w:sz w:val="21"/>
              </w:rPr>
              <w:t xml:space="preserve">  </w:t>
            </w:r>
          </w:p>
          <w:p>
            <w:pPr>
              <w:pStyle w:val="null3"/>
              <w:jc w:val="both"/>
            </w:pPr>
            <w:r>
              <w:rPr>
                <w:sz w:val="21"/>
              </w:rPr>
              <w:t>（</w:t>
            </w:r>
            <w:r>
              <w:rPr>
                <w:sz w:val="21"/>
              </w:rPr>
              <w:t>3）学籍异动</w:t>
            </w:r>
          </w:p>
          <w:p>
            <w:pPr>
              <w:pStyle w:val="null3"/>
              <w:jc w:val="both"/>
            </w:pPr>
            <w:r>
              <w:rPr>
                <w:sz w:val="21"/>
              </w:rPr>
              <w:t>异动类型配置、换企业、换项目、换企业兼职导师、换高校导师、放弃联培、终止培养等；异动申请、批量审核、打印（申请</w:t>
            </w:r>
            <w:r>
              <w:rPr>
                <w:sz w:val="21"/>
              </w:rPr>
              <w:t>/处理表）。实现异动配置：大类/小类可新增/导入；异动影响配置（是否终结、是否在校、是否需签名、模板文件）。学籍流程：学生/管理员代提→多级审核→生效更新学生主记录与历史表。实现规则校验：同一时段不允许重复异动；导师/项目/企业关系有效性校验；签名要求必须满足时才可通过。审批时限与预警：超期自动提醒与升级。</w:t>
            </w:r>
          </w:p>
          <w:p>
            <w:pPr>
              <w:pStyle w:val="null3"/>
              <w:jc w:val="both"/>
            </w:pPr>
            <w:r>
              <w:rPr>
                <w:sz w:val="21"/>
              </w:rPr>
              <w:t>（</w:t>
            </w:r>
            <w:r>
              <w:rPr>
                <w:sz w:val="21"/>
              </w:rPr>
              <w:t xml:space="preserve">4）批量处理与统计  </w:t>
            </w:r>
          </w:p>
          <w:p>
            <w:pPr>
              <w:pStyle w:val="null3"/>
              <w:jc w:val="both"/>
            </w:pPr>
            <w:r>
              <w:rPr>
                <w:sz w:val="21"/>
              </w:rPr>
              <w:t>通过</w:t>
            </w:r>
            <w:r>
              <w:rPr>
                <w:sz w:val="21"/>
              </w:rPr>
              <w:t xml:space="preserve">Excel模板导入/更新、批量导出更新学籍信息；在校生图表化统计（学位口径、学科口径）。  </w:t>
            </w:r>
          </w:p>
          <w:p>
            <w:pPr>
              <w:pStyle w:val="null3"/>
              <w:jc w:val="both"/>
            </w:pPr>
            <w:r>
              <w:rPr>
                <w:sz w:val="21"/>
              </w:rPr>
              <w:t>（</w:t>
            </w:r>
            <w:r>
              <w:rPr>
                <w:sz w:val="21"/>
              </w:rPr>
              <w:t xml:space="preserve">5）权限与时段控制  </w:t>
            </w:r>
          </w:p>
          <w:p>
            <w:pPr>
              <w:pStyle w:val="null3"/>
              <w:jc w:val="both"/>
            </w:pPr>
            <w:r>
              <w:rPr>
                <w:sz w:val="21"/>
              </w:rPr>
              <w:t>指定时段内字段级编辑权限配置（如仅国创院可改某字段）。</w:t>
            </w:r>
          </w:p>
          <w:p>
            <w:pPr>
              <w:pStyle w:val="null3"/>
              <w:jc w:val="both"/>
            </w:pPr>
            <w:r>
              <w:rPr>
                <w:sz w:val="21"/>
              </w:rPr>
              <w:t>实现规则：</w:t>
            </w:r>
          </w:p>
          <w:p>
            <w:pPr>
              <w:pStyle w:val="null3"/>
              <w:jc w:val="both"/>
            </w:pPr>
            <w:r>
              <w:rPr>
                <w:sz w:val="21"/>
              </w:rPr>
              <w:t>学籍状态机：新入</w:t>
            </w:r>
            <w:r>
              <w:rPr>
                <w:sz w:val="21"/>
              </w:rPr>
              <w:t xml:space="preserve">—在校—毕业/终结，倒回需审批并留痕；变更影响：导师/项目/企业变更同步更新关联字段；导入校验：唯一性（证件号/学号）、参照完整性（导师/项目存在）。  </w:t>
            </w:r>
          </w:p>
          <w:p>
            <w:pPr>
              <w:pStyle w:val="null3"/>
              <w:jc w:val="both"/>
            </w:pPr>
            <w:r>
              <w:rPr>
                <w:sz w:val="21"/>
              </w:rPr>
              <w:t>2、 学生图像与比对库（各阶段照片、相似度记录）</w:t>
            </w:r>
          </w:p>
          <w:p>
            <w:pPr>
              <w:pStyle w:val="null3"/>
              <w:jc w:val="both"/>
            </w:pPr>
            <w:r>
              <w:rPr>
                <w:sz w:val="21"/>
              </w:rPr>
              <w:t>统一管理学生在不同阶段的照片与相似度校验结果，支撑报到、证件、对比等业务需要，符合教育部规范。</w:t>
            </w:r>
          </w:p>
          <w:p>
            <w:pPr>
              <w:pStyle w:val="null3"/>
              <w:jc w:val="both"/>
            </w:pPr>
            <w:r>
              <w:rPr>
                <w:sz w:val="21"/>
              </w:rPr>
              <w:t>（</w:t>
            </w:r>
            <w:r>
              <w:rPr>
                <w:sz w:val="21"/>
              </w:rPr>
              <w:t>1）图像类型与规则</w:t>
            </w:r>
          </w:p>
          <w:p>
            <w:pPr>
              <w:pStyle w:val="null3"/>
              <w:jc w:val="both"/>
            </w:pPr>
            <w:r>
              <w:rPr>
                <w:sz w:val="21"/>
              </w:rPr>
              <w:t>录取</w:t>
            </w:r>
            <w:r>
              <w:rPr>
                <w:sz w:val="21"/>
              </w:rPr>
              <w:t>/入学/注册/毕业等多类型照片；命名规则、尺寸/格式校验。</w:t>
            </w:r>
          </w:p>
          <w:p>
            <w:pPr>
              <w:pStyle w:val="null3"/>
              <w:jc w:val="both"/>
            </w:pPr>
            <w:r>
              <w:rPr>
                <w:sz w:val="21"/>
              </w:rPr>
              <w:t>（</w:t>
            </w:r>
            <w:r>
              <w:rPr>
                <w:sz w:val="21"/>
              </w:rPr>
              <w:t>2）图像批量导入/导出</w:t>
            </w:r>
          </w:p>
          <w:p>
            <w:pPr>
              <w:pStyle w:val="null3"/>
              <w:jc w:val="both"/>
            </w:pPr>
            <w:r>
              <w:rPr>
                <w:sz w:val="21"/>
              </w:rPr>
              <w:t>批量导入（含失败报告）、批量导出（带命名策略）。</w:t>
            </w:r>
            <w:r>
              <w:rPr>
                <w:sz w:val="21"/>
              </w:rPr>
              <w:t xml:space="preserve">  </w:t>
            </w:r>
          </w:p>
          <w:p>
            <w:pPr>
              <w:pStyle w:val="null3"/>
              <w:jc w:val="both"/>
            </w:pPr>
            <w:r>
              <w:rPr>
                <w:sz w:val="21"/>
              </w:rPr>
              <w:t>（</w:t>
            </w:r>
            <w:r>
              <w:rPr>
                <w:sz w:val="21"/>
              </w:rPr>
              <w:t xml:space="preserve">3）相似度比对  </w:t>
            </w:r>
          </w:p>
          <w:p>
            <w:pPr>
              <w:pStyle w:val="null3"/>
              <w:jc w:val="both"/>
            </w:pPr>
            <w:r>
              <w:rPr>
                <w:sz w:val="21"/>
              </w:rPr>
              <w:t>提供相似度阈值配置、可疑结果复核队列。异常照片进入人工复核。</w:t>
            </w:r>
          </w:p>
          <w:p>
            <w:pPr>
              <w:pStyle w:val="null3"/>
              <w:jc w:val="both"/>
            </w:pPr>
            <w:r>
              <w:rPr>
                <w:sz w:val="21"/>
              </w:rPr>
              <w:t>实现规则：相似度阈值可配，超过阈值触发</w:t>
            </w:r>
            <w:r>
              <w:rPr>
                <w:sz w:val="21"/>
              </w:rPr>
              <w:t>“复核待办”。</w:t>
            </w:r>
          </w:p>
          <w:p>
            <w:pPr>
              <w:pStyle w:val="null3"/>
              <w:jc w:val="both"/>
            </w:pPr>
            <w:r>
              <w:rPr>
                <w:sz w:val="21"/>
              </w:rPr>
              <w:t>3、共享课程与学习跟踪库（课程资源、访问控制、学习行为）</w:t>
            </w:r>
          </w:p>
          <w:p>
            <w:pPr>
              <w:pStyle w:val="null3"/>
              <w:jc w:val="both"/>
            </w:pPr>
            <w:r>
              <w:rPr>
                <w:sz w:val="21"/>
              </w:rPr>
              <w:t>构建跨校共享课程资源目录与访问控制，记录学生学习行为，支撑日常学习管理与统计。</w:t>
            </w:r>
          </w:p>
          <w:p>
            <w:pPr>
              <w:pStyle w:val="null3"/>
              <w:jc w:val="both"/>
            </w:pPr>
            <w:r>
              <w:rPr>
                <w:sz w:val="21"/>
              </w:rPr>
              <w:t>（</w:t>
            </w:r>
            <w:r>
              <w:rPr>
                <w:sz w:val="21"/>
              </w:rPr>
              <w:t>1）课程资源</w:t>
            </w:r>
          </w:p>
          <w:p>
            <w:pPr>
              <w:pStyle w:val="null3"/>
              <w:jc w:val="both"/>
            </w:pPr>
            <w:r>
              <w:rPr>
                <w:sz w:val="21"/>
              </w:rPr>
              <w:t>教学大纲、</w:t>
            </w:r>
            <w:r>
              <w:rPr>
                <w:sz w:val="21"/>
              </w:rPr>
              <w:t xml:space="preserve">PPT、视频等资源上传与分类，访问权限配置。  </w:t>
            </w:r>
          </w:p>
          <w:p>
            <w:pPr>
              <w:pStyle w:val="null3"/>
              <w:jc w:val="both"/>
            </w:pPr>
            <w:r>
              <w:rPr>
                <w:sz w:val="21"/>
              </w:rPr>
              <w:t>（</w:t>
            </w:r>
            <w:r>
              <w:rPr>
                <w:sz w:val="21"/>
              </w:rPr>
              <w:t>2）学习跟踪</w:t>
            </w:r>
          </w:p>
          <w:p>
            <w:pPr>
              <w:pStyle w:val="null3"/>
              <w:jc w:val="both"/>
            </w:pPr>
            <w:r>
              <w:rPr>
                <w:sz w:val="21"/>
              </w:rPr>
              <w:t>学习进度、学习时长、完成情况记录，进度看板。</w:t>
            </w:r>
            <w:r>
              <w:rPr>
                <w:sz w:val="21"/>
              </w:rPr>
              <w:t xml:space="preserve">  </w:t>
            </w:r>
          </w:p>
          <w:p>
            <w:pPr>
              <w:pStyle w:val="null3"/>
              <w:jc w:val="both"/>
            </w:pPr>
            <w:r>
              <w:rPr>
                <w:sz w:val="21"/>
              </w:rPr>
              <w:t>（</w:t>
            </w:r>
            <w:r>
              <w:rPr>
                <w:sz w:val="21"/>
              </w:rPr>
              <w:t>3）实现规则：资源版本管理；大文件分片存入对象存储。学</w:t>
            </w:r>
            <w:r>
              <w:rPr>
                <w:sz w:val="21"/>
              </w:rPr>
              <w:t>习記</w:t>
            </w:r>
            <w:r>
              <w:rPr>
                <w:sz w:val="21"/>
              </w:rPr>
              <w:t>录仅本人和有权导师</w:t>
            </w:r>
            <w:r>
              <w:rPr>
                <w:sz w:val="21"/>
              </w:rPr>
              <w:t>/管理员可查。</w:t>
            </w:r>
          </w:p>
          <w:p>
            <w:pPr>
              <w:pStyle w:val="null3"/>
              <w:jc w:val="both"/>
            </w:pPr>
            <w:r>
              <w:rPr>
                <w:sz w:val="21"/>
              </w:rPr>
              <w:t>4、 学生过程事务库（周志、实习报告、请假等）（学生过程核心业务）</w:t>
            </w:r>
          </w:p>
          <w:p>
            <w:pPr>
              <w:pStyle w:val="null3"/>
              <w:jc w:val="both"/>
            </w:pPr>
            <w:r>
              <w:rPr>
                <w:sz w:val="21"/>
              </w:rPr>
              <w:t>对学生在联合培养期间的日常过程进行线上化闭环管理，包括</w:t>
            </w:r>
            <w:r>
              <w:rPr>
                <w:sz w:val="21"/>
              </w:rPr>
              <w:t>“周志/实习报告/请假”。</w:t>
            </w:r>
          </w:p>
          <w:p>
            <w:pPr>
              <w:pStyle w:val="null3"/>
              <w:jc w:val="both"/>
            </w:pPr>
            <w:r>
              <w:rPr>
                <w:sz w:val="21"/>
              </w:rPr>
              <w:t>（</w:t>
            </w:r>
            <w:r>
              <w:rPr>
                <w:sz w:val="21"/>
              </w:rPr>
              <w:t>1）周志/报告</w:t>
            </w:r>
          </w:p>
          <w:p>
            <w:pPr>
              <w:pStyle w:val="null3"/>
              <w:jc w:val="both"/>
            </w:pPr>
            <w:r>
              <w:rPr>
                <w:sz w:val="21"/>
              </w:rPr>
              <w:t>周志周期提交、实习报告分阶段提交、附件</w:t>
            </w:r>
            <w:r>
              <w:rPr>
                <w:sz w:val="21"/>
              </w:rPr>
              <w:t>/图片支持；模板可配置；审批流可配（导师/企业/高校）</w:t>
            </w:r>
          </w:p>
          <w:p>
            <w:pPr>
              <w:pStyle w:val="null3"/>
              <w:jc w:val="both"/>
            </w:pPr>
            <w:r>
              <w:rPr>
                <w:sz w:val="21"/>
              </w:rPr>
              <w:t>（</w:t>
            </w:r>
            <w:r>
              <w:rPr>
                <w:sz w:val="21"/>
              </w:rPr>
              <w:t xml:space="preserve">2）请假管理  </w:t>
            </w:r>
          </w:p>
          <w:p>
            <w:pPr>
              <w:pStyle w:val="null3"/>
              <w:jc w:val="both"/>
            </w:pPr>
            <w:r>
              <w:rPr>
                <w:sz w:val="21"/>
              </w:rPr>
              <w:t>申请、校验（时长</w:t>
            </w:r>
            <w:r>
              <w:rPr>
                <w:sz w:val="21"/>
              </w:rPr>
              <w:t>/冲突）、多级审批；请假记录归档。</w:t>
            </w:r>
          </w:p>
          <w:p>
            <w:pPr>
              <w:pStyle w:val="null3"/>
              <w:jc w:val="both"/>
            </w:pPr>
            <w:r>
              <w:rPr>
                <w:sz w:val="21"/>
              </w:rPr>
              <w:t>（</w:t>
            </w:r>
            <w:r>
              <w:rPr>
                <w:sz w:val="21"/>
              </w:rPr>
              <w:t>3）入驻协议与培养计划</w:t>
            </w:r>
          </w:p>
          <w:p>
            <w:pPr>
              <w:pStyle w:val="null3"/>
              <w:jc w:val="both"/>
            </w:pPr>
            <w:r>
              <w:rPr>
                <w:sz w:val="21"/>
              </w:rPr>
              <w:t>学生提交、各方可查看；计划必填，系统生成</w:t>
            </w:r>
            <w:r>
              <w:rPr>
                <w:sz w:val="21"/>
              </w:rPr>
              <w:t>“未提交”清单用于督促。未提交状态按时间窗预警；提交后不可随意删除，修订走审批，统计报表导出，未提交/未批阅的提醒。</w:t>
            </w:r>
          </w:p>
          <w:p>
            <w:pPr>
              <w:pStyle w:val="null3"/>
              <w:jc w:val="both"/>
            </w:pPr>
            <w:r>
              <w:rPr>
                <w:sz w:val="21"/>
              </w:rPr>
              <w:t>实现规则：专业实践请假不等同学籍异动；重叠时段申请自动拦截。审批节点可按角色启用</w:t>
            </w:r>
            <w:r>
              <w:rPr>
                <w:sz w:val="21"/>
              </w:rPr>
              <w:t xml:space="preserve">/关闭（导师/企业/高校）。  </w:t>
            </w:r>
          </w:p>
          <w:p>
            <w:pPr>
              <w:pStyle w:val="null3"/>
              <w:jc w:val="both"/>
            </w:pPr>
            <w:r>
              <w:rPr>
                <w:sz w:val="21"/>
              </w:rPr>
              <w:t>5、学生科研成果库（论文、会议、专利、著作、获奖、项目、赛事、实践）</w:t>
            </w:r>
          </w:p>
          <w:p>
            <w:pPr>
              <w:pStyle w:val="null3"/>
              <w:jc w:val="both"/>
            </w:pPr>
            <w:r>
              <w:rPr>
                <w:sz w:val="21"/>
              </w:rPr>
              <w:t>统一归集学生科研成果的提交、审核、发布全流程数据，类型覆盖全面，字段校验严格。</w:t>
            </w:r>
          </w:p>
          <w:p>
            <w:pPr>
              <w:pStyle w:val="null3"/>
              <w:jc w:val="both"/>
            </w:pPr>
            <w:r>
              <w:rPr>
                <w:sz w:val="21"/>
              </w:rPr>
              <w:t>学生通过系统提交发表论文数据，上传论文佐证材料。审核单位逐级审核。</w:t>
            </w:r>
          </w:p>
          <w:p>
            <w:pPr>
              <w:pStyle w:val="null3"/>
              <w:jc w:val="both"/>
            </w:pPr>
            <w:r>
              <w:rPr>
                <w:sz w:val="21"/>
              </w:rPr>
              <w:t>（</w:t>
            </w:r>
            <w:r>
              <w:rPr>
                <w:sz w:val="21"/>
              </w:rPr>
              <w:t xml:space="preserve">1）成果类型  </w:t>
            </w:r>
          </w:p>
          <w:p>
            <w:pPr>
              <w:pStyle w:val="null3"/>
              <w:jc w:val="both"/>
            </w:pPr>
            <w:r>
              <w:rPr>
                <w:sz w:val="21"/>
              </w:rPr>
              <w:t>期刊论文、学术会议、技术专利、出版著作、科研获奖、科研项目、重大赛事、实践性成果等。</w:t>
            </w:r>
            <w:r>
              <w:rPr>
                <w:sz w:val="21"/>
              </w:rPr>
              <w:t>专利号（</w:t>
            </w:r>
            <w:r>
              <w:rPr>
                <w:sz w:val="21"/>
              </w:rPr>
              <w:t xml:space="preserve">ZL开头14位）校验；出版社与级别字典；单位性质影响必填项。  </w:t>
            </w:r>
          </w:p>
          <w:p>
            <w:pPr>
              <w:pStyle w:val="null3"/>
              <w:jc w:val="both"/>
            </w:pPr>
            <w:r>
              <w:rPr>
                <w:sz w:val="21"/>
              </w:rPr>
              <w:t>（</w:t>
            </w:r>
            <w:r>
              <w:rPr>
                <w:sz w:val="21"/>
              </w:rPr>
              <w:t xml:space="preserve">2）流程与发布  </w:t>
            </w:r>
          </w:p>
          <w:p>
            <w:pPr>
              <w:pStyle w:val="null3"/>
              <w:jc w:val="both"/>
            </w:pPr>
            <w:r>
              <w:rPr>
                <w:sz w:val="21"/>
              </w:rPr>
              <w:t>逐级审核，支持退回修改；可选入公开展示（与对外库映射）。</w:t>
            </w:r>
          </w:p>
          <w:p>
            <w:pPr>
              <w:pStyle w:val="null3"/>
              <w:jc w:val="both"/>
            </w:pPr>
            <w:r>
              <w:rPr>
                <w:sz w:val="21"/>
              </w:rPr>
              <w:t>实现规则：去重策略（题目</w:t>
            </w:r>
            <w:r>
              <w:rPr>
                <w:sz w:val="21"/>
              </w:rPr>
              <w:t>/作者/时间相似度判重提示）；</w:t>
            </w:r>
          </w:p>
          <w:p>
            <w:pPr>
              <w:pStyle w:val="null3"/>
              <w:jc w:val="both"/>
            </w:pPr>
            <w:r>
              <w:rPr>
                <w:sz w:val="21"/>
              </w:rPr>
              <w:t>6、学生考核与评价库（中期/结题材料、评价记录、归档）</w:t>
            </w:r>
          </w:p>
          <w:p>
            <w:pPr>
              <w:pStyle w:val="null3"/>
              <w:jc w:val="both"/>
            </w:pPr>
            <w:r>
              <w:rPr>
                <w:sz w:val="21"/>
              </w:rPr>
              <w:t>实现中期与结束考核的材料提交、评分、评级及归档，支持多角色联合评价。</w:t>
            </w:r>
          </w:p>
          <w:p>
            <w:pPr>
              <w:pStyle w:val="null3"/>
              <w:jc w:val="both"/>
            </w:pPr>
            <w:r>
              <w:rPr>
                <w:sz w:val="21"/>
              </w:rPr>
              <w:t>（</w:t>
            </w:r>
            <w:r>
              <w:rPr>
                <w:sz w:val="21"/>
              </w:rPr>
              <w:t xml:space="preserve">1）模板与评分  </w:t>
            </w:r>
          </w:p>
          <w:p>
            <w:pPr>
              <w:pStyle w:val="null3"/>
              <w:jc w:val="both"/>
            </w:pPr>
            <w:r>
              <w:rPr>
                <w:sz w:val="21"/>
              </w:rPr>
              <w:t>中期</w:t>
            </w:r>
            <w:r>
              <w:rPr>
                <w:sz w:val="21"/>
              </w:rPr>
              <w:t>/结束模板、评分量表、评语；支持自定义指标权重。</w:t>
            </w:r>
          </w:p>
          <w:p>
            <w:pPr>
              <w:pStyle w:val="null3"/>
              <w:jc w:val="both"/>
            </w:pPr>
            <w:r>
              <w:rPr>
                <w:sz w:val="21"/>
              </w:rPr>
              <w:t>（</w:t>
            </w:r>
            <w:r>
              <w:rPr>
                <w:sz w:val="21"/>
              </w:rPr>
              <w:t xml:space="preserve">2）多方评价  </w:t>
            </w:r>
          </w:p>
          <w:p>
            <w:pPr>
              <w:pStyle w:val="null3"/>
              <w:jc w:val="both"/>
            </w:pPr>
            <w:r>
              <w:rPr>
                <w:sz w:val="21"/>
              </w:rPr>
              <w:t>导师、企业、国创院多方在线打分与审批记录。</w:t>
            </w:r>
          </w:p>
          <w:p>
            <w:pPr>
              <w:pStyle w:val="null3"/>
              <w:jc w:val="both"/>
            </w:pPr>
            <w:r>
              <w:rPr>
                <w:sz w:val="21"/>
              </w:rPr>
              <w:t>（</w:t>
            </w:r>
            <w:r>
              <w:rPr>
                <w:sz w:val="21"/>
              </w:rPr>
              <w:t xml:space="preserve">3）结果归档  </w:t>
            </w:r>
          </w:p>
          <w:p>
            <w:pPr>
              <w:pStyle w:val="null3"/>
              <w:jc w:val="both"/>
            </w:pPr>
            <w:r>
              <w:rPr>
                <w:sz w:val="21"/>
              </w:rPr>
              <w:t>评定结果与关键材料统一归档，供后续查询。</w:t>
            </w:r>
          </w:p>
          <w:p>
            <w:pPr>
              <w:pStyle w:val="null3"/>
              <w:jc w:val="both"/>
            </w:pPr>
            <w:r>
              <w:rPr>
                <w:sz w:val="21"/>
              </w:rPr>
              <w:t>实现规则：中期未通过不可提交结束；结束考核通过自动转</w:t>
            </w:r>
            <w:r>
              <w:rPr>
                <w:sz w:val="21"/>
              </w:rPr>
              <w:t>“毕业生”并更新学籍。</w:t>
            </w:r>
          </w:p>
          <w:p>
            <w:pPr>
              <w:pStyle w:val="null3"/>
              <w:jc w:val="both"/>
            </w:pPr>
            <w:r>
              <w:rPr>
                <w:sz w:val="21"/>
              </w:rPr>
              <w:t>7、</w:t>
            </w:r>
            <w:r>
              <w:rPr>
                <w:sz w:val="21"/>
                <w:b/>
              </w:rPr>
              <w:t>（</w:t>
            </w:r>
            <w:r>
              <w:rPr>
                <w:sz w:val="21"/>
                <w:b/>
              </w:rPr>
              <w:t>演示内容</w:t>
            </w:r>
            <w:r>
              <w:rPr>
                <w:sz w:val="21"/>
                <w:b/>
              </w:rPr>
              <w:t>）</w:t>
            </w:r>
            <w:r>
              <w:rPr>
                <w:sz w:val="21"/>
              </w:rPr>
              <w:t>综合积分与评优支撑库（积分项、累积规则、评优输出）</w:t>
            </w:r>
          </w:p>
          <w:p>
            <w:pPr>
              <w:pStyle w:val="null3"/>
              <w:jc w:val="both"/>
            </w:pPr>
            <w:r>
              <w:rPr>
                <w:sz w:val="21"/>
              </w:rPr>
              <w:t>围绕</w:t>
            </w:r>
            <w:r>
              <w:rPr>
                <w:sz w:val="21"/>
              </w:rPr>
              <w:t>“日常表现、科研、工作能力、导师评价、就业”等维度，提供可配置的综合记分机制与应用输出。评价结果将作为创新实践先锋、卓越培养人才、卓越工程师之星等评优奖先和企业推荐、毕业鉴定的重要依据。</w:t>
            </w:r>
          </w:p>
          <w:p>
            <w:pPr>
              <w:pStyle w:val="null3"/>
              <w:jc w:val="both"/>
            </w:pPr>
            <w:r>
              <w:rPr>
                <w:sz w:val="21"/>
              </w:rPr>
              <w:t>（</w:t>
            </w:r>
            <w:r>
              <w:rPr>
                <w:sz w:val="21"/>
              </w:rPr>
              <w:t xml:space="preserve">1）积分规则  </w:t>
            </w:r>
          </w:p>
          <w:p>
            <w:pPr>
              <w:pStyle w:val="null3"/>
              <w:jc w:val="both"/>
            </w:pPr>
            <w:r>
              <w:rPr>
                <w:sz w:val="21"/>
              </w:rPr>
              <w:t>规则配置、积分项定义、累计与抵扣、积分修订流程。</w:t>
            </w:r>
            <w:r>
              <w:rPr>
                <w:sz w:val="21"/>
              </w:rPr>
              <w:t xml:space="preserve">  </w:t>
            </w:r>
          </w:p>
          <w:p>
            <w:pPr>
              <w:pStyle w:val="null3"/>
              <w:jc w:val="both"/>
            </w:pPr>
            <w:r>
              <w:rPr>
                <w:sz w:val="21"/>
              </w:rPr>
              <w:t>（</w:t>
            </w:r>
            <w:r>
              <w:rPr>
                <w:sz w:val="21"/>
              </w:rPr>
              <w:t>2）场景应用</w:t>
            </w:r>
          </w:p>
          <w:p>
            <w:pPr>
              <w:pStyle w:val="null3"/>
              <w:jc w:val="both"/>
            </w:pPr>
            <w:r>
              <w:rPr>
                <w:sz w:val="21"/>
              </w:rPr>
              <w:t>评优评先、毕业鉴定、推荐就业等场景调用。</w:t>
            </w:r>
            <w:r>
              <w:rPr>
                <w:sz w:val="21"/>
              </w:rPr>
              <w:t xml:space="preserve">  </w:t>
            </w:r>
          </w:p>
          <w:p>
            <w:pPr>
              <w:pStyle w:val="null3"/>
              <w:jc w:val="both"/>
            </w:pPr>
            <w:r>
              <w:rPr>
                <w:sz w:val="21"/>
              </w:rPr>
              <w:t>（</w:t>
            </w:r>
            <w:r>
              <w:rPr>
                <w:sz w:val="21"/>
              </w:rPr>
              <w:t xml:space="preserve">3）统计与查询  </w:t>
            </w:r>
          </w:p>
          <w:p>
            <w:pPr>
              <w:pStyle w:val="null3"/>
              <w:jc w:val="both"/>
            </w:pPr>
            <w:r>
              <w:rPr>
                <w:sz w:val="21"/>
              </w:rPr>
              <w:t>个人积分曲线、对比分析、异常核查。</w:t>
            </w:r>
            <w:r>
              <w:rPr>
                <w:sz w:val="21"/>
              </w:rPr>
              <w:t xml:space="preserve">  </w:t>
            </w:r>
          </w:p>
          <w:p>
            <w:pPr>
              <w:pStyle w:val="null3"/>
              <w:jc w:val="both"/>
            </w:pPr>
            <w:r>
              <w:rPr>
                <w:sz w:val="21"/>
              </w:rPr>
              <w:t>实现规则：关键分值调整需审批与留痕。</w:t>
            </w:r>
            <w:r>
              <w:rPr>
                <w:sz w:val="21"/>
              </w:rPr>
              <w:t xml:space="preserve">  </w:t>
            </w:r>
          </w:p>
          <w:p>
            <w:pPr>
              <w:pStyle w:val="null3"/>
              <w:jc w:val="both"/>
            </w:pPr>
            <w:r>
              <w:rPr>
                <w:sz w:val="21"/>
              </w:rPr>
              <w:t>8、评奖评优标准与名额管理库（标准、名额、申报、评审）</w:t>
            </w:r>
          </w:p>
          <w:p>
            <w:pPr>
              <w:pStyle w:val="null3"/>
              <w:jc w:val="both"/>
            </w:pPr>
            <w:r>
              <w:rPr>
                <w:sz w:val="21"/>
              </w:rPr>
              <w:t>对评优标准、名额分配、学生申报与多级评审实施一体化管理。佛山国创院发布季度之星、优秀研究生、优秀党员、优秀兼职辅导员、其他等荣誉称号及评选标准，并分配名额。由学生申请，企业管理员、高校导师、佛山国创院逐级审核。</w:t>
            </w:r>
          </w:p>
          <w:p>
            <w:pPr>
              <w:pStyle w:val="null3"/>
              <w:jc w:val="both"/>
            </w:pPr>
            <w:r>
              <w:rPr>
                <w:sz w:val="21"/>
              </w:rPr>
              <w:t>（</w:t>
            </w:r>
            <w:r>
              <w:rPr>
                <w:sz w:val="21"/>
              </w:rPr>
              <w:t xml:space="preserve">1）标准管理  </w:t>
            </w:r>
          </w:p>
          <w:p>
            <w:pPr>
              <w:pStyle w:val="null3"/>
              <w:jc w:val="both"/>
            </w:pPr>
            <w:r>
              <w:rPr>
                <w:sz w:val="21"/>
              </w:rPr>
              <w:t>奖项名称、金额、互斥编号、适用学年、适用对象等。</w:t>
            </w:r>
            <w:r>
              <w:rPr>
                <w:sz w:val="21"/>
              </w:rPr>
              <w:t xml:space="preserve">  </w:t>
            </w:r>
          </w:p>
          <w:p>
            <w:pPr>
              <w:pStyle w:val="null3"/>
              <w:jc w:val="both"/>
            </w:pPr>
            <w:r>
              <w:rPr>
                <w:sz w:val="21"/>
              </w:rPr>
              <w:t>（</w:t>
            </w:r>
            <w:r>
              <w:rPr>
                <w:sz w:val="21"/>
              </w:rPr>
              <w:t xml:space="preserve">2）名额分配  </w:t>
            </w:r>
          </w:p>
          <w:p>
            <w:pPr>
              <w:pStyle w:val="null3"/>
              <w:jc w:val="both"/>
            </w:pPr>
            <w:r>
              <w:rPr>
                <w:sz w:val="21"/>
              </w:rPr>
              <w:t>总名额与分校</w:t>
            </w:r>
            <w:r>
              <w:rPr>
                <w:sz w:val="21"/>
              </w:rPr>
              <w:t xml:space="preserve">/硕博名额分配；名额汇总与余量跟踪。  </w:t>
            </w:r>
          </w:p>
          <w:p>
            <w:pPr>
              <w:pStyle w:val="null3"/>
              <w:jc w:val="both"/>
            </w:pPr>
            <w:r>
              <w:rPr>
                <w:sz w:val="21"/>
              </w:rPr>
              <w:t>（</w:t>
            </w:r>
            <w:r>
              <w:rPr>
                <w:sz w:val="21"/>
              </w:rPr>
              <w:t xml:space="preserve">3）申报与评审  </w:t>
            </w:r>
          </w:p>
          <w:p>
            <w:pPr>
              <w:pStyle w:val="null3"/>
              <w:jc w:val="both"/>
            </w:pPr>
            <w:r>
              <w:rPr>
                <w:sz w:val="21"/>
              </w:rPr>
              <w:t>学生在线申报；企业</w:t>
            </w:r>
            <w:r>
              <w:rPr>
                <w:sz w:val="21"/>
              </w:rPr>
              <w:t>/导师审批、国创院终审；名单发布与撤回。</w:t>
            </w:r>
          </w:p>
          <w:p>
            <w:pPr>
              <w:pStyle w:val="null3"/>
              <w:jc w:val="both"/>
            </w:pPr>
            <w:r>
              <w:rPr>
                <w:sz w:val="21"/>
              </w:rPr>
              <w:t>实现规则：互斥规则：同学年互斥编号不可重复获奖；名额约束：审批通过不得超配，回退释放名额。</w:t>
            </w:r>
          </w:p>
          <w:p>
            <w:pPr>
              <w:pStyle w:val="null3"/>
              <w:jc w:val="both"/>
            </w:pPr>
            <w:r>
              <w:rPr>
                <w:sz w:val="21"/>
              </w:rPr>
              <w:t>9、卓越人才项目对接库（需求、申请、导师确认、过程）</w:t>
            </w:r>
          </w:p>
          <w:p>
            <w:pPr>
              <w:pStyle w:val="null3"/>
              <w:jc w:val="both"/>
            </w:pPr>
            <w:r>
              <w:rPr>
                <w:sz w:val="21"/>
              </w:rPr>
              <w:t>卓越人才培育项目指的是</w:t>
            </w:r>
            <w:r>
              <w:rPr>
                <w:sz w:val="21"/>
              </w:rPr>
              <w:t>“雄狮”“南狮”“醒狮”计划项目。硕士生的联合培养项目包含“南狮”计划项目和一般项目，“南狮”计划项目重点支持特定领域、技术或目标，具有明确的实施路径和预期成果；一般项目更广泛、更灵活，不局限于特定领域或技术，适用于大多数项目和导师，不受特定限制。博士生的联合培养为“醒狮”计划项目。“雄狮”计划项目由佛山国创院从正在实施的“南狮”“醒狮”计划项目中择优遴选立项，一般在联合培养半年后开展，侧重于深度合作、长期培养或高级研究。</w:t>
            </w:r>
          </w:p>
          <w:p>
            <w:pPr>
              <w:pStyle w:val="null3"/>
              <w:jc w:val="both"/>
            </w:pPr>
            <w:r>
              <w:rPr>
                <w:sz w:val="21"/>
              </w:rPr>
              <w:t>南狮、醒狮、一般计划在提交项目需求已确定项目分类。导师对接项目时，根据项目需求和自身研究方向，确定是否适合参与。</w:t>
            </w:r>
          </w:p>
          <w:p>
            <w:pPr>
              <w:pStyle w:val="null3"/>
              <w:jc w:val="both"/>
            </w:pPr>
            <w:r>
              <w:rPr>
                <w:sz w:val="21"/>
              </w:rPr>
              <w:t>面向</w:t>
            </w:r>
            <w:r>
              <w:rPr>
                <w:sz w:val="21"/>
              </w:rPr>
              <w:t>“南狮/醒狮/一般”等类别，打通企业需求申报—导师申请对接—企业确认的“三段式”流程。</w:t>
            </w:r>
          </w:p>
          <w:p>
            <w:pPr>
              <w:pStyle w:val="null3"/>
              <w:jc w:val="both"/>
            </w:pPr>
            <w:r>
              <w:rPr>
                <w:sz w:val="21"/>
              </w:rPr>
              <w:t>（</w:t>
            </w:r>
            <w:r>
              <w:rPr>
                <w:sz w:val="21"/>
              </w:rPr>
              <w:t>1）参数设置</w:t>
            </w:r>
          </w:p>
          <w:p>
            <w:pPr>
              <w:pStyle w:val="null3"/>
              <w:jc w:val="both"/>
            </w:pPr>
            <w:r>
              <w:rPr>
                <w:sz w:val="21"/>
              </w:rPr>
              <w:t>佛山国创院设置项目的申报年份、申报批次、申报时间；可设置高校导师申请项目上限。</w:t>
            </w:r>
          </w:p>
          <w:p>
            <w:pPr>
              <w:pStyle w:val="null3"/>
              <w:jc w:val="both"/>
            </w:pPr>
            <w:r>
              <w:rPr>
                <w:sz w:val="21"/>
              </w:rPr>
              <w:t>（</w:t>
            </w:r>
            <w:r>
              <w:rPr>
                <w:sz w:val="21"/>
              </w:rPr>
              <w:t xml:space="preserve">2）企业项目需求  </w:t>
            </w:r>
          </w:p>
          <w:p>
            <w:pPr>
              <w:pStyle w:val="null3"/>
              <w:jc w:val="both"/>
            </w:pPr>
            <w:r>
              <w:rPr>
                <w:sz w:val="21"/>
              </w:rPr>
              <w:t>企业在开放窗口内提交需求（类别</w:t>
            </w:r>
            <w:r>
              <w:rPr>
                <w:sz w:val="21"/>
              </w:rPr>
              <w:t>/需求数/附件），国创院审核。</w:t>
            </w:r>
          </w:p>
          <w:p>
            <w:pPr>
              <w:pStyle w:val="null3"/>
              <w:jc w:val="both"/>
            </w:pPr>
            <w:r>
              <w:rPr>
                <w:sz w:val="21"/>
              </w:rPr>
              <w:t>（</w:t>
            </w:r>
            <w:r>
              <w:rPr>
                <w:sz w:val="21"/>
              </w:rPr>
              <w:t xml:space="preserve">3）导师申请对接  </w:t>
            </w:r>
          </w:p>
          <w:p>
            <w:pPr>
              <w:pStyle w:val="null3"/>
              <w:jc w:val="both"/>
            </w:pPr>
            <w:r>
              <w:rPr>
                <w:sz w:val="21"/>
              </w:rPr>
              <w:t>导师可按研究方向检索并申请；系统校验导师在研上限。</w:t>
            </w:r>
            <w:r>
              <w:rPr>
                <w:sz w:val="21"/>
              </w:rPr>
              <w:t xml:space="preserve">  </w:t>
            </w:r>
          </w:p>
          <w:p>
            <w:pPr>
              <w:pStyle w:val="null3"/>
              <w:jc w:val="both"/>
            </w:pPr>
            <w:r>
              <w:rPr>
                <w:sz w:val="21"/>
              </w:rPr>
              <w:t>（</w:t>
            </w:r>
            <w:r>
              <w:rPr>
                <w:sz w:val="21"/>
              </w:rPr>
              <w:t xml:space="preserve">4）企业确认  </w:t>
            </w:r>
          </w:p>
          <w:p>
            <w:pPr>
              <w:pStyle w:val="null3"/>
              <w:jc w:val="both"/>
            </w:pPr>
            <w:r>
              <w:rPr>
                <w:sz w:val="21"/>
              </w:rPr>
              <w:t>企业管理员确认对接数量，不得超过需求数。</w:t>
            </w:r>
            <w:r>
              <w:rPr>
                <w:sz w:val="21"/>
              </w:rPr>
              <w:t xml:space="preserve">  </w:t>
            </w:r>
          </w:p>
          <w:p>
            <w:pPr>
              <w:pStyle w:val="null3"/>
              <w:jc w:val="both"/>
            </w:pPr>
            <w:r>
              <w:rPr>
                <w:sz w:val="21"/>
              </w:rPr>
              <w:t>实现规则：时间窗与资格（导师白名单</w:t>
            </w:r>
            <w:r>
              <w:rPr>
                <w:sz w:val="21"/>
              </w:rPr>
              <w:t>/指标）联动校验。</w:t>
            </w:r>
          </w:p>
          <w:p>
            <w:pPr>
              <w:pStyle w:val="null3"/>
              <w:jc w:val="both"/>
            </w:pPr>
            <w:r>
              <w:rPr>
                <w:sz w:val="21"/>
              </w:rPr>
              <w:t>10、</w:t>
            </w:r>
            <w:r>
              <w:rPr>
                <w:sz w:val="21"/>
                <w:b/>
              </w:rPr>
              <w:t>（</w:t>
            </w:r>
            <w:r>
              <w:rPr>
                <w:sz w:val="21"/>
                <w:b/>
              </w:rPr>
              <w:t>演示内容</w:t>
            </w:r>
            <w:r>
              <w:rPr>
                <w:sz w:val="21"/>
                <w:b/>
              </w:rPr>
              <w:t>）</w:t>
            </w:r>
            <w:r>
              <w:rPr>
                <w:sz w:val="21"/>
              </w:rPr>
              <w:t>导师指标与</w:t>
            </w:r>
            <w:r>
              <w:rPr>
                <w:sz w:val="21"/>
              </w:rPr>
              <w:t>资格庫</w:t>
            </w:r>
            <w:r>
              <w:rPr>
                <w:sz w:val="21"/>
              </w:rPr>
              <w:t>（指标分配、白名单、额度监控、匹配）</w:t>
            </w:r>
          </w:p>
          <w:p>
            <w:pPr>
              <w:pStyle w:val="null3"/>
              <w:jc w:val="both"/>
            </w:pPr>
            <w:r>
              <w:rPr>
                <w:sz w:val="21"/>
              </w:rPr>
              <w:t>以高校管理员为主，管理导师白名单与招生指标，提供资格自动判定与预警能力。</w:t>
            </w:r>
          </w:p>
          <w:p>
            <w:pPr>
              <w:pStyle w:val="null3"/>
              <w:jc w:val="both"/>
            </w:pPr>
            <w:r>
              <w:rPr>
                <w:sz w:val="21"/>
              </w:rPr>
              <w:t>（</w:t>
            </w:r>
            <w:r>
              <w:rPr>
                <w:sz w:val="21"/>
              </w:rPr>
              <w:t xml:space="preserve">1）白名单  </w:t>
            </w:r>
          </w:p>
          <w:p>
            <w:pPr>
              <w:pStyle w:val="null3"/>
              <w:jc w:val="both"/>
            </w:pPr>
            <w:r>
              <w:rPr>
                <w:sz w:val="21"/>
              </w:rPr>
              <w:t>导师白名单新增</w:t>
            </w:r>
            <w:r>
              <w:rPr>
                <w:sz w:val="21"/>
              </w:rPr>
              <w:t>/导入/导出/编辑/删除，快速检索。</w:t>
            </w:r>
          </w:p>
          <w:p>
            <w:pPr>
              <w:pStyle w:val="null3"/>
              <w:jc w:val="both"/>
            </w:pPr>
            <w:r>
              <w:rPr>
                <w:sz w:val="21"/>
              </w:rPr>
              <w:t>（</w:t>
            </w:r>
            <w:r>
              <w:rPr>
                <w:sz w:val="21"/>
              </w:rPr>
              <w:t xml:space="preserve">2）指标管理  </w:t>
            </w:r>
          </w:p>
          <w:p>
            <w:pPr>
              <w:pStyle w:val="null3"/>
              <w:jc w:val="both"/>
            </w:pPr>
            <w:r>
              <w:rPr>
                <w:sz w:val="21"/>
              </w:rPr>
              <w:t>指标上限设置与使用监控；按学年</w:t>
            </w:r>
            <w:r>
              <w:rPr>
                <w:sz w:val="21"/>
              </w:rPr>
              <w:t>/单位/学科维度。</w:t>
            </w:r>
          </w:p>
          <w:p>
            <w:pPr>
              <w:pStyle w:val="null3"/>
              <w:jc w:val="both"/>
            </w:pPr>
            <w:r>
              <w:rPr>
                <w:sz w:val="21"/>
              </w:rPr>
              <w:t>（</w:t>
            </w:r>
            <w:r>
              <w:rPr>
                <w:sz w:val="21"/>
              </w:rPr>
              <w:t xml:space="preserve">3）资格判定  </w:t>
            </w:r>
          </w:p>
          <w:p>
            <w:pPr>
              <w:pStyle w:val="null3"/>
              <w:jc w:val="both"/>
            </w:pPr>
            <w:r>
              <w:rPr>
                <w:sz w:val="21"/>
              </w:rPr>
              <w:t>招生资格自动判定：白名单通过且未超指标即通过。</w:t>
            </w:r>
          </w:p>
          <w:p>
            <w:pPr>
              <w:pStyle w:val="null3"/>
              <w:jc w:val="both"/>
            </w:pPr>
            <w:r>
              <w:rPr>
                <w:sz w:val="21"/>
              </w:rPr>
              <w:t>实现规则：超额预警：使用量接近上限时提醒；指标扣减与回收：通过节点扣减，回退释放。</w:t>
            </w:r>
            <w:r>
              <w:rPr>
                <w:sz w:val="21"/>
              </w:rPr>
              <w:t xml:space="preserve">  </w:t>
            </w:r>
          </w:p>
          <w:p>
            <w:pPr>
              <w:pStyle w:val="null3"/>
              <w:jc w:val="both"/>
            </w:pPr>
            <w:r>
              <w:rPr>
                <w:sz w:val="21"/>
              </w:rPr>
              <w:t>11、 联培项目过程文档与节点库（协议、培养计划、考核节点）</w:t>
            </w:r>
          </w:p>
          <w:p>
            <w:pPr>
              <w:pStyle w:val="null3"/>
              <w:jc w:val="both"/>
            </w:pPr>
            <w:r>
              <w:rPr>
                <w:sz w:val="21"/>
              </w:rPr>
              <w:t>沉淀入驻协议、联合培养计划、考核节点等关键过程文档，提供</w:t>
            </w:r>
            <w:r>
              <w:rPr>
                <w:sz w:val="21"/>
              </w:rPr>
              <w:t>“未提交督促—提交—审核—归档”的闭环。</w:t>
            </w:r>
          </w:p>
          <w:p>
            <w:pPr>
              <w:pStyle w:val="null3"/>
              <w:jc w:val="both"/>
            </w:pPr>
            <w:r>
              <w:rPr>
                <w:sz w:val="21"/>
              </w:rPr>
              <w:t>（</w:t>
            </w:r>
            <w:r>
              <w:rPr>
                <w:sz w:val="21"/>
              </w:rPr>
              <w:t xml:space="preserve">1）过程文档  </w:t>
            </w:r>
          </w:p>
          <w:p>
            <w:pPr>
              <w:pStyle w:val="null3"/>
              <w:jc w:val="both"/>
            </w:pPr>
            <w:r>
              <w:rPr>
                <w:sz w:val="21"/>
              </w:rPr>
              <w:t>入驻协议、培养计划、考核节点记录；版本与审批轨迹。</w:t>
            </w:r>
            <w:r>
              <w:rPr>
                <w:sz w:val="21"/>
              </w:rPr>
              <w:t xml:space="preserve">  </w:t>
            </w:r>
          </w:p>
          <w:p>
            <w:pPr>
              <w:pStyle w:val="null3"/>
              <w:jc w:val="both"/>
            </w:pPr>
            <w:r>
              <w:rPr>
                <w:sz w:val="21"/>
              </w:rPr>
              <w:t>（</w:t>
            </w:r>
            <w:r>
              <w:rPr>
                <w:sz w:val="21"/>
              </w:rPr>
              <w:t xml:space="preserve">2）节点状态  </w:t>
            </w:r>
          </w:p>
          <w:p>
            <w:pPr>
              <w:pStyle w:val="null3"/>
              <w:jc w:val="both"/>
            </w:pPr>
            <w:r>
              <w:rPr>
                <w:sz w:val="21"/>
              </w:rPr>
              <w:t>必填节点未提交清单、督办机制、状态看板。</w:t>
            </w:r>
            <w:r>
              <w:rPr>
                <w:sz w:val="21"/>
              </w:rPr>
              <w:t xml:space="preserve">  </w:t>
            </w:r>
          </w:p>
          <w:p>
            <w:pPr>
              <w:pStyle w:val="null3"/>
              <w:jc w:val="both"/>
            </w:pPr>
            <w:r>
              <w:rPr>
                <w:sz w:val="21"/>
              </w:rPr>
              <w:t>（</w:t>
            </w:r>
            <w:r>
              <w:rPr>
                <w:sz w:val="21"/>
              </w:rPr>
              <w:t xml:space="preserve">3）归档与检索  </w:t>
            </w:r>
          </w:p>
          <w:p>
            <w:pPr>
              <w:pStyle w:val="null3"/>
              <w:jc w:val="both"/>
            </w:pPr>
            <w:r>
              <w:rPr>
                <w:sz w:val="21"/>
              </w:rPr>
              <w:t>支持条件检索、附件在线预览。</w:t>
            </w:r>
            <w:r>
              <w:rPr>
                <w:sz w:val="21"/>
              </w:rPr>
              <w:t xml:space="preserve">  </w:t>
            </w:r>
          </w:p>
          <w:p>
            <w:pPr>
              <w:pStyle w:val="null3"/>
              <w:jc w:val="both"/>
            </w:pPr>
            <w:r>
              <w:rPr>
                <w:sz w:val="21"/>
              </w:rPr>
              <w:t>实现规则：培养计划为必填节点，未提交定向提醒至学生与导师；修订需走审批。</w:t>
            </w:r>
            <w:r>
              <w:rPr>
                <w:sz w:val="21"/>
              </w:rPr>
              <w:t xml:space="preserve">  </w:t>
            </w:r>
          </w:p>
          <w:p>
            <w:pPr>
              <w:pStyle w:val="null3"/>
              <w:jc w:val="both"/>
            </w:pPr>
            <w:r>
              <w:rPr>
                <w:sz w:val="21"/>
              </w:rPr>
              <w:t>12、导师业务库（指导学生、进度、移动审批与查阅）（导师视角工作台）</w:t>
            </w:r>
          </w:p>
          <w:p>
            <w:pPr>
              <w:pStyle w:val="null3"/>
              <w:jc w:val="both"/>
            </w:pPr>
            <w:r>
              <w:rPr>
                <w:sz w:val="21"/>
              </w:rPr>
              <w:t>给导师统一的学生指导视图，实现学生进度、移动审批与成果查阅的一站式处理。</w:t>
            </w:r>
          </w:p>
          <w:p>
            <w:pPr>
              <w:pStyle w:val="null3"/>
              <w:jc w:val="both"/>
            </w:pPr>
            <w:r>
              <w:rPr>
                <w:sz w:val="21"/>
              </w:rPr>
              <w:t>（</w:t>
            </w:r>
            <w:r>
              <w:rPr>
                <w:sz w:val="21"/>
              </w:rPr>
              <w:t>1）学生指导清单</w:t>
            </w:r>
          </w:p>
          <w:p>
            <w:pPr>
              <w:pStyle w:val="null3"/>
              <w:jc w:val="both"/>
            </w:pPr>
            <w:r>
              <w:rPr>
                <w:sz w:val="21"/>
              </w:rPr>
              <w:t>导师名下学生列表、进度状态、预警卡片。</w:t>
            </w:r>
            <w:r>
              <w:rPr>
                <w:sz w:val="21"/>
              </w:rPr>
              <w:t xml:space="preserve">  </w:t>
            </w:r>
          </w:p>
          <w:p>
            <w:pPr>
              <w:pStyle w:val="null3"/>
              <w:jc w:val="both"/>
            </w:pPr>
            <w:r>
              <w:rPr>
                <w:sz w:val="21"/>
              </w:rPr>
              <w:t>（</w:t>
            </w:r>
            <w:r>
              <w:rPr>
                <w:sz w:val="21"/>
              </w:rPr>
              <w:t>2）移动审批</w:t>
            </w:r>
          </w:p>
          <w:p>
            <w:pPr>
              <w:pStyle w:val="null3"/>
              <w:jc w:val="both"/>
            </w:pPr>
            <w:r>
              <w:rPr>
                <w:sz w:val="21"/>
              </w:rPr>
              <w:t>请假、周志、考核等移动端快速审批。</w:t>
            </w:r>
            <w:r>
              <w:rPr>
                <w:sz w:val="21"/>
              </w:rPr>
              <w:t xml:space="preserve">  </w:t>
            </w:r>
          </w:p>
          <w:p>
            <w:pPr>
              <w:pStyle w:val="null3"/>
              <w:jc w:val="both"/>
            </w:pPr>
            <w:r>
              <w:rPr>
                <w:sz w:val="21"/>
              </w:rPr>
              <w:t>（</w:t>
            </w:r>
            <w:r>
              <w:rPr>
                <w:sz w:val="21"/>
              </w:rPr>
              <w:t>3）统计与查阅</w:t>
            </w:r>
          </w:p>
          <w:p>
            <w:pPr>
              <w:pStyle w:val="null3"/>
              <w:jc w:val="both"/>
            </w:pPr>
            <w:r>
              <w:rPr>
                <w:sz w:val="21"/>
              </w:rPr>
              <w:t>指导工作量、审批时效统计与查阅。</w:t>
            </w:r>
            <w:r>
              <w:rPr>
                <w:sz w:val="21"/>
              </w:rPr>
              <w:t xml:space="preserve">  </w:t>
            </w:r>
          </w:p>
          <w:p>
            <w:pPr>
              <w:pStyle w:val="null3"/>
              <w:jc w:val="both"/>
            </w:pPr>
            <w:r>
              <w:rPr>
                <w:sz w:val="21"/>
              </w:rPr>
              <w:t>实现规则：仅可见本人名下学生与授权的资料；审批超时自动提醒并可升级。</w:t>
            </w:r>
            <w:r>
              <w:rPr>
                <w:sz w:val="21"/>
              </w:rPr>
              <w:t xml:space="preserve">  </w:t>
            </w:r>
          </w:p>
          <w:p>
            <w:pPr>
              <w:pStyle w:val="null3"/>
              <w:jc w:val="both"/>
            </w:pPr>
            <w:r>
              <w:rPr>
                <w:sz w:val="21"/>
              </w:rPr>
              <w:t>13、企业管理员业务库（招聘/项目发布、考勤查看、移动确认）（企业侧操作台）</w:t>
            </w:r>
          </w:p>
          <w:p>
            <w:pPr>
              <w:pStyle w:val="null3"/>
              <w:jc w:val="both"/>
            </w:pPr>
            <w:r>
              <w:rPr>
                <w:sz w:val="21"/>
              </w:rPr>
              <w:t>面向企业管理员，整合项目需求</w:t>
            </w:r>
            <w:r>
              <w:rPr>
                <w:sz w:val="21"/>
              </w:rPr>
              <w:t>/招聘发布、学生考勤查看、关键流程确认等高频操作。</w:t>
            </w:r>
          </w:p>
          <w:p>
            <w:pPr>
              <w:pStyle w:val="null3"/>
              <w:jc w:val="both"/>
            </w:pPr>
            <w:r>
              <w:rPr>
                <w:sz w:val="21"/>
              </w:rPr>
              <w:t>（</w:t>
            </w:r>
            <w:r>
              <w:rPr>
                <w:sz w:val="21"/>
              </w:rPr>
              <w:t>1）需求与招聘</w:t>
            </w:r>
          </w:p>
          <w:p>
            <w:pPr>
              <w:pStyle w:val="null3"/>
              <w:jc w:val="both"/>
            </w:pPr>
            <w:r>
              <w:rPr>
                <w:sz w:val="21"/>
              </w:rPr>
              <w:t>企业发布项目需求、招聘岗位；国创院审核发布。</w:t>
            </w:r>
            <w:r>
              <w:rPr>
                <w:sz w:val="21"/>
              </w:rPr>
              <w:t xml:space="preserve">  </w:t>
            </w:r>
          </w:p>
          <w:p>
            <w:pPr>
              <w:pStyle w:val="null3"/>
              <w:jc w:val="both"/>
            </w:pPr>
            <w:r>
              <w:rPr>
                <w:sz w:val="21"/>
              </w:rPr>
              <w:t>（</w:t>
            </w:r>
            <w:r>
              <w:rPr>
                <w:sz w:val="21"/>
              </w:rPr>
              <w:t>2）学生考勤查看</w:t>
            </w:r>
          </w:p>
          <w:p>
            <w:pPr>
              <w:pStyle w:val="null3"/>
              <w:jc w:val="both"/>
            </w:pPr>
            <w:r>
              <w:rPr>
                <w:sz w:val="21"/>
              </w:rPr>
              <w:t>查看所涉学生考勤情况与统计。</w:t>
            </w:r>
            <w:r>
              <w:rPr>
                <w:sz w:val="21"/>
              </w:rPr>
              <w:t xml:space="preserve">  </w:t>
            </w:r>
          </w:p>
          <w:p>
            <w:pPr>
              <w:pStyle w:val="null3"/>
              <w:jc w:val="both"/>
            </w:pPr>
            <w:r>
              <w:rPr>
                <w:sz w:val="21"/>
              </w:rPr>
              <w:t>（</w:t>
            </w:r>
            <w:r>
              <w:rPr>
                <w:sz w:val="21"/>
              </w:rPr>
              <w:t>3）流程确认</w:t>
            </w:r>
          </w:p>
          <w:p>
            <w:pPr>
              <w:pStyle w:val="null3"/>
              <w:jc w:val="both"/>
            </w:pPr>
            <w:r>
              <w:rPr>
                <w:sz w:val="21"/>
              </w:rPr>
              <w:t>对接确认、导师遴选等节点的企业侧确认操作。</w:t>
            </w:r>
            <w:r>
              <w:rPr>
                <w:sz w:val="21"/>
              </w:rPr>
              <w:t xml:space="preserve">  </w:t>
            </w:r>
          </w:p>
          <w:p>
            <w:pPr>
              <w:pStyle w:val="null3"/>
              <w:jc w:val="both"/>
            </w:pPr>
            <w:r>
              <w:rPr>
                <w:sz w:val="21"/>
              </w:rPr>
              <w:t>实现规则：招聘信息合法合规校验，发布范围与时效控制；企业仅能操作本单位范围数据。</w:t>
            </w:r>
            <w:r>
              <w:rPr>
                <w:sz w:val="21"/>
              </w:rPr>
              <w:t xml:space="preserve">  </w:t>
            </w:r>
          </w:p>
          <w:p>
            <w:pPr>
              <w:pStyle w:val="null3"/>
              <w:jc w:val="both"/>
            </w:pPr>
            <w:r>
              <w:rPr>
                <w:sz w:val="21"/>
              </w:rPr>
              <w:t>14、</w:t>
            </w:r>
            <w:r>
              <w:rPr>
                <w:sz w:val="21"/>
                <w:b/>
              </w:rPr>
              <w:t>（</w:t>
            </w:r>
            <w:r>
              <w:rPr>
                <w:sz w:val="21"/>
                <w:b/>
              </w:rPr>
              <w:t>演示内容</w:t>
            </w:r>
            <w:r>
              <w:rPr>
                <w:sz w:val="21"/>
                <w:b/>
              </w:rPr>
              <w:t>）</w:t>
            </w:r>
            <w:r>
              <w:rPr>
                <w:sz w:val="21"/>
              </w:rPr>
              <w:t>扶持项目全流程库（申报、评审、中检、验收）</w:t>
            </w:r>
          </w:p>
          <w:p>
            <w:pPr>
              <w:pStyle w:val="null3"/>
              <w:jc w:val="both"/>
            </w:pPr>
            <w:r>
              <w:rPr>
                <w:sz w:val="21"/>
              </w:rPr>
              <w:t>覆盖</w:t>
            </w:r>
            <w:r>
              <w:rPr>
                <w:sz w:val="21"/>
              </w:rPr>
              <w:t>“参数设置—申报—中期检查—结题”的完整链路，支撑导师在线申报与国创院审核。</w:t>
            </w:r>
          </w:p>
          <w:p>
            <w:pPr>
              <w:pStyle w:val="null3"/>
              <w:jc w:val="both"/>
            </w:pPr>
            <w:r>
              <w:rPr>
                <w:sz w:val="21"/>
              </w:rPr>
              <w:t>（</w:t>
            </w:r>
            <w:r>
              <w:rPr>
                <w:sz w:val="21"/>
              </w:rPr>
              <w:t>1）参数设置</w:t>
            </w:r>
          </w:p>
          <w:p>
            <w:pPr>
              <w:pStyle w:val="null3"/>
              <w:jc w:val="both"/>
            </w:pPr>
            <w:r>
              <w:rPr>
                <w:sz w:val="21"/>
              </w:rPr>
              <w:t>申报年份、时间窗口设置；跨年规则明确。</w:t>
            </w:r>
          </w:p>
          <w:p>
            <w:pPr>
              <w:pStyle w:val="null3"/>
              <w:jc w:val="both"/>
            </w:pPr>
            <w:r>
              <w:rPr>
                <w:sz w:val="21"/>
              </w:rPr>
              <w:t>（</w:t>
            </w:r>
            <w:r>
              <w:rPr>
                <w:sz w:val="21"/>
              </w:rPr>
              <w:t>2）项目申报</w:t>
            </w:r>
          </w:p>
          <w:p>
            <w:pPr>
              <w:pStyle w:val="null3"/>
              <w:jc w:val="both"/>
            </w:pPr>
            <w:r>
              <w:rPr>
                <w:sz w:val="21"/>
              </w:rPr>
              <w:t>导师在线申报；校验是否在开放期；国创院审核。</w:t>
            </w:r>
          </w:p>
          <w:p>
            <w:pPr>
              <w:pStyle w:val="null3"/>
              <w:jc w:val="both"/>
            </w:pPr>
            <w:r>
              <w:rPr>
                <w:sz w:val="21"/>
              </w:rPr>
              <w:t>（</w:t>
            </w:r>
            <w:r>
              <w:rPr>
                <w:sz w:val="21"/>
              </w:rPr>
              <w:t>3）中期与结题</w:t>
            </w:r>
          </w:p>
          <w:p>
            <w:pPr>
              <w:pStyle w:val="null3"/>
              <w:jc w:val="both"/>
            </w:pPr>
            <w:r>
              <w:rPr>
                <w:sz w:val="21"/>
              </w:rPr>
              <w:t>中期检查提交与审核；结题提交与验收，入成果库入口。</w:t>
            </w:r>
            <w:r>
              <w:rPr>
                <w:sz w:val="21"/>
              </w:rPr>
              <w:t xml:space="preserve">  </w:t>
            </w:r>
          </w:p>
          <w:p>
            <w:pPr>
              <w:pStyle w:val="null3"/>
              <w:jc w:val="both"/>
            </w:pPr>
            <w:r>
              <w:rPr>
                <w:sz w:val="21"/>
              </w:rPr>
              <w:t>实现规则：年份取</w:t>
            </w:r>
            <w:r>
              <w:rPr>
                <w:sz w:val="21"/>
              </w:rPr>
              <w:t xml:space="preserve">“系统参数”，不以提交日期为准；退回必须给出意见；结题通过方可入成果库。  </w:t>
            </w:r>
          </w:p>
          <w:p>
            <w:pPr>
              <w:pStyle w:val="null3"/>
              <w:jc w:val="both"/>
            </w:pPr>
            <w:r>
              <w:rPr>
                <w:sz w:val="21"/>
              </w:rPr>
              <w:t>15、综合改革项目全流程库（申报、评审、中检、验收）</w:t>
            </w:r>
          </w:p>
          <w:p>
            <w:pPr>
              <w:pStyle w:val="null3"/>
              <w:jc w:val="both"/>
            </w:pPr>
            <w:r>
              <w:rPr>
                <w:sz w:val="21"/>
              </w:rPr>
              <w:t>与扶持项目同态的全流程管理，但独立数据域与口径，支持差异化指标与评审。</w:t>
            </w:r>
          </w:p>
          <w:p>
            <w:pPr>
              <w:pStyle w:val="null3"/>
              <w:jc w:val="both"/>
            </w:pPr>
            <w:r>
              <w:rPr>
                <w:sz w:val="21"/>
              </w:rPr>
              <w:t>（</w:t>
            </w:r>
            <w:r>
              <w:rPr>
                <w:sz w:val="21"/>
              </w:rPr>
              <w:t xml:space="preserve">1）参数设置  </w:t>
            </w:r>
          </w:p>
          <w:p>
            <w:pPr>
              <w:pStyle w:val="null3"/>
              <w:jc w:val="both"/>
            </w:pPr>
            <w:r>
              <w:rPr>
                <w:sz w:val="21"/>
              </w:rPr>
              <w:t>学年与开放期设置。</w:t>
            </w:r>
            <w:r>
              <w:rPr>
                <w:sz w:val="21"/>
              </w:rPr>
              <w:t xml:space="preserve">  </w:t>
            </w:r>
          </w:p>
          <w:p>
            <w:pPr>
              <w:pStyle w:val="null3"/>
              <w:jc w:val="both"/>
            </w:pPr>
            <w:r>
              <w:rPr>
                <w:sz w:val="21"/>
              </w:rPr>
              <w:t>（</w:t>
            </w:r>
            <w:r>
              <w:rPr>
                <w:sz w:val="21"/>
              </w:rPr>
              <w:t xml:space="preserve">2）项目申报  </w:t>
            </w:r>
          </w:p>
          <w:p>
            <w:pPr>
              <w:pStyle w:val="null3"/>
              <w:jc w:val="both"/>
            </w:pPr>
            <w:r>
              <w:rPr>
                <w:sz w:val="21"/>
              </w:rPr>
              <w:t>导师在线填报、国创院审核。</w:t>
            </w:r>
            <w:r>
              <w:rPr>
                <w:sz w:val="21"/>
              </w:rPr>
              <w:t xml:space="preserve">  </w:t>
            </w:r>
          </w:p>
          <w:p>
            <w:pPr>
              <w:pStyle w:val="null3"/>
              <w:jc w:val="both"/>
            </w:pPr>
            <w:r>
              <w:rPr>
                <w:sz w:val="21"/>
              </w:rPr>
              <w:t>（</w:t>
            </w:r>
            <w:r>
              <w:rPr>
                <w:sz w:val="21"/>
              </w:rPr>
              <w:t xml:space="preserve">3）中期与结题  </w:t>
            </w:r>
          </w:p>
          <w:p>
            <w:pPr>
              <w:pStyle w:val="null3"/>
              <w:jc w:val="both"/>
            </w:pPr>
            <w:r>
              <w:rPr>
                <w:sz w:val="21"/>
              </w:rPr>
              <w:t>审核闭环、文档归档、成果入库入口。</w:t>
            </w:r>
            <w:r>
              <w:rPr>
                <w:sz w:val="21"/>
              </w:rPr>
              <w:t xml:space="preserve">  </w:t>
            </w:r>
          </w:p>
          <w:p>
            <w:pPr>
              <w:pStyle w:val="null3"/>
              <w:jc w:val="both"/>
            </w:pPr>
            <w:r>
              <w:rPr>
                <w:sz w:val="21"/>
              </w:rPr>
              <w:t>实现规则：流程与扶持项目相同，但指标</w:t>
            </w:r>
            <w:r>
              <w:rPr>
                <w:sz w:val="21"/>
              </w:rPr>
              <w:t>/评价标准可独立配置；</w:t>
            </w:r>
          </w:p>
          <w:p>
            <w:pPr>
              <w:pStyle w:val="null3"/>
              <w:jc w:val="both"/>
            </w:pPr>
            <w:r>
              <w:rPr>
                <w:sz w:val="21"/>
              </w:rPr>
              <w:t>16、管理员移动端OA与公告发布库</w:t>
            </w:r>
          </w:p>
          <w:p>
            <w:pPr>
              <w:pStyle w:val="null3"/>
              <w:jc w:val="both"/>
            </w:pPr>
            <w:r>
              <w:rPr>
                <w:sz w:val="21"/>
              </w:rPr>
              <w:t>为国创院管理员</w:t>
            </w:r>
            <w:r>
              <w:rPr>
                <w:sz w:val="21"/>
              </w:rPr>
              <w:t>/员工提供移动端轻量处理能力：OA审批、公告发布、核心任务处理。</w:t>
            </w:r>
          </w:p>
          <w:p>
            <w:pPr>
              <w:pStyle w:val="null3"/>
              <w:jc w:val="both"/>
            </w:pPr>
            <w:r>
              <w:rPr>
                <w:sz w:val="21"/>
              </w:rPr>
              <w:t>（</w:t>
            </w:r>
            <w:r>
              <w:rPr>
                <w:sz w:val="21"/>
              </w:rPr>
              <w:t xml:space="preserve">1）移动审批  </w:t>
            </w:r>
          </w:p>
          <w:p>
            <w:pPr>
              <w:pStyle w:val="null3"/>
              <w:jc w:val="both"/>
            </w:pPr>
            <w:r>
              <w:rPr>
                <w:sz w:val="21"/>
              </w:rPr>
              <w:t xml:space="preserve">OA相关待办（请假、用章、采购等）移动端审批。  </w:t>
            </w:r>
          </w:p>
          <w:p>
            <w:pPr>
              <w:pStyle w:val="null3"/>
              <w:jc w:val="both"/>
            </w:pPr>
            <w:r>
              <w:rPr>
                <w:sz w:val="21"/>
              </w:rPr>
              <w:t>（</w:t>
            </w:r>
            <w:r>
              <w:rPr>
                <w:sz w:val="21"/>
              </w:rPr>
              <w:t xml:space="preserve">2）公告发布  </w:t>
            </w:r>
          </w:p>
          <w:p>
            <w:pPr>
              <w:pStyle w:val="null3"/>
              <w:jc w:val="both"/>
            </w:pPr>
            <w:r>
              <w:rPr>
                <w:sz w:val="21"/>
              </w:rPr>
              <w:t>移动端快速发布通知公告，内容与范围配置。</w:t>
            </w:r>
            <w:r>
              <w:rPr>
                <w:sz w:val="21"/>
              </w:rPr>
              <w:t xml:space="preserve">  </w:t>
            </w:r>
          </w:p>
          <w:p>
            <w:pPr>
              <w:pStyle w:val="null3"/>
              <w:jc w:val="both"/>
            </w:pPr>
            <w:r>
              <w:rPr>
                <w:sz w:val="21"/>
              </w:rPr>
              <w:t>（</w:t>
            </w:r>
            <w:r>
              <w:rPr>
                <w:sz w:val="21"/>
              </w:rPr>
              <w:t xml:space="preserve">3）任务处理  </w:t>
            </w:r>
          </w:p>
          <w:p>
            <w:pPr>
              <w:pStyle w:val="null3"/>
              <w:jc w:val="both"/>
            </w:pPr>
            <w:r>
              <w:rPr>
                <w:sz w:val="21"/>
              </w:rPr>
              <w:t>关键业务流程的移动确认与催办。</w:t>
            </w:r>
            <w:r>
              <w:rPr>
                <w:sz w:val="21"/>
              </w:rPr>
              <w:t xml:space="preserve">  </w:t>
            </w:r>
          </w:p>
          <w:p>
            <w:pPr>
              <w:pStyle w:val="null3"/>
              <w:jc w:val="both"/>
            </w:pPr>
            <w:r>
              <w:rPr>
                <w:sz w:val="21"/>
              </w:rPr>
              <w:t>实现规则：发布与审批均留痕；移动端权限与</w:t>
            </w:r>
            <w:r>
              <w:rPr>
                <w:sz w:val="21"/>
              </w:rPr>
              <w:t xml:space="preserve">PC端保持一致，超权拦截。  </w:t>
            </w:r>
          </w:p>
          <w:p>
            <w:pPr>
              <w:pStyle w:val="null3"/>
              <w:jc w:val="both"/>
            </w:pPr>
            <w:r>
              <w:rPr>
                <w:sz w:val="21"/>
              </w:rPr>
              <w:t>17、移动端个人中心/工作台聚合数据接口（移动端“我的/工作台”数据服务）</w:t>
            </w:r>
          </w:p>
          <w:p>
            <w:pPr>
              <w:pStyle w:val="null3"/>
              <w:jc w:val="both"/>
            </w:pPr>
            <w:r>
              <w:rPr>
                <w:sz w:val="21"/>
              </w:rPr>
              <w:t>面向小程序的</w:t>
            </w:r>
            <w:r>
              <w:rPr>
                <w:sz w:val="21"/>
              </w:rPr>
              <w:t>“我的/工作台”入口提供跨域聚合只读接口，统一拉取待办摘要、消息红点、个性化入口等，降低前端复杂度。</w:t>
            </w:r>
          </w:p>
          <w:p>
            <w:pPr>
              <w:pStyle w:val="null3"/>
              <w:jc w:val="both"/>
            </w:pPr>
            <w:r>
              <w:rPr>
                <w:sz w:val="21"/>
              </w:rPr>
              <w:t>（</w:t>
            </w:r>
            <w:r>
              <w:rPr>
                <w:sz w:val="21"/>
              </w:rPr>
              <w:t xml:space="preserve">1）聚合项  </w:t>
            </w:r>
          </w:p>
          <w:p>
            <w:pPr>
              <w:pStyle w:val="null3"/>
              <w:jc w:val="both"/>
            </w:pPr>
            <w:r>
              <w:rPr>
                <w:sz w:val="21"/>
              </w:rPr>
              <w:t>待办数量、消息未读数、快捷入口列表、关键数据卡片摘要。</w:t>
            </w:r>
            <w:r>
              <w:rPr>
                <w:sz w:val="21"/>
              </w:rPr>
              <w:t xml:space="preserve">  </w:t>
            </w:r>
          </w:p>
          <w:p>
            <w:pPr>
              <w:pStyle w:val="null3"/>
              <w:jc w:val="both"/>
            </w:pPr>
            <w:r>
              <w:rPr>
                <w:sz w:val="21"/>
              </w:rPr>
              <w:t>（</w:t>
            </w:r>
            <w:r>
              <w:rPr>
                <w:sz w:val="21"/>
              </w:rPr>
              <w:t xml:space="preserve">2）性能与缓存  </w:t>
            </w:r>
          </w:p>
          <w:p>
            <w:pPr>
              <w:pStyle w:val="null3"/>
              <w:jc w:val="both"/>
            </w:pPr>
            <w:r>
              <w:rPr>
                <w:sz w:val="21"/>
              </w:rPr>
              <w:t>接口聚合多来源只读数据，支持短期缓存与节流。</w:t>
            </w:r>
            <w:r>
              <w:rPr>
                <w:sz w:val="21"/>
              </w:rPr>
              <w:t xml:space="preserve">  </w:t>
            </w:r>
          </w:p>
          <w:p>
            <w:pPr>
              <w:pStyle w:val="null3"/>
              <w:jc w:val="both"/>
            </w:pPr>
            <w:r>
              <w:rPr>
                <w:sz w:val="21"/>
              </w:rPr>
              <w:t>实现规则：仅聚合展示数据，不落本地库；权限过滤：仅返回当前用户可见的入口与摘要；</w:t>
            </w:r>
            <w:r>
              <w:rPr>
                <w:sz w:val="21"/>
              </w:rPr>
              <w:t xml:space="preserve">  </w:t>
            </w:r>
          </w:p>
          <w:p>
            <w:pPr>
              <w:pStyle w:val="null3"/>
              <w:jc w:val="both"/>
            </w:pPr>
            <w:r>
              <w:rPr>
                <w:sz w:val="21"/>
                <w:b/>
              </w:rPr>
              <w:t>三、科技攻关项目管理</w:t>
            </w:r>
          </w:p>
          <w:p>
            <w:pPr>
              <w:pStyle w:val="null3"/>
              <w:jc w:val="both"/>
            </w:pPr>
            <w:r>
              <w:rPr>
                <w:sz w:val="21"/>
              </w:rPr>
              <w:t>1、科技攻关项目全生命周期库（申报、评审、立项、合同、评估、结项）</w:t>
            </w:r>
          </w:p>
          <w:p>
            <w:pPr>
              <w:pStyle w:val="null3"/>
              <w:jc w:val="both"/>
            </w:pPr>
            <w:r>
              <w:rPr>
                <w:sz w:val="21"/>
              </w:rPr>
              <w:t>围绕</w:t>
            </w:r>
            <w:r>
              <w:rPr>
                <w:sz w:val="21"/>
              </w:rPr>
              <w:t>“自主攻关项目、揭榜挂帅项目”两条主线，建设从“征集/发布—企业申报—立项—合同与中期（揭榜）—结项评估—结果发布”的全生命周期数据域，实现项目申报与评审过程的标准化、可追溯和可统计。</w:t>
            </w:r>
          </w:p>
          <w:p>
            <w:pPr>
              <w:pStyle w:val="null3"/>
              <w:jc w:val="both"/>
            </w:pPr>
            <w:r>
              <w:rPr>
                <w:sz w:val="21"/>
              </w:rPr>
              <w:t>（</w:t>
            </w:r>
            <w:r>
              <w:rPr>
                <w:sz w:val="21"/>
              </w:rPr>
              <w:t xml:space="preserve">1）项目目录与批次管理  </w:t>
            </w:r>
          </w:p>
          <w:p>
            <w:pPr>
              <w:pStyle w:val="null3"/>
              <w:jc w:val="both"/>
            </w:pPr>
            <w:r>
              <w:rPr>
                <w:sz w:val="21"/>
              </w:rPr>
              <w:t>批次与年度：支持按年度</w:t>
            </w:r>
            <w:r>
              <w:rPr>
                <w:sz w:val="21"/>
              </w:rPr>
              <w:t xml:space="preserve">/批次创建攻关项目目录，设置项目类别（自主攻关/揭榜挂帅）、业务口径与开放窗口。  </w:t>
            </w:r>
          </w:p>
          <w:p>
            <w:pPr>
              <w:pStyle w:val="null3"/>
              <w:jc w:val="both"/>
            </w:pPr>
            <w:r>
              <w:rPr>
                <w:sz w:val="21"/>
              </w:rPr>
              <w:t>清单与明细：项目清单统一管理，项目标识、受理单位、所属领域、关键技术方向、实施周期、联系人等字段结构化。</w:t>
            </w:r>
            <w:r>
              <w:rPr>
                <w:sz w:val="21"/>
              </w:rPr>
              <w:t xml:space="preserve">  </w:t>
            </w:r>
          </w:p>
          <w:p>
            <w:pPr>
              <w:pStyle w:val="null3"/>
              <w:jc w:val="both"/>
            </w:pPr>
            <w:r>
              <w:rPr>
                <w:sz w:val="21"/>
              </w:rPr>
              <w:t>状态看板：项目状态（征集</w:t>
            </w:r>
            <w:r>
              <w:rPr>
                <w:sz w:val="21"/>
              </w:rPr>
              <w:t>/受理/评审中/立项/合同/中期/结项/归档）可视化看板，按批次或单位筛选查看。</w:t>
            </w:r>
          </w:p>
          <w:p>
            <w:pPr>
              <w:pStyle w:val="null3"/>
              <w:jc w:val="both"/>
            </w:pPr>
            <w:r>
              <w:rPr>
                <w:sz w:val="21"/>
              </w:rPr>
              <w:t>（</w:t>
            </w:r>
            <w:r>
              <w:rPr>
                <w:sz w:val="21"/>
              </w:rPr>
              <w:t xml:space="preserve">2）自主攻关流程  </w:t>
            </w:r>
          </w:p>
          <w:p>
            <w:pPr>
              <w:pStyle w:val="null3"/>
              <w:jc w:val="both"/>
            </w:pPr>
            <w:r>
              <w:rPr>
                <w:sz w:val="21"/>
              </w:rPr>
              <w:t>征集通知：支持拟稿、范围选择、附件（指引模板）上传与定时发布；通知与站内消息联动。</w:t>
            </w:r>
            <w:r>
              <w:rPr>
                <w:sz w:val="21"/>
              </w:rPr>
              <w:t xml:space="preserve">  </w:t>
            </w:r>
          </w:p>
          <w:p>
            <w:pPr>
              <w:pStyle w:val="null3"/>
              <w:jc w:val="both"/>
            </w:pPr>
            <w:r>
              <w:rPr>
                <w:sz w:val="21"/>
              </w:rPr>
              <w:t>企业申报：企业在线填报项目申报表（含目标、技术路线、里程碑、经费预算、团队构成、知识产权与成果转化路径等），提交附件（</w:t>
            </w:r>
            <w:r>
              <w:rPr>
                <w:sz w:val="21"/>
              </w:rPr>
              <w:t xml:space="preserve">PDF/图片/表格），系统校验必填项与格式。  </w:t>
            </w:r>
          </w:p>
          <w:p>
            <w:pPr>
              <w:pStyle w:val="null3"/>
              <w:jc w:val="both"/>
            </w:pPr>
            <w:r>
              <w:rPr>
                <w:sz w:val="21"/>
              </w:rPr>
              <w:t>审核与立项：国创院进行形式审查</w:t>
            </w:r>
            <w:r>
              <w:rPr>
                <w:sz w:val="21"/>
              </w:rPr>
              <w:t xml:space="preserve">/合规校验（资料完整度、资格条件、行业合规），支持退回修改；通过后生成“立项通知”，自动变更项目状态并归档立项材料。  </w:t>
            </w:r>
          </w:p>
          <w:p>
            <w:pPr>
              <w:pStyle w:val="null3"/>
              <w:jc w:val="both"/>
            </w:pPr>
            <w:r>
              <w:rPr>
                <w:sz w:val="21"/>
              </w:rPr>
              <w:t>结项评估：按计划节点触发结项材料提交提醒，企业提交结项报告与佐证；国创院组织评审并出具评审意见；结果在系统内归档并可选公示。</w:t>
            </w:r>
          </w:p>
          <w:p>
            <w:pPr>
              <w:pStyle w:val="null3"/>
              <w:jc w:val="both"/>
            </w:pPr>
            <w:r>
              <w:rPr>
                <w:sz w:val="21"/>
              </w:rPr>
              <w:t>（</w:t>
            </w:r>
            <w:r>
              <w:rPr>
                <w:sz w:val="21"/>
              </w:rPr>
              <w:t>3）揭榜挂帅流程</w:t>
            </w:r>
          </w:p>
          <w:p>
            <w:pPr>
              <w:pStyle w:val="null3"/>
              <w:jc w:val="both"/>
            </w:pPr>
            <w:r>
              <w:rPr>
                <w:sz w:val="21"/>
              </w:rPr>
              <w:t>榜单征集：收集企业榜单建议，支持多企业、多方向；国创院汇总后发布正式榜单及申报通知。</w:t>
            </w:r>
            <w:r>
              <w:rPr>
                <w:sz w:val="21"/>
              </w:rPr>
              <w:t xml:space="preserve">  </w:t>
            </w:r>
          </w:p>
          <w:p>
            <w:pPr>
              <w:pStyle w:val="null3"/>
              <w:jc w:val="both"/>
            </w:pPr>
            <w:r>
              <w:rPr>
                <w:sz w:val="21"/>
              </w:rPr>
              <w:t>企业申报：针对榜单条目进行定向申报，填报内容包含技术路线、解决方案、阶段成果与风险评估。</w:t>
            </w:r>
            <w:r>
              <w:rPr>
                <w:sz w:val="21"/>
              </w:rPr>
              <w:t xml:space="preserve">  </w:t>
            </w:r>
          </w:p>
          <w:p>
            <w:pPr>
              <w:pStyle w:val="null3"/>
              <w:jc w:val="both"/>
            </w:pPr>
            <w:r>
              <w:rPr>
                <w:sz w:val="21"/>
              </w:rPr>
              <w:t>立项与合同：评审通过后发出立项通知；企业提交合同书（电子版），系统完成合同比对与要素提取（合同编号、金额、起止时间、里程碑、付款</w:t>
            </w:r>
            <w:r>
              <w:rPr>
                <w:sz w:val="21"/>
              </w:rPr>
              <w:t xml:space="preserve">/拨付条件等），合同通过审核后进入中期阶段。  </w:t>
            </w:r>
          </w:p>
          <w:p>
            <w:pPr>
              <w:pStyle w:val="null3"/>
              <w:jc w:val="both"/>
            </w:pPr>
            <w:r>
              <w:rPr>
                <w:sz w:val="21"/>
              </w:rPr>
              <w:t>中期评估：按时间窗提交中期材料（进展、问题与对策、经费执行、阶段成果），国创院评审并出具结论（通过</w:t>
            </w:r>
            <w:r>
              <w:rPr>
                <w:sz w:val="21"/>
              </w:rPr>
              <w:t xml:space="preserve">/限期整改/不通过）。  </w:t>
            </w:r>
          </w:p>
          <w:p>
            <w:pPr>
              <w:pStyle w:val="null3"/>
              <w:jc w:val="both"/>
            </w:pPr>
            <w:r>
              <w:rPr>
                <w:sz w:val="21"/>
              </w:rPr>
              <w:t>结项评估与结果发布：提交结项材料，专家评审与结论归档；可在对外库（</w:t>
            </w:r>
            <w:r>
              <w:rPr>
                <w:sz w:val="21"/>
              </w:rPr>
              <w:t>ILF24）进行公开展示（仅公开字段）。</w:t>
            </w:r>
          </w:p>
          <w:p>
            <w:pPr>
              <w:pStyle w:val="null3"/>
              <w:jc w:val="both"/>
            </w:pPr>
            <w:r>
              <w:rPr>
                <w:sz w:val="21"/>
              </w:rPr>
              <w:t>（</w:t>
            </w:r>
            <w:r>
              <w:rPr>
                <w:sz w:val="21"/>
              </w:rPr>
              <w:t xml:space="preserve">4）里程碑与进度管理  </w:t>
            </w:r>
          </w:p>
          <w:p>
            <w:pPr>
              <w:pStyle w:val="null3"/>
              <w:jc w:val="both"/>
            </w:pPr>
            <w:r>
              <w:rPr>
                <w:sz w:val="21"/>
              </w:rPr>
              <w:t>里程碑清单：立项</w:t>
            </w:r>
            <w:r>
              <w:rPr>
                <w:sz w:val="21"/>
              </w:rPr>
              <w:t xml:space="preserve">/合同导入的里程碑自动创建；支持新增、调整与延期申请。  </w:t>
            </w:r>
          </w:p>
          <w:p>
            <w:pPr>
              <w:pStyle w:val="null3"/>
              <w:jc w:val="both"/>
            </w:pPr>
            <w:r>
              <w:rPr>
                <w:sz w:val="21"/>
              </w:rPr>
              <w:t>进度填报：企业定期填报进度，上传阶段性成果与现场记录；进度偏差预警（阈值可配）。</w:t>
            </w:r>
            <w:r>
              <w:rPr>
                <w:sz w:val="21"/>
              </w:rPr>
              <w:t xml:space="preserve">  </w:t>
            </w:r>
          </w:p>
          <w:p>
            <w:pPr>
              <w:pStyle w:val="null3"/>
              <w:jc w:val="both"/>
            </w:pPr>
            <w:r>
              <w:rPr>
                <w:sz w:val="21"/>
              </w:rPr>
              <w:t>（</w:t>
            </w:r>
            <w:r>
              <w:rPr>
                <w:sz w:val="21"/>
              </w:rPr>
              <w:t xml:space="preserve">5）角色与权限  </w:t>
            </w:r>
          </w:p>
          <w:p>
            <w:pPr>
              <w:pStyle w:val="null3"/>
              <w:jc w:val="both"/>
            </w:pPr>
            <w:r>
              <w:rPr>
                <w:sz w:val="21"/>
              </w:rPr>
              <w:t>企业管理员：本企业项目申报、材料提交、进度填报、里程碑与合同资料维护。</w:t>
            </w:r>
            <w:r>
              <w:rPr>
                <w:sz w:val="21"/>
              </w:rPr>
              <w:t xml:space="preserve">  </w:t>
            </w:r>
          </w:p>
          <w:p>
            <w:pPr>
              <w:pStyle w:val="null3"/>
              <w:jc w:val="both"/>
            </w:pPr>
            <w:r>
              <w:rPr>
                <w:sz w:val="21"/>
              </w:rPr>
              <w:t>国创院管理员：通知发布、受理审核、评审组织、结果确认与归档、对外发布控制。</w:t>
            </w:r>
            <w:r>
              <w:rPr>
                <w:sz w:val="21"/>
              </w:rPr>
              <w:t xml:space="preserve">  </w:t>
            </w:r>
          </w:p>
          <w:p>
            <w:pPr>
              <w:pStyle w:val="null3"/>
              <w:jc w:val="both"/>
            </w:pPr>
            <w:r>
              <w:rPr>
                <w:sz w:val="21"/>
              </w:rPr>
              <w:t>评审专家（只读</w:t>
            </w:r>
            <w:r>
              <w:rPr>
                <w:sz w:val="21"/>
              </w:rPr>
              <w:t>/评审权限）：评审任务查看、在线评分与意见提交。</w:t>
            </w:r>
          </w:p>
          <w:p>
            <w:pPr>
              <w:pStyle w:val="null3"/>
              <w:jc w:val="both"/>
            </w:pPr>
            <w:r>
              <w:rPr>
                <w:sz w:val="21"/>
              </w:rPr>
              <w:t>公开访问（仅</w:t>
            </w:r>
            <w:r>
              <w:rPr>
                <w:sz w:val="21"/>
              </w:rPr>
              <w:t>ILF24）：仅对外展示设置为公开的字段。</w:t>
            </w:r>
          </w:p>
          <w:p>
            <w:pPr>
              <w:pStyle w:val="null3"/>
              <w:jc w:val="both"/>
            </w:pPr>
            <w:r>
              <w:rPr>
                <w:sz w:val="21"/>
              </w:rPr>
              <w:t>实现规则：时间窗校验：申报</w:t>
            </w:r>
            <w:r>
              <w:rPr>
                <w:sz w:val="21"/>
              </w:rPr>
              <w:t>/中期/结项均受时间窗约束，超期禁止提交并给出提示；可配置“宽限期”；完整性校验：申报材料与合同要素校验，缺失项禁止流转；附件大小/格式控制；评审留痕：评审过程需留痕（评分、意见、时间）；结果联动：结项通过后方可触发成果库入库入口（关联ILF26）。安全导出：导出资料带水印与审计日志，防止泄露；公开发布前执行脱敏。</w:t>
            </w:r>
          </w:p>
          <w:p>
            <w:pPr>
              <w:pStyle w:val="null3"/>
              <w:jc w:val="both"/>
            </w:pPr>
            <w:r>
              <w:rPr>
                <w:sz w:val="21"/>
              </w:rPr>
              <w:t>2、对外榜单与成果公开发布库（可公开项目信息与检索）</w:t>
            </w:r>
          </w:p>
          <w:p>
            <w:pPr>
              <w:pStyle w:val="null3"/>
              <w:jc w:val="both"/>
            </w:pPr>
            <w:r>
              <w:rPr>
                <w:sz w:val="21"/>
              </w:rPr>
              <w:t>建设面向公众的科技攻关项目对外展示库，用于发布</w:t>
            </w:r>
            <w:r>
              <w:rPr>
                <w:sz w:val="21"/>
              </w:rPr>
              <w:t>“榜单、立项项目与公开成果”信息，提供多维检索与友好呈现，服务“找成果、找企业、找导师、找高校、找方向”的外部访问场景。</w:t>
            </w:r>
          </w:p>
          <w:p>
            <w:pPr>
              <w:pStyle w:val="null3"/>
              <w:jc w:val="both"/>
            </w:pPr>
            <w:r>
              <w:rPr>
                <w:sz w:val="21"/>
              </w:rPr>
              <w:t>（</w:t>
            </w:r>
            <w:r>
              <w:rPr>
                <w:sz w:val="21"/>
              </w:rPr>
              <w:t xml:space="preserve">1）公开对象与字段治理  </w:t>
            </w:r>
          </w:p>
          <w:p>
            <w:pPr>
              <w:pStyle w:val="null3"/>
              <w:jc w:val="both"/>
            </w:pPr>
            <w:r>
              <w:rPr>
                <w:sz w:val="21"/>
              </w:rPr>
              <w:t>公开对象：已立项可公开的攻关项目（含揭榜挂帅）、公布的榜单条目、对外发布的结项成果。</w:t>
            </w:r>
            <w:r>
              <w:rPr>
                <w:sz w:val="21"/>
              </w:rPr>
              <w:t xml:space="preserve">  </w:t>
            </w:r>
          </w:p>
          <w:p>
            <w:pPr>
              <w:pStyle w:val="null3"/>
              <w:jc w:val="both"/>
            </w:pPr>
            <w:r>
              <w:rPr>
                <w:sz w:val="21"/>
              </w:rPr>
              <w:t>字段治理：为每类对象定义公开字段集（如项目名称、技术方向、牵头单位、合作单位、起止时间、阶段成果简介、状态），隐私与涉密字段不对外展示。</w:t>
            </w:r>
            <w:r>
              <w:rPr>
                <w:sz w:val="21"/>
              </w:rPr>
              <w:t xml:space="preserve">  </w:t>
            </w:r>
          </w:p>
          <w:p>
            <w:pPr>
              <w:pStyle w:val="null3"/>
              <w:jc w:val="both"/>
            </w:pPr>
            <w:r>
              <w:rPr>
                <w:sz w:val="21"/>
              </w:rPr>
              <w:t>审核发布：国创院统一审核公开内容，支持拟稿、预览、定时发布与撤回。</w:t>
            </w:r>
          </w:p>
          <w:p>
            <w:pPr>
              <w:pStyle w:val="null3"/>
              <w:jc w:val="both"/>
            </w:pPr>
            <w:r>
              <w:rPr>
                <w:sz w:val="21"/>
              </w:rPr>
              <w:t>（</w:t>
            </w:r>
            <w:r>
              <w:rPr>
                <w:sz w:val="21"/>
              </w:rPr>
              <w:t xml:space="preserve">2）多维检索与结果呈现  </w:t>
            </w:r>
          </w:p>
          <w:p>
            <w:pPr>
              <w:pStyle w:val="null3"/>
              <w:jc w:val="both"/>
            </w:pPr>
            <w:r>
              <w:rPr>
                <w:sz w:val="21"/>
              </w:rPr>
              <w:t>检索维度：关键词、项目类别（自主攻关</w:t>
            </w:r>
            <w:r>
              <w:rPr>
                <w:sz w:val="21"/>
              </w:rPr>
              <w:t xml:space="preserve">/揭榜挂帅）、技术方向/产业领域、高校/企业、年度/批次、项目状态等。  </w:t>
            </w:r>
          </w:p>
          <w:p>
            <w:pPr>
              <w:pStyle w:val="null3"/>
              <w:jc w:val="both"/>
            </w:pPr>
            <w:r>
              <w:rPr>
                <w:sz w:val="21"/>
              </w:rPr>
              <w:t>结果呈现：卡片</w:t>
            </w:r>
            <w:r>
              <w:rPr>
                <w:sz w:val="21"/>
              </w:rPr>
              <w:t xml:space="preserve">/列表两种模式，支持排序（最新/最热/相关度）、筛选联动、收藏与分享链接。  </w:t>
            </w:r>
          </w:p>
          <w:p>
            <w:pPr>
              <w:pStyle w:val="null3"/>
              <w:jc w:val="both"/>
            </w:pPr>
            <w:r>
              <w:rPr>
                <w:sz w:val="21"/>
              </w:rPr>
              <w:t>详情页：项目概览、技术方向、参与单位、阶段成果概要、相关成果链接（与成果库映射），仅展示国创院官方联系渠道。</w:t>
            </w:r>
          </w:p>
          <w:p>
            <w:pPr>
              <w:pStyle w:val="null3"/>
              <w:jc w:val="both"/>
            </w:pPr>
            <w:r>
              <w:rPr>
                <w:sz w:val="21"/>
              </w:rPr>
              <w:t>（</w:t>
            </w:r>
            <w:r>
              <w:rPr>
                <w:sz w:val="21"/>
              </w:rPr>
              <w:t xml:space="preserve">3）榜单专区  </w:t>
            </w:r>
          </w:p>
          <w:p>
            <w:pPr>
              <w:pStyle w:val="null3"/>
              <w:jc w:val="both"/>
            </w:pPr>
            <w:r>
              <w:rPr>
                <w:sz w:val="21"/>
              </w:rPr>
              <w:t>榜单索引：按领域与年份展示榜单条目；关联对应申报入口与时间窗说明（到期自动隐藏入口）。</w:t>
            </w:r>
            <w:r>
              <w:rPr>
                <w:sz w:val="21"/>
              </w:rPr>
              <w:t xml:space="preserve">  </w:t>
            </w:r>
          </w:p>
          <w:p>
            <w:pPr>
              <w:pStyle w:val="null3"/>
              <w:jc w:val="both"/>
            </w:pPr>
            <w:r>
              <w:rPr>
                <w:sz w:val="21"/>
              </w:rPr>
              <w:t>成果集合：对外展示已公开的结项成果。</w:t>
            </w:r>
          </w:p>
          <w:p>
            <w:pPr>
              <w:pStyle w:val="null3"/>
              <w:jc w:val="both"/>
            </w:pPr>
            <w:r>
              <w:rPr>
                <w:sz w:val="21"/>
              </w:rPr>
              <w:t>实现规则：合规与脱敏：严格按照</w:t>
            </w:r>
            <w:r>
              <w:rPr>
                <w:sz w:val="21"/>
              </w:rPr>
              <w:t xml:space="preserve">“公开字段集”发布；联系方式仅展示国创院，一律不直接暴露企业或个人联系方式； 版权声明：对外页面统一版权与使用说明，禁止二次转载的提醒。  </w:t>
            </w:r>
          </w:p>
          <w:p>
            <w:pPr>
              <w:pStyle w:val="null3"/>
              <w:jc w:val="both"/>
            </w:pPr>
            <w:r>
              <w:rPr>
                <w:sz w:val="21"/>
              </w:rPr>
              <w:t>3、</w:t>
            </w:r>
            <w:r>
              <w:rPr>
                <w:sz w:val="21"/>
                <w:b/>
              </w:rPr>
              <w:t>（</w:t>
            </w:r>
            <w:r>
              <w:rPr>
                <w:sz w:val="21"/>
                <w:b/>
              </w:rPr>
              <w:t>演示内容</w:t>
            </w:r>
            <w:r>
              <w:rPr>
                <w:sz w:val="21"/>
                <w:b/>
              </w:rPr>
              <w:t>）</w:t>
            </w:r>
            <w:r>
              <w:rPr>
                <w:sz w:val="21"/>
              </w:rPr>
              <w:t>科技攻关项目专家评审与过程文档库（评审专家、意见、纪要与归档）</w:t>
            </w:r>
          </w:p>
          <w:p>
            <w:pPr>
              <w:pStyle w:val="null3"/>
              <w:jc w:val="both"/>
            </w:pPr>
            <w:r>
              <w:rPr>
                <w:sz w:val="21"/>
              </w:rPr>
              <w:t>沉淀评审专家信息、评审任务、评分与意见、过程文档与附件归档，确保评审闭环与可追溯。</w:t>
            </w:r>
          </w:p>
          <w:p>
            <w:pPr>
              <w:pStyle w:val="null3"/>
              <w:jc w:val="both"/>
            </w:pPr>
            <w:r>
              <w:rPr>
                <w:sz w:val="21"/>
              </w:rPr>
              <w:t>（</w:t>
            </w:r>
            <w:r>
              <w:rPr>
                <w:sz w:val="21"/>
              </w:rPr>
              <w:t>1）专家库</w:t>
            </w:r>
          </w:p>
          <w:p>
            <w:pPr>
              <w:pStyle w:val="null3"/>
              <w:jc w:val="both"/>
            </w:pPr>
            <w:r>
              <w:rPr>
                <w:sz w:val="21"/>
              </w:rPr>
              <w:t>专家信息：姓名、单位</w:t>
            </w:r>
            <w:r>
              <w:rPr>
                <w:sz w:val="21"/>
              </w:rPr>
              <w:t xml:space="preserve">/职称/研究方向、所在领域、合作历史、回避关系（与申报单位/成员回避）。  </w:t>
            </w:r>
          </w:p>
          <w:p>
            <w:pPr>
              <w:pStyle w:val="null3"/>
              <w:jc w:val="both"/>
            </w:pPr>
            <w:r>
              <w:rPr>
                <w:sz w:val="21"/>
              </w:rPr>
              <w:t>任职记录：历次参与评审的项目与结果、意见摘要与贡献度评价，用于后续任务派发与质量控制。</w:t>
            </w:r>
            <w:r>
              <w:rPr>
                <w:sz w:val="21"/>
              </w:rPr>
              <w:t xml:space="preserve">  </w:t>
            </w:r>
          </w:p>
          <w:p>
            <w:pPr>
              <w:pStyle w:val="null3"/>
              <w:jc w:val="both"/>
            </w:pPr>
            <w:r>
              <w:rPr>
                <w:sz w:val="21"/>
              </w:rPr>
              <w:t>可用性：评审可用时段与邀请状态，避免冲突派单。</w:t>
            </w:r>
          </w:p>
          <w:p>
            <w:pPr>
              <w:pStyle w:val="null3"/>
              <w:jc w:val="both"/>
            </w:pPr>
            <w:r>
              <w:rPr>
                <w:sz w:val="21"/>
              </w:rPr>
              <w:t>（</w:t>
            </w:r>
            <w:r>
              <w:rPr>
                <w:sz w:val="21"/>
              </w:rPr>
              <w:t xml:space="preserve">2）评审任务与在线评分  </w:t>
            </w:r>
          </w:p>
          <w:p>
            <w:pPr>
              <w:pStyle w:val="null3"/>
              <w:jc w:val="both"/>
            </w:pPr>
            <w:r>
              <w:rPr>
                <w:sz w:val="21"/>
              </w:rPr>
              <w:t>任务分配：按项目类别</w:t>
            </w:r>
            <w:r>
              <w:rPr>
                <w:sz w:val="21"/>
              </w:rPr>
              <w:t xml:space="preserve">/技术方向自动或手动派发评审任务，支持一次派多位专家。  </w:t>
            </w:r>
          </w:p>
          <w:p>
            <w:pPr>
              <w:pStyle w:val="null3"/>
              <w:jc w:val="both"/>
            </w:pPr>
            <w:r>
              <w:rPr>
                <w:sz w:val="21"/>
              </w:rPr>
              <w:t>材料查看：在线查看申报材料、合同要素、中期</w:t>
            </w:r>
            <w:r>
              <w:rPr>
                <w:sz w:val="21"/>
              </w:rPr>
              <w:t xml:space="preserve">/结项材料，支持批注与对比（版本差异提示）。  </w:t>
            </w:r>
          </w:p>
          <w:p>
            <w:pPr>
              <w:pStyle w:val="null3"/>
              <w:jc w:val="both"/>
            </w:pPr>
            <w:r>
              <w:rPr>
                <w:sz w:val="21"/>
              </w:rPr>
              <w:t>评分与意见：评分量表配置（权重可配）、文字意见、附件上传；支持打回修改。</w:t>
            </w:r>
            <w:r>
              <w:rPr>
                <w:sz w:val="21"/>
              </w:rPr>
              <w:t xml:space="preserve">  </w:t>
            </w:r>
          </w:p>
          <w:p>
            <w:pPr>
              <w:pStyle w:val="null3"/>
              <w:jc w:val="both"/>
            </w:pPr>
            <w:r>
              <w:rPr>
                <w:sz w:val="21"/>
              </w:rPr>
              <w:t>结果汇总：自动计算加权得分生成评审汇总报告并入库。</w:t>
            </w:r>
          </w:p>
          <w:p>
            <w:pPr>
              <w:pStyle w:val="null3"/>
              <w:jc w:val="both"/>
            </w:pPr>
            <w:r>
              <w:rPr>
                <w:sz w:val="21"/>
              </w:rPr>
              <w:t>（</w:t>
            </w:r>
            <w:r>
              <w:rPr>
                <w:sz w:val="21"/>
              </w:rPr>
              <w:t xml:space="preserve">3）回避与保密  </w:t>
            </w:r>
          </w:p>
          <w:p>
            <w:pPr>
              <w:pStyle w:val="null3"/>
              <w:jc w:val="both"/>
            </w:pPr>
            <w:r>
              <w:rPr>
                <w:sz w:val="21"/>
              </w:rPr>
              <w:t>回避规则：专家与申报单位或成员存在利益关系时自动标记回避，不派发任务；人工强制派发需领导审批与留痕。</w:t>
            </w:r>
            <w:r>
              <w:rPr>
                <w:sz w:val="21"/>
              </w:rPr>
              <w:t xml:space="preserve">  </w:t>
            </w:r>
          </w:p>
          <w:p>
            <w:pPr>
              <w:pStyle w:val="null3"/>
              <w:jc w:val="both"/>
            </w:pPr>
            <w:r>
              <w:rPr>
                <w:sz w:val="21"/>
              </w:rPr>
              <w:t>实现规则：评审全留痕：从派发</w:t>
            </w:r>
            <w:r>
              <w:rPr>
                <w:sz w:val="21"/>
              </w:rPr>
              <w:t>→查看→评分→合议→结果输出全链路留痕；合规归档：纪要与评审报告为结项与立项的必备材料；缺失不可流转。权限边界：专家仅可访问本人被派发的项目材料；国创院管理员可全域查看；所有导出强制水印与日志。</w:t>
            </w:r>
          </w:p>
          <w:p>
            <w:pPr>
              <w:pStyle w:val="null3"/>
              <w:jc w:val="both"/>
            </w:pPr>
            <w:r>
              <w:rPr>
                <w:sz w:val="21"/>
                <w:b/>
              </w:rPr>
              <w:t>四、成果转化与创新创业</w:t>
            </w:r>
          </w:p>
          <w:p>
            <w:pPr>
              <w:pStyle w:val="null3"/>
              <w:jc w:val="both"/>
            </w:pPr>
            <w:r>
              <w:rPr>
                <w:sz w:val="21"/>
              </w:rPr>
              <w:t>1、科技成果与供需对接库（成果信息、权属、评估供需对接）</w:t>
            </w:r>
          </w:p>
          <w:p>
            <w:pPr>
              <w:pStyle w:val="null3"/>
              <w:jc w:val="both"/>
            </w:pPr>
            <w:r>
              <w:rPr>
                <w:sz w:val="21"/>
              </w:rPr>
              <w:t>沉淀创新创业生态的</w:t>
            </w:r>
            <w:r>
              <w:rPr>
                <w:sz w:val="21"/>
              </w:rPr>
              <w:t>“人-政策-活动-服务”资源池，支撑项目快速匹配资源、在线报名与服务回执闭环，提升生态运营与活动组织效率。</w:t>
            </w:r>
          </w:p>
          <w:p>
            <w:pPr>
              <w:pStyle w:val="null3"/>
              <w:jc w:val="both"/>
            </w:pPr>
            <w:r>
              <w:rPr>
                <w:sz w:val="21"/>
              </w:rPr>
              <w:t>（</w:t>
            </w:r>
            <w:r>
              <w:rPr>
                <w:sz w:val="21"/>
              </w:rPr>
              <w:t>1）导师与顾问资源</w:t>
            </w:r>
          </w:p>
          <w:p>
            <w:pPr>
              <w:pStyle w:val="null3"/>
              <w:jc w:val="both"/>
            </w:pPr>
            <w:r>
              <w:rPr>
                <w:sz w:val="21"/>
              </w:rPr>
              <w:t>导师库：行业导师、投融资导师、法务</w:t>
            </w:r>
            <w:r>
              <w:rPr>
                <w:sz w:val="21"/>
              </w:rPr>
              <w:t xml:space="preserve">/财税/知识产权等专业导师的信息（领域、擅长、历史服务评价）。  </w:t>
            </w:r>
          </w:p>
          <w:p>
            <w:pPr>
              <w:pStyle w:val="null3"/>
              <w:jc w:val="both"/>
            </w:pPr>
            <w:r>
              <w:rPr>
                <w:sz w:val="21"/>
              </w:rPr>
              <w:t>对接机制：项目可发起导师约见申请，导师确认后生成辅导记录，沉淀建议与行动项。</w:t>
            </w:r>
          </w:p>
          <w:p>
            <w:pPr>
              <w:pStyle w:val="null3"/>
              <w:jc w:val="both"/>
            </w:pPr>
            <w:r>
              <w:rPr>
                <w:sz w:val="21"/>
              </w:rPr>
              <w:t>（</w:t>
            </w:r>
            <w:r>
              <w:rPr>
                <w:sz w:val="21"/>
              </w:rPr>
              <w:t xml:space="preserve">2）政策与活动  </w:t>
            </w:r>
          </w:p>
          <w:p>
            <w:pPr>
              <w:pStyle w:val="null3"/>
              <w:jc w:val="both"/>
            </w:pPr>
            <w:r>
              <w:rPr>
                <w:sz w:val="21"/>
              </w:rPr>
              <w:t>政策库：国家</w:t>
            </w:r>
            <w:r>
              <w:rPr>
                <w:sz w:val="21"/>
              </w:rPr>
              <w:t>/省市/园区层面政策条款的摘要、适用对象、申请时间窗口、所需材料清单，支持订阅提醒。</w:t>
            </w:r>
          </w:p>
          <w:p>
            <w:pPr>
              <w:pStyle w:val="null3"/>
              <w:jc w:val="both"/>
            </w:pPr>
            <w:r>
              <w:rPr>
                <w:sz w:val="21"/>
              </w:rPr>
              <w:t>活动库：路演、沙龙、培训、对接会可导入参会回执与点评。</w:t>
            </w:r>
          </w:p>
          <w:p>
            <w:pPr>
              <w:pStyle w:val="null3"/>
              <w:jc w:val="both"/>
            </w:pPr>
            <w:r>
              <w:rPr>
                <w:sz w:val="21"/>
              </w:rPr>
              <w:t>（</w:t>
            </w:r>
            <w:r>
              <w:rPr>
                <w:sz w:val="21"/>
              </w:rPr>
              <w:t>3）智能匹配</w:t>
            </w:r>
          </w:p>
          <w:p>
            <w:pPr>
              <w:pStyle w:val="null3"/>
              <w:jc w:val="both"/>
            </w:pPr>
            <w:r>
              <w:rPr>
                <w:sz w:val="21"/>
              </w:rPr>
              <w:t>智能匹配：项目与资源方均打标签（行业、阶段、需求</w:t>
            </w:r>
            <w:r>
              <w:rPr>
                <w:sz w:val="21"/>
              </w:rPr>
              <w:t>/供给特征），便于智能匹配政策、活动、导师/顾问与服务条目。</w:t>
            </w:r>
          </w:p>
          <w:p>
            <w:pPr>
              <w:pStyle w:val="null3"/>
              <w:jc w:val="both"/>
            </w:pPr>
            <w:r>
              <w:rPr>
                <w:sz w:val="21"/>
              </w:rPr>
              <w:t>数据开放：政策条款可公开，导师</w:t>
            </w:r>
            <w:r>
              <w:rPr>
                <w:sz w:val="21"/>
              </w:rPr>
              <w:t xml:space="preserve">/服务商联系方式仅对有权限的项目方展示，防止骚扰。  </w:t>
            </w:r>
          </w:p>
          <w:p>
            <w:pPr>
              <w:pStyle w:val="null3"/>
              <w:jc w:val="both"/>
            </w:pPr>
            <w:r>
              <w:rPr>
                <w:sz w:val="21"/>
              </w:rPr>
              <w:t>2、</w:t>
            </w:r>
            <w:r>
              <w:rPr>
                <w:sz w:val="21"/>
                <w:b/>
              </w:rPr>
              <w:t>（</w:t>
            </w:r>
            <w:r>
              <w:rPr>
                <w:sz w:val="21"/>
                <w:b/>
              </w:rPr>
              <w:t>演示内容</w:t>
            </w:r>
            <w:r>
              <w:rPr>
                <w:sz w:val="21"/>
                <w:b/>
              </w:rPr>
              <w:t>）</w:t>
            </w:r>
            <w:r>
              <w:rPr>
                <w:sz w:val="21"/>
              </w:rPr>
              <w:t>成果转化过程库（对接、意向、合同、拨付、实施进度）成果转化全流程业务跟踪</w:t>
            </w:r>
          </w:p>
          <w:p>
            <w:pPr>
              <w:pStyle w:val="null3"/>
              <w:jc w:val="both"/>
            </w:pPr>
            <w:r>
              <w:rPr>
                <w:sz w:val="21"/>
              </w:rPr>
              <w:t>将成果从</w:t>
            </w:r>
            <w:r>
              <w:rPr>
                <w:sz w:val="21"/>
              </w:rPr>
              <w:t>“意向—商务谈判—合同签署—经费拨付—实施落地—绩效验收”的全过程进行电子化管理，形成可追溯的转化闭环台账，提升推进效率与决策透明度。</w:t>
            </w:r>
          </w:p>
          <w:p>
            <w:pPr>
              <w:pStyle w:val="null3"/>
              <w:jc w:val="both"/>
            </w:pPr>
            <w:r>
              <w:rPr>
                <w:sz w:val="21"/>
              </w:rPr>
              <w:t>（</w:t>
            </w:r>
            <w:r>
              <w:rPr>
                <w:sz w:val="21"/>
              </w:rPr>
              <w:t xml:space="preserve">1）流程主线与阶段节点  </w:t>
            </w:r>
          </w:p>
          <w:p>
            <w:pPr>
              <w:pStyle w:val="null3"/>
              <w:jc w:val="both"/>
            </w:pPr>
            <w:r>
              <w:rPr>
                <w:sz w:val="21"/>
              </w:rPr>
              <w:t>意向阶段：对接发起、双方初步意向记录、保密协议（</w:t>
            </w:r>
            <w:r>
              <w:rPr>
                <w:sz w:val="21"/>
              </w:rPr>
              <w:t xml:space="preserve">NDA）存档。  </w:t>
            </w:r>
          </w:p>
          <w:p>
            <w:pPr>
              <w:pStyle w:val="null3"/>
              <w:jc w:val="both"/>
            </w:pPr>
            <w:r>
              <w:rPr>
                <w:sz w:val="21"/>
              </w:rPr>
              <w:t>商务谈判：核心条款（许可方式、范围、期限、费用模式、里程碑考核、违约与保密条款）与谈判往返版本管理。</w:t>
            </w:r>
            <w:r>
              <w:rPr>
                <w:sz w:val="21"/>
              </w:rPr>
              <w:t xml:space="preserve">  </w:t>
            </w:r>
          </w:p>
          <w:p>
            <w:pPr>
              <w:pStyle w:val="null3"/>
              <w:jc w:val="both"/>
            </w:pPr>
            <w:r>
              <w:rPr>
                <w:sz w:val="21"/>
              </w:rPr>
              <w:t>合同与拨付：合同审批与签署（支持电子签章对接预留），拨付计划（节点、金额、条件）与拨付凭证归档。</w:t>
            </w:r>
          </w:p>
          <w:p>
            <w:pPr>
              <w:pStyle w:val="null3"/>
              <w:jc w:val="both"/>
            </w:pPr>
            <w:r>
              <w:rPr>
                <w:sz w:val="21"/>
              </w:rPr>
              <w:t>实施与落地：阶段性成果验收单上传管理。</w:t>
            </w:r>
          </w:p>
          <w:p>
            <w:pPr>
              <w:pStyle w:val="null3"/>
              <w:jc w:val="both"/>
            </w:pPr>
            <w:r>
              <w:rPr>
                <w:sz w:val="21"/>
              </w:rPr>
              <w:t>绩效评价：落地效果评估（经济</w:t>
            </w:r>
            <w:r>
              <w:rPr>
                <w:sz w:val="21"/>
              </w:rPr>
              <w:t>/社会效益）、后评估结论、案例沉淀与传播材料。</w:t>
            </w:r>
          </w:p>
          <w:p>
            <w:pPr>
              <w:pStyle w:val="null3"/>
              <w:jc w:val="both"/>
            </w:pPr>
            <w:r>
              <w:rPr>
                <w:sz w:val="21"/>
              </w:rPr>
              <w:t>（</w:t>
            </w:r>
            <w:r>
              <w:rPr>
                <w:sz w:val="21"/>
              </w:rPr>
              <w:t xml:space="preserve">2）多角色协同  </w:t>
            </w:r>
          </w:p>
          <w:p>
            <w:pPr>
              <w:pStyle w:val="null3"/>
              <w:jc w:val="both"/>
            </w:pPr>
            <w:r>
              <w:rPr>
                <w:sz w:val="21"/>
              </w:rPr>
              <w:t>国创院：统筹推进、节点把关、资源协调、问题督办。</w:t>
            </w:r>
            <w:r>
              <w:rPr>
                <w:sz w:val="21"/>
              </w:rPr>
              <w:t xml:space="preserve">  </w:t>
            </w:r>
          </w:p>
          <w:p>
            <w:pPr>
              <w:pStyle w:val="null3"/>
              <w:jc w:val="both"/>
            </w:pPr>
            <w:r>
              <w:rPr>
                <w:sz w:val="21"/>
              </w:rPr>
              <w:t>成果权属单位</w:t>
            </w:r>
            <w:r>
              <w:rPr>
                <w:sz w:val="21"/>
              </w:rPr>
              <w:t>/完成人：技术答疑、样机/试验协助、必要授权与配合。</w:t>
            </w:r>
          </w:p>
          <w:p>
            <w:pPr>
              <w:pStyle w:val="null3"/>
              <w:jc w:val="both"/>
            </w:pPr>
            <w:r>
              <w:rPr>
                <w:sz w:val="21"/>
              </w:rPr>
              <w:t>企业方：需求明确、现场条件与团队安排、实施落地与验收参与。</w:t>
            </w:r>
          </w:p>
          <w:p>
            <w:pPr>
              <w:pStyle w:val="null3"/>
              <w:jc w:val="both"/>
            </w:pPr>
            <w:r>
              <w:rPr>
                <w:sz w:val="21"/>
              </w:rPr>
              <w:t>3、创新创业资源与服务库（入驻创新创业项目商业计划书、团队构成、融资轮次、知识产权布局及里程碑达成情况跟踪管理库 ）</w:t>
            </w:r>
          </w:p>
          <w:p>
            <w:pPr>
              <w:pStyle w:val="null3"/>
              <w:jc w:val="both"/>
            </w:pPr>
            <w:r>
              <w:rPr>
                <w:sz w:val="21"/>
              </w:rPr>
              <w:t>建设创新创业项目的全周期档案库，实现从</w:t>
            </w:r>
            <w:r>
              <w:rPr>
                <w:sz w:val="21"/>
              </w:rPr>
              <w:t>“立项/入驻—成长—投融资—知识产权布局—里程碑达成—毕业/转化”的闭环管理，既服务项目方的成长管理，也服务国创院的孵化与资源配置。</w:t>
            </w:r>
          </w:p>
          <w:p>
            <w:pPr>
              <w:pStyle w:val="null3"/>
              <w:jc w:val="both"/>
            </w:pPr>
            <w:r>
              <w:rPr>
                <w:sz w:val="21"/>
              </w:rPr>
              <w:t>（</w:t>
            </w:r>
            <w:r>
              <w:rPr>
                <w:sz w:val="21"/>
              </w:rPr>
              <w:t>1）项目建档与入驻</w:t>
            </w:r>
          </w:p>
          <w:p>
            <w:pPr>
              <w:pStyle w:val="null3"/>
              <w:jc w:val="both"/>
            </w:pPr>
            <w:r>
              <w:rPr>
                <w:sz w:val="21"/>
              </w:rPr>
              <w:t>项目信息：项目名称、赛道</w:t>
            </w:r>
            <w:r>
              <w:rPr>
                <w:sz w:val="21"/>
              </w:rPr>
              <w:t>/领域、商业模式、客户场景、核心技术与壁垒、核心团队简历与分工。</w:t>
            </w:r>
          </w:p>
          <w:p>
            <w:pPr>
              <w:pStyle w:val="null3"/>
              <w:jc w:val="both"/>
            </w:pPr>
            <w:r>
              <w:rPr>
                <w:sz w:val="21"/>
              </w:rPr>
              <w:t>入驻审核：外部用户注册后提交项目，国创院审核入驻；支持退回修订与再次提交。</w:t>
            </w:r>
          </w:p>
          <w:p>
            <w:pPr>
              <w:pStyle w:val="null3"/>
              <w:jc w:val="both"/>
            </w:pPr>
            <w:r>
              <w:rPr>
                <w:sz w:val="21"/>
              </w:rPr>
              <w:t>空间</w:t>
            </w:r>
            <w:r>
              <w:rPr>
                <w:sz w:val="21"/>
              </w:rPr>
              <w:t>/资源配置：工位/实验空间分配、设备共享权限、导师/顾问对接记录。</w:t>
            </w:r>
          </w:p>
          <w:p>
            <w:pPr>
              <w:pStyle w:val="null3"/>
              <w:jc w:val="both"/>
            </w:pPr>
            <w:r>
              <w:rPr>
                <w:sz w:val="21"/>
              </w:rPr>
              <w:t>（</w:t>
            </w:r>
            <w:r>
              <w:rPr>
                <w:sz w:val="21"/>
              </w:rPr>
              <w:t xml:space="preserve">2）成长跟踪与里程碑  </w:t>
            </w:r>
          </w:p>
          <w:p>
            <w:pPr>
              <w:pStyle w:val="null3"/>
              <w:jc w:val="both"/>
            </w:pPr>
            <w:r>
              <w:rPr>
                <w:sz w:val="21"/>
              </w:rPr>
              <w:t>里程碑：产品原型、首批客户、收入节点、量产准备、信息化建设；按项目阶段设定里程碑计划与达成证明。</w:t>
            </w:r>
            <w:r>
              <w:rPr>
                <w:sz w:val="21"/>
              </w:rPr>
              <w:t xml:space="preserve">  </w:t>
            </w:r>
          </w:p>
          <w:p>
            <w:pPr>
              <w:pStyle w:val="null3"/>
              <w:jc w:val="both"/>
            </w:pPr>
            <w:r>
              <w:rPr>
                <w:sz w:val="21"/>
              </w:rPr>
              <w:t>轻量化经营报（营收、成本、现金流概览、客户签约、市场活动）导入。支持申请</w:t>
            </w:r>
            <w:r>
              <w:rPr>
                <w:sz w:val="21"/>
              </w:rPr>
              <w:t>“专项辅导/资源支持”并形成任务派单。</w:t>
            </w:r>
          </w:p>
          <w:p>
            <w:pPr>
              <w:pStyle w:val="null3"/>
              <w:jc w:val="both"/>
            </w:pPr>
            <w:r>
              <w:rPr>
                <w:sz w:val="21"/>
              </w:rPr>
              <w:t>（</w:t>
            </w:r>
            <w:r>
              <w:rPr>
                <w:sz w:val="21"/>
              </w:rPr>
              <w:t xml:space="preserve">3）投融资与知识产权  </w:t>
            </w:r>
          </w:p>
          <w:p>
            <w:pPr>
              <w:pStyle w:val="null3"/>
              <w:jc w:val="both"/>
            </w:pPr>
            <w:r>
              <w:rPr>
                <w:sz w:val="21"/>
              </w:rPr>
              <w:t>融资：轮次、金额、投资方、估值、出让比例、投后管理要点；投资意向书</w:t>
            </w:r>
            <w:r>
              <w:rPr>
                <w:sz w:val="21"/>
              </w:rPr>
              <w:t xml:space="preserve">/投资协议归档。  </w:t>
            </w:r>
          </w:p>
          <w:p>
            <w:pPr>
              <w:pStyle w:val="null3"/>
              <w:jc w:val="both"/>
            </w:pPr>
            <w:r>
              <w:rPr>
                <w:sz w:val="21"/>
              </w:rPr>
              <w:t>知识产权：专利</w:t>
            </w:r>
            <w:r>
              <w:rPr>
                <w:sz w:val="21"/>
              </w:rPr>
              <w:t>/软著/商标/域名登记</w:t>
            </w:r>
          </w:p>
          <w:p>
            <w:pPr>
              <w:pStyle w:val="null3"/>
              <w:jc w:val="both"/>
            </w:pPr>
            <w:r>
              <w:rPr>
                <w:sz w:val="21"/>
              </w:rPr>
              <w:t>（</w:t>
            </w:r>
            <w:r>
              <w:rPr>
                <w:sz w:val="21"/>
              </w:rPr>
              <w:t xml:space="preserve">4）毕业与转化  </w:t>
            </w:r>
          </w:p>
          <w:p>
            <w:pPr>
              <w:pStyle w:val="null3"/>
              <w:jc w:val="both"/>
            </w:pPr>
            <w:r>
              <w:rPr>
                <w:sz w:val="21"/>
              </w:rPr>
              <w:t xml:space="preserve"> </w:t>
            </w:r>
            <w:r>
              <w:rPr>
                <w:sz w:val="21"/>
              </w:rPr>
              <w:t>毕业条件：按在孵周期、营收</w:t>
            </w:r>
            <w:r>
              <w:rPr>
                <w:sz w:val="21"/>
              </w:rPr>
              <w:t>/融资达成、团队规模、产品化程度等综合评估；</w:t>
            </w:r>
          </w:p>
          <w:p>
            <w:pPr>
              <w:pStyle w:val="null3"/>
              <w:jc w:val="both"/>
            </w:pPr>
            <w:r>
              <w:rPr>
                <w:sz w:val="21"/>
              </w:rPr>
              <w:t>毕业去向：孵化毕业登记。</w:t>
            </w:r>
          </w:p>
          <w:p>
            <w:pPr>
              <w:pStyle w:val="null3"/>
              <w:jc w:val="both"/>
            </w:pPr>
            <w:r>
              <w:rPr>
                <w:sz w:val="21"/>
              </w:rPr>
              <w:t>实现规则：入驻口径：同一主体在同一赛道下不可重复申请；跨赛道需补充差异化说明；里程碑达成：必须上传证明材料，允许第三方见证；不允许空报。</w:t>
            </w:r>
          </w:p>
          <w:p>
            <w:pPr>
              <w:pStyle w:val="null3"/>
              <w:jc w:val="both"/>
            </w:pPr>
            <w:r>
              <w:rPr/>
              <w:t xml:space="preserve"> </w:t>
            </w:r>
          </w:p>
          <w:p>
            <w:pPr>
              <w:pStyle w:val="null3"/>
              <w:jc w:val="both"/>
            </w:pPr>
            <w:r>
              <w:rPr>
                <w:sz w:val="21"/>
                <w:b/>
              </w:rPr>
              <w:t>五、合作单位管理</w:t>
            </w:r>
          </w:p>
          <w:p>
            <w:pPr>
              <w:pStyle w:val="null3"/>
              <w:jc w:val="both"/>
            </w:pPr>
            <w:r>
              <w:rPr>
                <w:sz w:val="21"/>
              </w:rPr>
              <w:t>1、合作企业准入与评估库（资质、遴选、协议、绩效评估）</w:t>
            </w:r>
          </w:p>
          <w:p>
            <w:pPr>
              <w:pStyle w:val="null3"/>
              <w:jc w:val="both"/>
            </w:pPr>
            <w:r>
              <w:rPr>
                <w:sz w:val="21"/>
              </w:rPr>
              <w:t>围绕</w:t>
            </w:r>
            <w:r>
              <w:rPr>
                <w:sz w:val="21"/>
              </w:rPr>
              <w:t>“申请—初筛—辅导—申报—专家评审—结果录入—公示—入库赋权”的闭环，形成合作企业准入的标准化台账与动态评估机制，为后续联动业务（项目、导师、招聘、走访等）打好企业侧“主档”。</w:t>
            </w:r>
          </w:p>
          <w:p>
            <w:pPr>
              <w:pStyle w:val="null3"/>
              <w:jc w:val="both"/>
            </w:pPr>
            <w:r>
              <w:rPr>
                <w:sz w:val="21"/>
              </w:rPr>
              <w:t>（</w:t>
            </w:r>
            <w:r>
              <w:rPr>
                <w:sz w:val="21"/>
              </w:rPr>
              <w:t xml:space="preserve">1）企业申请与初筛  </w:t>
            </w:r>
          </w:p>
          <w:p>
            <w:pPr>
              <w:pStyle w:val="null3"/>
              <w:jc w:val="both"/>
            </w:pPr>
            <w:r>
              <w:rPr>
                <w:sz w:val="21"/>
              </w:rPr>
              <w:t>申请表：未入库企业在线提交合作申请（企业基本信息、统一社会信用代码、主营业务与行业、研发能力、人才团队、既往合作与代表案例、合规声明等），支持附件（营业执照、资质证书、研发平台证明）。</w:t>
            </w:r>
            <w:r>
              <w:rPr>
                <w:sz w:val="21"/>
              </w:rPr>
              <w:t xml:space="preserve">  </w:t>
            </w:r>
          </w:p>
          <w:p>
            <w:pPr>
              <w:pStyle w:val="null3"/>
              <w:jc w:val="both"/>
            </w:pPr>
            <w:r>
              <w:rPr>
                <w:sz w:val="21"/>
              </w:rPr>
              <w:t>初筛规则：国创院对申请进行资格与完备性核验（行业范围、信用状态、黑白名单、材料完整度）；不通过的标注理由并可退回修订。</w:t>
            </w:r>
          </w:p>
          <w:p>
            <w:pPr>
              <w:pStyle w:val="null3"/>
              <w:jc w:val="both"/>
            </w:pPr>
            <w:r>
              <w:rPr>
                <w:sz w:val="21"/>
              </w:rPr>
              <w:t>（</w:t>
            </w:r>
            <w:r>
              <w:rPr>
                <w:sz w:val="21"/>
              </w:rPr>
              <w:t xml:space="preserve">2）申报辅导与正式申报  </w:t>
            </w:r>
          </w:p>
          <w:p>
            <w:pPr>
              <w:pStyle w:val="null3"/>
              <w:jc w:val="both"/>
            </w:pPr>
            <w:r>
              <w:rPr>
                <w:sz w:val="21"/>
              </w:rPr>
              <w:t>辅导任务：初筛通过后，生成</w:t>
            </w:r>
            <w:r>
              <w:rPr>
                <w:sz w:val="21"/>
              </w:rPr>
              <w:t>“辅导清单”（需补充的资料、典型案例规范、合规要点），线上分派给企业对接人；</w:t>
            </w:r>
          </w:p>
          <w:p>
            <w:pPr>
              <w:pStyle w:val="null3"/>
              <w:jc w:val="both"/>
            </w:pPr>
            <w:r>
              <w:rPr>
                <w:sz w:val="21"/>
              </w:rPr>
              <w:t>正式申报：企业按指引提交申报书（</w:t>
            </w:r>
            <w:r>
              <w:rPr>
                <w:sz w:val="21"/>
              </w:rPr>
              <w:t xml:space="preserve">PDF/Word/表单），系统进行结构化字段提取（规模/研发投入/高新资质/知识产权数量等）。  </w:t>
            </w:r>
          </w:p>
          <w:p>
            <w:pPr>
              <w:pStyle w:val="null3"/>
              <w:jc w:val="both"/>
            </w:pPr>
            <w:r>
              <w:rPr>
                <w:sz w:val="21"/>
              </w:rPr>
              <w:t>（</w:t>
            </w:r>
            <w:r>
              <w:rPr>
                <w:sz w:val="21"/>
              </w:rPr>
              <w:t xml:space="preserve">3）专家评审与结果录入  </w:t>
            </w:r>
          </w:p>
          <w:p>
            <w:pPr>
              <w:pStyle w:val="null3"/>
              <w:jc w:val="both"/>
            </w:pPr>
            <w:r>
              <w:rPr>
                <w:sz w:val="21"/>
              </w:rPr>
              <w:t>评审组织：从专家库抽取专家进行评审，支持在线打分、意见与回避声明；</w:t>
            </w:r>
          </w:p>
          <w:p>
            <w:pPr>
              <w:pStyle w:val="null3"/>
              <w:jc w:val="both"/>
            </w:pPr>
            <w:r>
              <w:rPr>
                <w:sz w:val="21"/>
              </w:rPr>
              <w:t>结果录入：国创院汇总评审结果，录入</w:t>
            </w:r>
            <w:r>
              <w:rPr>
                <w:sz w:val="21"/>
              </w:rPr>
              <w:t>“通过/不通过/限期整改”，形成评审报告与纪要，归档保存。</w:t>
            </w:r>
          </w:p>
          <w:p>
            <w:pPr>
              <w:pStyle w:val="null3"/>
              <w:jc w:val="both"/>
            </w:pPr>
            <w:r>
              <w:rPr>
                <w:sz w:val="21"/>
              </w:rPr>
              <w:t>（</w:t>
            </w:r>
            <w:r>
              <w:rPr>
                <w:sz w:val="21"/>
              </w:rPr>
              <w:t xml:space="preserve">4）公示与入库赋权  </w:t>
            </w:r>
          </w:p>
          <w:p>
            <w:pPr>
              <w:pStyle w:val="null3"/>
              <w:jc w:val="both"/>
            </w:pPr>
            <w:r>
              <w:rPr>
                <w:sz w:val="21"/>
              </w:rPr>
              <w:t>公示流程：按批次发布公示信息（企业名称、单位地址等），公示期异议收集与处置记录；</w:t>
            </w:r>
            <w:r>
              <w:rPr>
                <w:sz w:val="21"/>
              </w:rPr>
              <w:t xml:space="preserve">  </w:t>
            </w:r>
          </w:p>
          <w:p>
            <w:pPr>
              <w:pStyle w:val="null3"/>
              <w:jc w:val="both"/>
            </w:pPr>
            <w:r>
              <w:rPr>
                <w:sz w:val="21"/>
              </w:rPr>
              <w:t>入库赋权：公示无异议后自动将企业标记为</w:t>
            </w:r>
            <w:r>
              <w:rPr>
                <w:sz w:val="21"/>
              </w:rPr>
              <w:t xml:space="preserve">“在库企业”，并赋予企业管理员角色及开放后续功能入口（项目申报、兼职导师申报、招聘发布、产学研成果上报等）。  </w:t>
            </w:r>
          </w:p>
          <w:p>
            <w:pPr>
              <w:pStyle w:val="null3"/>
              <w:jc w:val="both"/>
            </w:pPr>
            <w:r>
              <w:rPr>
                <w:sz w:val="21"/>
              </w:rPr>
              <w:t>（</w:t>
            </w:r>
            <w:r>
              <w:rPr>
                <w:sz w:val="21"/>
              </w:rPr>
              <w:t xml:space="preserve">5）动态评估  </w:t>
            </w:r>
          </w:p>
          <w:p>
            <w:pPr>
              <w:pStyle w:val="null3"/>
              <w:jc w:val="both"/>
            </w:pPr>
            <w:r>
              <w:rPr>
                <w:sz w:val="21"/>
              </w:rPr>
              <w:t>异常标注：信用异常</w:t>
            </w:r>
            <w:r>
              <w:rPr>
                <w:sz w:val="21"/>
              </w:rPr>
              <w:t xml:space="preserve">/合规事件/合作纠纷记录，进入风险观察清单，必要时冻结部分权限。  </w:t>
            </w:r>
          </w:p>
          <w:p>
            <w:pPr>
              <w:pStyle w:val="null3"/>
              <w:jc w:val="both"/>
            </w:pPr>
            <w:r>
              <w:rPr>
                <w:sz w:val="21"/>
              </w:rPr>
              <w:t>2、企业兼职导师管理库（申报、评审、聘任、履职记录）</w:t>
            </w:r>
          </w:p>
          <w:p>
            <w:pPr>
              <w:pStyle w:val="null3"/>
              <w:jc w:val="both"/>
            </w:pPr>
            <w:r>
              <w:rPr>
                <w:sz w:val="21"/>
              </w:rPr>
              <w:t>面向</w:t>
            </w:r>
            <w:r>
              <w:rPr>
                <w:sz w:val="21"/>
              </w:rPr>
              <w:t>“企业兼职导师”的首聘/续聘全流程，建设从申请—材料审核—专家评审—公示—入库—履职记录的闭环台账，强化资质把关与履职质量追踪。</w:t>
            </w:r>
          </w:p>
          <w:p>
            <w:pPr>
              <w:pStyle w:val="null3"/>
              <w:jc w:val="both"/>
            </w:pPr>
            <w:r>
              <w:rPr>
                <w:sz w:val="21"/>
              </w:rPr>
              <w:t>（</w:t>
            </w:r>
            <w:r>
              <w:rPr>
                <w:sz w:val="21"/>
              </w:rPr>
              <w:t xml:space="preserve">1）导师申请（首聘/续聘）  </w:t>
            </w:r>
          </w:p>
          <w:p>
            <w:pPr>
              <w:pStyle w:val="null3"/>
              <w:jc w:val="both"/>
            </w:pPr>
            <w:r>
              <w:rPr>
                <w:sz w:val="21"/>
              </w:rPr>
              <w:t>首聘：企业在库后，由企业管理员为在岗人员发起兼职导师申请，提交《企业兼职导师申请审批表》及佐证材料（毕业证、学位证、职称证书、学术论文、社保证明等）；</w:t>
            </w:r>
          </w:p>
          <w:p>
            <w:pPr>
              <w:pStyle w:val="null3"/>
              <w:jc w:val="both"/>
            </w:pPr>
            <w:r>
              <w:rPr>
                <w:sz w:val="21"/>
              </w:rPr>
              <w:t>续聘</w:t>
            </w:r>
            <w:r>
              <w:rPr>
                <w:sz w:val="21"/>
              </w:rPr>
              <w:t>/已获高校校外导师：提交《企业兼职导师汇总表》，上传既往聘书扫描件或高校校外导师资格证明，材料简化。</w:t>
            </w:r>
          </w:p>
          <w:p>
            <w:pPr>
              <w:pStyle w:val="null3"/>
              <w:jc w:val="both"/>
            </w:pPr>
            <w:r>
              <w:rPr>
                <w:sz w:val="21"/>
              </w:rPr>
              <w:t>（</w:t>
            </w:r>
            <w:r>
              <w:rPr>
                <w:sz w:val="21"/>
              </w:rPr>
              <w:t xml:space="preserve">2）材料审核与专家评审  </w:t>
            </w:r>
          </w:p>
          <w:p>
            <w:pPr>
              <w:pStyle w:val="null3"/>
              <w:jc w:val="both"/>
            </w:pPr>
            <w:r>
              <w:rPr>
                <w:sz w:val="21"/>
              </w:rPr>
              <w:t>资格线：最低学历</w:t>
            </w:r>
            <w:r>
              <w:rPr>
                <w:sz w:val="21"/>
              </w:rPr>
              <w:t>/职称/</w:t>
            </w:r>
            <w:r>
              <w:rPr>
                <w:sz w:val="21"/>
              </w:rPr>
              <w:t>从業年限</w:t>
            </w:r>
            <w:r>
              <w:rPr>
                <w:sz w:val="21"/>
              </w:rPr>
              <w:t>/科研经历等门槛校验；</w:t>
            </w:r>
          </w:p>
          <w:p>
            <w:pPr>
              <w:pStyle w:val="null3"/>
              <w:jc w:val="both"/>
            </w:pPr>
            <w:r>
              <w:rPr>
                <w:sz w:val="21"/>
              </w:rPr>
              <w:t>专家评审：专家在线评阅材料并打分，记录意见与建议，必要时组织面谈。</w:t>
            </w:r>
            <w:r>
              <w:rPr>
                <w:sz w:val="21"/>
              </w:rPr>
              <w:t xml:space="preserve">  </w:t>
            </w:r>
          </w:p>
          <w:p>
            <w:pPr>
              <w:pStyle w:val="null3"/>
              <w:jc w:val="both"/>
            </w:pPr>
            <w:r>
              <w:rPr>
                <w:sz w:val="21"/>
              </w:rPr>
              <w:t>（</w:t>
            </w:r>
            <w:r>
              <w:rPr>
                <w:sz w:val="21"/>
              </w:rPr>
              <w:t xml:space="preserve">3）结果与公示  </w:t>
            </w:r>
          </w:p>
          <w:p>
            <w:pPr>
              <w:pStyle w:val="null3"/>
              <w:jc w:val="both"/>
            </w:pPr>
            <w:r>
              <w:rPr>
                <w:sz w:val="21"/>
              </w:rPr>
              <w:t>结果确认：通过</w:t>
            </w:r>
            <w:r>
              <w:rPr>
                <w:sz w:val="21"/>
              </w:rPr>
              <w:t xml:space="preserve">/不通过/补充材料，系统自动通知；  </w:t>
            </w:r>
          </w:p>
          <w:p>
            <w:pPr>
              <w:pStyle w:val="null3"/>
              <w:jc w:val="both"/>
            </w:pPr>
            <w:r>
              <w:rPr>
                <w:sz w:val="21"/>
              </w:rPr>
              <w:t>公示管理：按批次公示拟入库导师名单；公示期异议处理归档。</w:t>
            </w:r>
          </w:p>
          <w:p>
            <w:pPr>
              <w:pStyle w:val="null3"/>
              <w:jc w:val="both"/>
            </w:pPr>
            <w:r>
              <w:rPr>
                <w:sz w:val="21"/>
              </w:rPr>
              <w:t>（</w:t>
            </w:r>
            <w:r>
              <w:rPr>
                <w:sz w:val="21"/>
              </w:rPr>
              <w:t xml:space="preserve">4）入库与履职管理  </w:t>
            </w:r>
          </w:p>
          <w:p>
            <w:pPr>
              <w:pStyle w:val="null3"/>
              <w:jc w:val="both"/>
            </w:pPr>
            <w:r>
              <w:rPr>
                <w:sz w:val="21"/>
              </w:rPr>
              <w:t>入库：通过且公示无异议后入库，生成</w:t>
            </w:r>
            <w:r>
              <w:rPr>
                <w:sz w:val="21"/>
              </w:rPr>
              <w:t>“兼职导师档案卡”（领域标签、服务可用时段、指导方向、履历摘要）；</w:t>
            </w:r>
          </w:p>
          <w:p>
            <w:pPr>
              <w:pStyle w:val="null3"/>
              <w:jc w:val="both"/>
            </w:pPr>
            <w:r>
              <w:rPr>
                <w:sz w:val="21"/>
              </w:rPr>
              <w:t>履职台账：导师指导学生、参与教研活动、审阅周志</w:t>
            </w:r>
            <w:r>
              <w:rPr>
                <w:sz w:val="21"/>
              </w:rPr>
              <w:t>/考核、企业内培训/讲座等记录可被系统集中展示（支撑后续续聘与评价）。</w:t>
            </w:r>
          </w:p>
          <w:p>
            <w:pPr>
              <w:pStyle w:val="null3"/>
              <w:jc w:val="both"/>
            </w:pPr>
            <w:r>
              <w:rPr>
                <w:sz w:val="21"/>
              </w:rPr>
              <w:t>实现规则：真实性与一致性：证照类材料需校验真伪，姓名</w:t>
            </w:r>
            <w:r>
              <w:rPr>
                <w:sz w:val="21"/>
              </w:rPr>
              <w:t xml:space="preserve">/证件号一致性校验；回避：导师与特定项目/学生存在直系利益关系时不可参与相关评审或指导；对外仅展示导师姓名、所属企业、研究方向等公开字段，不展示联系方式与隐私信息。   </w:t>
            </w:r>
          </w:p>
          <w:p>
            <w:pPr>
              <w:pStyle w:val="null3"/>
              <w:jc w:val="both"/>
            </w:pPr>
            <w:r>
              <w:rPr>
                <w:sz w:val="21"/>
              </w:rPr>
              <w:t>3、产学研合作与走访互动库（成果汇交、走访互动记录）</w:t>
            </w:r>
          </w:p>
          <w:p>
            <w:pPr>
              <w:pStyle w:val="null3"/>
              <w:jc w:val="both"/>
            </w:pPr>
            <w:r>
              <w:rPr>
                <w:sz w:val="21"/>
              </w:rPr>
              <w:t>沉淀企业侧</w:t>
            </w:r>
            <w:r>
              <w:rPr>
                <w:sz w:val="21"/>
              </w:rPr>
              <w:t>“产学研成果”与国创院“企业走访（调研/督导）”全过程数据，形成企业画像与互动历史，反哺准入评估与项目匹配。</w:t>
            </w:r>
          </w:p>
          <w:p>
            <w:pPr>
              <w:pStyle w:val="null3"/>
              <w:jc w:val="both"/>
            </w:pPr>
            <w:r>
              <w:rPr>
                <w:sz w:val="21"/>
              </w:rPr>
              <w:t>（</w:t>
            </w:r>
            <w:r>
              <w:rPr>
                <w:sz w:val="21"/>
              </w:rPr>
              <w:t xml:space="preserve">1）产学研成果上报  </w:t>
            </w:r>
          </w:p>
          <w:p>
            <w:pPr>
              <w:pStyle w:val="null3"/>
              <w:jc w:val="both"/>
            </w:pPr>
            <w:r>
              <w:rPr>
                <w:sz w:val="21"/>
              </w:rPr>
              <w:t>成果类型：联合培养成果、合作研究成果、技术攻关阶段性成果、产业化落地案例等；</w:t>
            </w:r>
            <w:r>
              <w:rPr>
                <w:sz w:val="21"/>
              </w:rPr>
              <w:t xml:space="preserve">  </w:t>
            </w:r>
          </w:p>
          <w:p>
            <w:pPr>
              <w:pStyle w:val="null3"/>
              <w:jc w:val="both"/>
            </w:pPr>
            <w:r>
              <w:rPr>
                <w:sz w:val="21"/>
              </w:rPr>
              <w:t>资料与证明：专利证书、鉴定报告、测试报告、媒体报道、客户证明等，结构化字段与多附件归档；</w:t>
            </w:r>
            <w:r>
              <w:rPr>
                <w:sz w:val="21"/>
              </w:rPr>
              <w:t xml:space="preserve">  </w:t>
            </w:r>
          </w:p>
          <w:p>
            <w:pPr>
              <w:pStyle w:val="null3"/>
              <w:jc w:val="both"/>
            </w:pPr>
            <w:r>
              <w:rPr>
                <w:sz w:val="21"/>
              </w:rPr>
              <w:t>审核与统计：国创院审核后入库，按企业</w:t>
            </w:r>
            <w:r>
              <w:rPr>
                <w:sz w:val="21"/>
              </w:rPr>
              <w:t xml:space="preserve">/年份/领域统计与导出。  </w:t>
            </w:r>
          </w:p>
          <w:p>
            <w:pPr>
              <w:pStyle w:val="null3"/>
              <w:jc w:val="both"/>
            </w:pPr>
            <w:r>
              <w:rPr>
                <w:sz w:val="21"/>
              </w:rPr>
              <w:t>（</w:t>
            </w:r>
            <w:r>
              <w:rPr>
                <w:sz w:val="21"/>
              </w:rPr>
              <w:t xml:space="preserve">2）走访管理（调研/督导）  </w:t>
            </w:r>
          </w:p>
          <w:p>
            <w:pPr>
              <w:pStyle w:val="null3"/>
              <w:jc w:val="both"/>
            </w:pPr>
            <w:r>
              <w:rPr>
                <w:sz w:val="21"/>
              </w:rPr>
              <w:t>计划与行程：走访类型（调研</w:t>
            </w:r>
            <w:r>
              <w:rPr>
                <w:sz w:val="21"/>
              </w:rPr>
              <w:t xml:space="preserve">/督导）、时间、人员、议题与目标；现场记录：会议纪要、问题清单、整改事项、照片/定位；  </w:t>
            </w:r>
          </w:p>
          <w:p>
            <w:pPr>
              <w:pStyle w:val="null3"/>
              <w:jc w:val="both"/>
            </w:pPr>
            <w:r>
              <w:rPr>
                <w:sz w:val="21"/>
              </w:rPr>
              <w:t>4、企业需求登记与发布库（招聘/项目需求、审核发布、跟踪）</w:t>
            </w:r>
          </w:p>
          <w:p>
            <w:pPr>
              <w:pStyle w:val="null3"/>
              <w:jc w:val="both"/>
            </w:pPr>
            <w:r>
              <w:rPr>
                <w:sz w:val="21"/>
              </w:rPr>
              <w:t>为企业侧</w:t>
            </w:r>
            <w:r>
              <w:rPr>
                <w:sz w:val="21"/>
              </w:rPr>
              <w:t>“招聘信息与项目需求发布”建立统一登记—审核—发布—申请/投递—处理—回执的流程台账，提升供需对接效率与过程透明度。</w:t>
            </w:r>
          </w:p>
          <w:p>
            <w:pPr>
              <w:pStyle w:val="null3"/>
              <w:jc w:val="both"/>
            </w:pPr>
            <w:r>
              <w:rPr>
                <w:sz w:val="21"/>
              </w:rPr>
              <w:t>（</w:t>
            </w:r>
            <w:r>
              <w:rPr>
                <w:sz w:val="21"/>
              </w:rPr>
              <w:t xml:space="preserve">1）需求登记  </w:t>
            </w:r>
          </w:p>
          <w:p>
            <w:pPr>
              <w:pStyle w:val="null3"/>
              <w:jc w:val="both"/>
            </w:pPr>
            <w:r>
              <w:rPr>
                <w:sz w:val="21"/>
              </w:rPr>
              <w:t>项目需求：企业提交技术</w:t>
            </w:r>
            <w:r>
              <w:rPr>
                <w:sz w:val="21"/>
              </w:rPr>
              <w:t xml:space="preserve">/项目类需求（方向、岗位/人数、周期、要求、合作模式），支持附件（需求说明书、岗位JD）。  </w:t>
            </w:r>
          </w:p>
          <w:p>
            <w:pPr>
              <w:pStyle w:val="null3"/>
              <w:jc w:val="both"/>
            </w:pPr>
            <w:r>
              <w:rPr>
                <w:sz w:val="21"/>
              </w:rPr>
              <w:t>招聘岗位：岗位职责、任职资格、薪酬区间、工作地点、用工类型、到岗时间等标准化字段。</w:t>
            </w:r>
            <w:r>
              <w:rPr>
                <w:sz w:val="21"/>
              </w:rPr>
              <w:t xml:space="preserve">  </w:t>
            </w:r>
          </w:p>
          <w:p>
            <w:pPr>
              <w:pStyle w:val="null3"/>
              <w:jc w:val="both"/>
            </w:pPr>
            <w:r>
              <w:rPr>
                <w:sz w:val="21"/>
              </w:rPr>
              <w:t>（</w:t>
            </w:r>
            <w:r>
              <w:rPr>
                <w:sz w:val="21"/>
              </w:rPr>
              <w:t xml:space="preserve">2）审核与发布  </w:t>
            </w:r>
          </w:p>
          <w:p>
            <w:pPr>
              <w:pStyle w:val="null3"/>
              <w:jc w:val="both"/>
            </w:pPr>
            <w:r>
              <w:rPr>
                <w:sz w:val="21"/>
              </w:rPr>
              <w:t>审核：国创院对正式发布前进行合法性、完整性与匹配性校验，可退回修订；</w:t>
            </w:r>
            <w:r>
              <w:rPr>
                <w:sz w:val="21"/>
              </w:rPr>
              <w:t xml:space="preserve">  </w:t>
            </w:r>
          </w:p>
          <w:p>
            <w:pPr>
              <w:pStyle w:val="null3"/>
              <w:jc w:val="both"/>
            </w:pPr>
            <w:r>
              <w:rPr>
                <w:sz w:val="21"/>
              </w:rPr>
              <w:t>发布：设置发布范围（公开</w:t>
            </w:r>
            <w:r>
              <w:rPr>
                <w:sz w:val="21"/>
              </w:rPr>
              <w:t xml:space="preserve">/在库用户可见/特定院校/专业）、有效期与数量配额，超期自动下架。  </w:t>
            </w:r>
          </w:p>
          <w:p>
            <w:pPr>
              <w:pStyle w:val="null3"/>
              <w:jc w:val="both"/>
            </w:pPr>
            <w:r>
              <w:rPr>
                <w:sz w:val="21"/>
              </w:rPr>
              <w:t>（</w:t>
            </w:r>
            <w:r>
              <w:rPr>
                <w:sz w:val="21"/>
              </w:rPr>
              <w:t xml:space="preserve">3）申请/投递与处理  </w:t>
            </w:r>
          </w:p>
          <w:p>
            <w:pPr>
              <w:pStyle w:val="null3"/>
              <w:jc w:val="both"/>
            </w:pPr>
            <w:r>
              <w:rPr>
                <w:sz w:val="21"/>
              </w:rPr>
              <w:t>申请路径：高校导师</w:t>
            </w:r>
            <w:r>
              <w:rPr>
                <w:sz w:val="21"/>
              </w:rPr>
              <w:t>/学生等角色在线申请或投递简历/意向书，支持投递与撤回；</w:t>
            </w:r>
          </w:p>
          <w:p>
            <w:pPr>
              <w:pStyle w:val="null3"/>
              <w:jc w:val="both"/>
            </w:pPr>
            <w:r>
              <w:rPr>
                <w:sz w:val="21"/>
              </w:rPr>
              <w:t>企业处理：企业管理员查看申请队列，标注</w:t>
            </w:r>
            <w:r>
              <w:rPr>
                <w:sz w:val="21"/>
              </w:rPr>
              <w:t xml:space="preserve">“面试/不合适/待沟通”，生成面试/对接记录，系统自动告知申请方；  </w:t>
            </w:r>
          </w:p>
          <w:p>
            <w:pPr>
              <w:pStyle w:val="null3"/>
              <w:jc w:val="both"/>
            </w:pPr>
            <w:r>
              <w:rPr>
                <w:sz w:val="21"/>
              </w:rPr>
              <w:t>结果回执：达成合作</w:t>
            </w:r>
            <w:r>
              <w:rPr>
                <w:sz w:val="21"/>
              </w:rPr>
              <w:t xml:space="preserve">/录用时形成闭环记录（录用岗位、到岗时间），沉淀统计。  </w:t>
            </w:r>
          </w:p>
          <w:p>
            <w:pPr>
              <w:pStyle w:val="null3"/>
              <w:jc w:val="both"/>
            </w:pPr>
            <w:r>
              <w:rPr>
                <w:sz w:val="21"/>
              </w:rPr>
              <w:t>（</w:t>
            </w:r>
            <w:r>
              <w:rPr>
                <w:sz w:val="21"/>
              </w:rPr>
              <w:t>4）统计与看板</w:t>
            </w:r>
          </w:p>
          <w:p>
            <w:pPr>
              <w:pStyle w:val="null3"/>
              <w:jc w:val="both"/>
            </w:pPr>
            <w:r>
              <w:rPr>
                <w:sz w:val="21"/>
              </w:rPr>
              <w:t>供需看板：岗位热度、投递转化率、达成率、平均处理时长；</w:t>
            </w:r>
          </w:p>
          <w:p>
            <w:pPr>
              <w:pStyle w:val="null3"/>
              <w:jc w:val="both"/>
            </w:pPr>
            <w:r>
              <w:rPr>
                <w:sz w:val="21"/>
              </w:rPr>
              <w:t>实现规则：信息合规：岗位</w:t>
            </w:r>
            <w:r>
              <w:rPr>
                <w:sz w:val="21"/>
              </w:rPr>
              <w:t>/需求发布需通过合规审查；违规字段不得保存；有效期控制：到期自动下架，申请入口关闭，保留历史；权限边界：企业仅可查看处理本企业的申请投递；对外页面仅展示经过审核的公开信息。</w:t>
            </w:r>
          </w:p>
          <w:p>
            <w:pPr>
              <w:pStyle w:val="null3"/>
              <w:jc w:val="both"/>
            </w:pPr>
            <w:r>
              <w:rPr>
                <w:sz w:val="21"/>
                <w:b/>
              </w:rPr>
              <w:t>六、</w:t>
            </w:r>
            <w:r>
              <w:rPr>
                <w:sz w:val="21"/>
                <w:b/>
              </w:rPr>
              <w:t>OA管理 (PC与移动端审批)</w:t>
            </w:r>
          </w:p>
          <w:p>
            <w:pPr>
              <w:pStyle w:val="null3"/>
              <w:jc w:val="both"/>
            </w:pPr>
            <w:r>
              <w:rPr>
                <w:sz w:val="21"/>
              </w:rPr>
              <w:t>1、电子公文全生命周期库（发文、收文、签报、签章、归档）</w:t>
            </w:r>
          </w:p>
          <w:p>
            <w:pPr>
              <w:pStyle w:val="null3"/>
              <w:jc w:val="both"/>
            </w:pPr>
            <w:r>
              <w:rPr>
                <w:sz w:val="21"/>
              </w:rPr>
              <w:t>打造规范、可追溯的电子公文管理能力，覆盖</w:t>
            </w:r>
            <w:r>
              <w:rPr>
                <w:sz w:val="21"/>
              </w:rPr>
              <w:t>“拟稿—审核—会签/盖章—发布—归档—查询”的全链条；同时支撑通知公告、周程表、公示等行政场景的一站式处理。</w:t>
            </w:r>
          </w:p>
          <w:p>
            <w:pPr>
              <w:pStyle w:val="null3"/>
              <w:jc w:val="both"/>
            </w:pPr>
            <w:r>
              <w:rPr>
                <w:sz w:val="21"/>
              </w:rPr>
              <w:t>（</w:t>
            </w:r>
            <w:r>
              <w:rPr>
                <w:sz w:val="21"/>
              </w:rPr>
              <w:t>1）发文管理</w:t>
            </w:r>
          </w:p>
          <w:p>
            <w:pPr>
              <w:pStyle w:val="null3"/>
              <w:jc w:val="both"/>
            </w:pPr>
            <w:r>
              <w:rPr>
                <w:sz w:val="21"/>
              </w:rPr>
              <w:t>拟稿与模板：支持发文模板库（发文、签报、函等），文号规则、主送</w:t>
            </w:r>
            <w:r>
              <w:rPr>
                <w:sz w:val="21"/>
              </w:rPr>
              <w:t>/抄送单位、涉密等级、附件清单；</w:t>
            </w:r>
          </w:p>
          <w:p>
            <w:pPr>
              <w:pStyle w:val="null3"/>
              <w:jc w:val="both"/>
            </w:pPr>
            <w:r>
              <w:rPr>
                <w:sz w:val="21"/>
              </w:rPr>
              <w:t>审核与会签：按流程设置多级审核</w:t>
            </w:r>
            <w:r>
              <w:rPr>
                <w:sz w:val="21"/>
              </w:rPr>
              <w:t xml:space="preserve">/会签节点，意见批注与痕迹保留；  </w:t>
            </w:r>
          </w:p>
          <w:p>
            <w:pPr>
              <w:pStyle w:val="null3"/>
              <w:jc w:val="both"/>
            </w:pPr>
            <w:r>
              <w:rPr>
                <w:sz w:val="21"/>
              </w:rPr>
              <w:t>签章与发布：保留电子签章对接预留（或附件签章），支持定时发布与范围控制（部门</w:t>
            </w:r>
            <w:r>
              <w:rPr>
                <w:sz w:val="21"/>
              </w:rPr>
              <w:t xml:space="preserve">/全院）。  </w:t>
            </w:r>
          </w:p>
          <w:p>
            <w:pPr>
              <w:pStyle w:val="null3"/>
              <w:jc w:val="both"/>
            </w:pPr>
            <w:r>
              <w:rPr>
                <w:sz w:val="21"/>
              </w:rPr>
              <w:t>（</w:t>
            </w:r>
            <w:r>
              <w:rPr>
                <w:sz w:val="21"/>
              </w:rPr>
              <w:t xml:space="preserve">2）收文管理  </w:t>
            </w:r>
          </w:p>
          <w:p>
            <w:pPr>
              <w:pStyle w:val="null3"/>
              <w:jc w:val="both"/>
            </w:pPr>
            <w:r>
              <w:rPr>
                <w:sz w:val="21"/>
              </w:rPr>
              <w:t>收文登记：来文单位、文号、题名、密级、收文日期、办理时限；</w:t>
            </w:r>
          </w:p>
          <w:p>
            <w:pPr>
              <w:pStyle w:val="null3"/>
              <w:jc w:val="both"/>
            </w:pPr>
            <w:r>
              <w:rPr>
                <w:sz w:val="21"/>
              </w:rPr>
              <w:t>流转办理：分发</w:t>
            </w:r>
            <w:r>
              <w:rPr>
                <w:sz w:val="21"/>
              </w:rPr>
              <w:t>—承办—协办—办结—归档，办理意见与附件回传；</w:t>
            </w:r>
          </w:p>
          <w:p>
            <w:pPr>
              <w:pStyle w:val="null3"/>
              <w:jc w:val="both"/>
            </w:pPr>
            <w:r>
              <w:rPr>
                <w:sz w:val="21"/>
              </w:rPr>
              <w:t>时限预警：临近时限自动提醒，逾期升级提醒。</w:t>
            </w:r>
            <w:r>
              <w:rPr>
                <w:sz w:val="21"/>
              </w:rPr>
              <w:t xml:space="preserve">  </w:t>
            </w:r>
          </w:p>
          <w:p>
            <w:pPr>
              <w:pStyle w:val="null3"/>
              <w:jc w:val="both"/>
            </w:pPr>
            <w:r>
              <w:rPr>
                <w:sz w:val="21"/>
              </w:rPr>
              <w:t>（</w:t>
            </w:r>
            <w:r>
              <w:rPr>
                <w:sz w:val="21"/>
              </w:rPr>
              <w:t xml:space="preserve">3）通知与公示  </w:t>
            </w:r>
          </w:p>
          <w:p>
            <w:pPr>
              <w:pStyle w:val="null3"/>
              <w:jc w:val="both"/>
            </w:pPr>
            <w:r>
              <w:rPr>
                <w:sz w:val="21"/>
              </w:rPr>
              <w:t>通知公告：拟稿、范围、回执统计、撤回与历史版本；</w:t>
            </w:r>
            <w:r>
              <w:rPr>
                <w:sz w:val="21"/>
              </w:rPr>
              <w:t xml:space="preserve">  </w:t>
            </w:r>
          </w:p>
          <w:p>
            <w:pPr>
              <w:pStyle w:val="null3"/>
              <w:jc w:val="both"/>
            </w:pPr>
            <w:r>
              <w:rPr>
                <w:sz w:val="21"/>
              </w:rPr>
              <w:t>公示管理：按批次公示内容，设置公示期与意见收集通道，意见处理留痕归档。</w:t>
            </w:r>
            <w:r>
              <w:rPr>
                <w:sz w:val="21"/>
              </w:rPr>
              <w:t xml:space="preserve">  </w:t>
            </w:r>
          </w:p>
          <w:p>
            <w:pPr>
              <w:pStyle w:val="null3"/>
              <w:jc w:val="both"/>
            </w:pPr>
            <w:r>
              <w:rPr>
                <w:sz w:val="21"/>
              </w:rPr>
              <w:t>（</w:t>
            </w:r>
            <w:r>
              <w:rPr>
                <w:sz w:val="21"/>
              </w:rPr>
              <w:t xml:space="preserve">4）周程表  </w:t>
            </w:r>
          </w:p>
          <w:p>
            <w:pPr>
              <w:pStyle w:val="null3"/>
              <w:jc w:val="both"/>
            </w:pPr>
            <w:r>
              <w:rPr>
                <w:sz w:val="21"/>
              </w:rPr>
              <w:t>个人</w:t>
            </w:r>
            <w:r>
              <w:rPr>
                <w:sz w:val="21"/>
              </w:rPr>
              <w:t xml:space="preserve">/部门周程：会议、接待、出差等安排统一登记；  </w:t>
            </w:r>
          </w:p>
          <w:p>
            <w:pPr>
              <w:pStyle w:val="null3"/>
              <w:jc w:val="both"/>
            </w:pPr>
            <w:r>
              <w:rPr>
                <w:sz w:val="21"/>
              </w:rPr>
              <w:t>共享与授权：可设置对上级</w:t>
            </w:r>
            <w:r>
              <w:rPr>
                <w:sz w:val="21"/>
              </w:rPr>
              <w:t>/同部门可见</w:t>
            </w:r>
          </w:p>
          <w:p>
            <w:pPr>
              <w:pStyle w:val="null3"/>
              <w:jc w:val="both"/>
            </w:pPr>
            <w:r>
              <w:rPr>
                <w:sz w:val="21"/>
              </w:rPr>
              <w:t>实现规则</w:t>
            </w:r>
            <w:r>
              <w:rPr>
                <w:sz w:val="21"/>
              </w:rPr>
              <w:t>:文号规范：文号自动生成与校验，禁止重复与越权跳号；签章合规：签章操作需实名与二次确认，签章图不可另存外传；归档不可改：发布归档后正文不可更改，勘误需重新发布并关联原文；导出合规：导出带水印（文件名/导出人/时间/IP），操作写入审计。</w:t>
            </w:r>
          </w:p>
          <w:p>
            <w:pPr>
              <w:pStyle w:val="null3"/>
              <w:jc w:val="both"/>
            </w:pPr>
            <w:r>
              <w:rPr>
                <w:sz w:val="21"/>
              </w:rPr>
              <w:t>移动端：支持待办处理、意见批注、与签收。</w:t>
            </w:r>
          </w:p>
          <w:p>
            <w:pPr>
              <w:pStyle w:val="null3"/>
              <w:jc w:val="both"/>
            </w:pPr>
            <w:r>
              <w:rPr>
                <w:sz w:val="21"/>
              </w:rPr>
              <w:t>2、用章与采购一体化审批库（费用控制型用章与采购）</w:t>
            </w:r>
          </w:p>
          <w:p>
            <w:pPr>
              <w:pStyle w:val="null3"/>
              <w:jc w:val="both"/>
            </w:pPr>
            <w:r>
              <w:rPr>
                <w:sz w:val="21"/>
              </w:rPr>
              <w:t>把</w:t>
            </w:r>
            <w:r>
              <w:rPr>
                <w:sz w:val="21"/>
              </w:rPr>
              <w:t>“用章申请”与“采购申请”纳入统一的流程域，做到事项发起、规则校验、台账沉淀、凭证关联、执行追踪的融合管理，形成“事-章-款-证”的闭环。</w:t>
            </w:r>
          </w:p>
          <w:p>
            <w:pPr>
              <w:pStyle w:val="null3"/>
              <w:jc w:val="both"/>
            </w:pPr>
            <w:r>
              <w:rPr>
                <w:sz w:val="21"/>
              </w:rPr>
              <w:t>（</w:t>
            </w:r>
            <w:r>
              <w:rPr>
                <w:sz w:val="21"/>
              </w:rPr>
              <w:t xml:space="preserve">1）用章管理  </w:t>
            </w:r>
          </w:p>
          <w:p>
            <w:pPr>
              <w:pStyle w:val="null3"/>
              <w:jc w:val="both"/>
            </w:pPr>
            <w:r>
              <w:rPr>
                <w:sz w:val="21"/>
              </w:rPr>
              <w:t>用章申请：公章</w:t>
            </w:r>
            <w:r>
              <w:rPr>
                <w:sz w:val="21"/>
              </w:rPr>
              <w:t>/合同章/财务章等类型、事由、用章份数与时间、用印对象；审批流：按章别配置审批链路（部门负责人—分管领导—法务/纪检—办公室等）；</w:t>
            </w:r>
          </w:p>
          <w:p>
            <w:pPr>
              <w:pStyle w:val="null3"/>
              <w:jc w:val="both"/>
            </w:pPr>
            <w:r>
              <w:rPr>
                <w:sz w:val="21"/>
              </w:rPr>
              <w:t>（</w:t>
            </w:r>
            <w:r>
              <w:rPr>
                <w:sz w:val="21"/>
              </w:rPr>
              <w:t xml:space="preserve">2）采购管理  </w:t>
            </w:r>
          </w:p>
          <w:p>
            <w:pPr>
              <w:pStyle w:val="null3"/>
              <w:jc w:val="both"/>
            </w:pPr>
            <w:r>
              <w:rPr>
                <w:sz w:val="21"/>
              </w:rPr>
              <w:t>采购申请：物品</w:t>
            </w:r>
            <w:r>
              <w:rPr>
                <w:sz w:val="21"/>
              </w:rPr>
              <w:t>/服务、数量、预算、来源渠道（定点/集采/市场）、时间要求；</w:t>
            </w:r>
          </w:p>
          <w:p>
            <w:pPr>
              <w:pStyle w:val="null3"/>
              <w:jc w:val="both"/>
            </w:pPr>
            <w:r>
              <w:rPr>
                <w:sz w:val="21"/>
              </w:rPr>
              <w:t>合规校验：金额分档审批、是否需比价</w:t>
            </w:r>
            <w:r>
              <w:rPr>
                <w:sz w:val="21"/>
              </w:rPr>
              <w:t>/询价、是否触发竞争性谈判或公开招采；</w:t>
            </w:r>
          </w:p>
          <w:p>
            <w:pPr>
              <w:pStyle w:val="null3"/>
              <w:jc w:val="both"/>
            </w:pPr>
            <w:r>
              <w:rPr>
                <w:sz w:val="21"/>
              </w:rPr>
              <w:t>实现规则</w:t>
            </w:r>
            <w:r>
              <w:rPr>
                <w:sz w:val="21"/>
              </w:rPr>
              <w:t xml:space="preserve">:阈值与分档：金额阈值与审批节点按参数中心配置；超额自动升级审批；采购必须有收货与验收单；  </w:t>
            </w:r>
          </w:p>
          <w:p>
            <w:pPr>
              <w:pStyle w:val="null3"/>
              <w:jc w:val="both"/>
            </w:pPr>
            <w:r>
              <w:rPr>
                <w:sz w:val="21"/>
              </w:rPr>
              <w:t>移动端：移动发起与审批、附件拍照上传、进度跟踪。</w:t>
            </w:r>
          </w:p>
          <w:p>
            <w:pPr>
              <w:pStyle w:val="null3"/>
              <w:jc w:val="both"/>
            </w:pPr>
            <w:r>
              <w:rPr>
                <w:sz w:val="21"/>
              </w:rPr>
              <w:t>3、人事事务闭环库（入转调离、合同、假勤与统计）</w:t>
            </w:r>
          </w:p>
          <w:p>
            <w:pPr>
              <w:pStyle w:val="null3"/>
              <w:jc w:val="both"/>
            </w:pPr>
            <w:r>
              <w:rPr>
                <w:sz w:val="21"/>
              </w:rPr>
              <w:t>将人事类高频事项规范化、电子化，确保</w:t>
            </w:r>
            <w:r>
              <w:rPr>
                <w:sz w:val="21"/>
              </w:rPr>
              <w:t>“规则前置校验—审批闭环—数据归档—报表对账”，同时对接后续绩效与统计分析。</w:t>
            </w:r>
          </w:p>
          <w:p>
            <w:pPr>
              <w:pStyle w:val="null3"/>
              <w:jc w:val="both"/>
            </w:pPr>
            <w:r>
              <w:rPr>
                <w:sz w:val="21"/>
              </w:rPr>
              <w:t>（</w:t>
            </w:r>
            <w:r>
              <w:rPr>
                <w:sz w:val="21"/>
              </w:rPr>
              <w:t xml:space="preserve">1）入职/离职  </w:t>
            </w:r>
          </w:p>
          <w:p>
            <w:pPr>
              <w:pStyle w:val="null3"/>
              <w:jc w:val="both"/>
            </w:pPr>
            <w:r>
              <w:rPr>
                <w:sz w:val="21"/>
              </w:rPr>
              <w:t>入职：人员信息、岗位</w:t>
            </w:r>
            <w:r>
              <w:rPr>
                <w:sz w:val="21"/>
              </w:rPr>
              <w:t>/编制、入职材料清单（证件/学历/体检/合同）与完成情况；</w:t>
            </w:r>
          </w:p>
          <w:p>
            <w:pPr>
              <w:pStyle w:val="null3"/>
              <w:jc w:val="both"/>
            </w:pPr>
            <w:r>
              <w:rPr>
                <w:sz w:val="21"/>
              </w:rPr>
              <w:t>离职：申请</w:t>
            </w:r>
            <w:r>
              <w:rPr>
                <w:sz w:val="21"/>
              </w:rPr>
              <w:t>—审批—交接清单（资产/账号/资料）—离岗确认—档案归档；</w:t>
            </w:r>
          </w:p>
          <w:p>
            <w:pPr>
              <w:pStyle w:val="null3"/>
              <w:jc w:val="both"/>
            </w:pPr>
            <w:r>
              <w:rPr>
                <w:sz w:val="21"/>
              </w:rPr>
              <w:t>（</w:t>
            </w:r>
            <w:r>
              <w:rPr>
                <w:sz w:val="21"/>
              </w:rPr>
              <w:t xml:space="preserve">2）请假/加班/误餐补贴  </w:t>
            </w:r>
          </w:p>
          <w:p>
            <w:pPr>
              <w:pStyle w:val="null3"/>
              <w:jc w:val="both"/>
            </w:pPr>
            <w:r>
              <w:rPr>
                <w:sz w:val="21"/>
              </w:rPr>
              <w:t>请假：假种（年假</w:t>
            </w:r>
            <w:r>
              <w:rPr>
                <w:sz w:val="21"/>
              </w:rPr>
              <w:t>/事假/调休等）、余额校验、冲突校验、销假；</w:t>
            </w:r>
          </w:p>
          <w:p>
            <w:pPr>
              <w:pStyle w:val="null3"/>
              <w:jc w:val="both"/>
            </w:pPr>
            <w:r>
              <w:rPr>
                <w:sz w:val="21"/>
              </w:rPr>
              <w:t>加班：申请</w:t>
            </w:r>
            <w:r>
              <w:rPr>
                <w:sz w:val="21"/>
              </w:rPr>
              <w:t xml:space="preserve">—审批—补偿方式（调休/加班费）；  </w:t>
            </w:r>
          </w:p>
          <w:p>
            <w:pPr>
              <w:pStyle w:val="null3"/>
              <w:jc w:val="both"/>
            </w:pPr>
            <w:r>
              <w:rPr>
                <w:sz w:val="21"/>
              </w:rPr>
              <w:t>误餐补贴：业务条件校验（加班</w:t>
            </w:r>
            <w:r>
              <w:rPr>
                <w:sz w:val="21"/>
              </w:rPr>
              <w:t>/会议/加班时段），凭证或佐证材料上传。</w:t>
            </w:r>
          </w:p>
          <w:p>
            <w:pPr>
              <w:pStyle w:val="null3"/>
              <w:jc w:val="both"/>
            </w:pPr>
            <w:r>
              <w:rPr>
                <w:sz w:val="21"/>
              </w:rPr>
              <w:t>（</w:t>
            </w:r>
            <w:r>
              <w:rPr>
                <w:sz w:val="21"/>
              </w:rPr>
              <w:t xml:space="preserve">3）报表与对账  </w:t>
            </w:r>
          </w:p>
          <w:p>
            <w:pPr>
              <w:pStyle w:val="null3"/>
              <w:jc w:val="both"/>
            </w:pPr>
            <w:r>
              <w:rPr>
                <w:sz w:val="21"/>
              </w:rPr>
              <w:t>人事报表：入</w:t>
            </w:r>
            <w:r>
              <w:rPr>
                <w:sz w:val="21"/>
              </w:rPr>
              <w:t>/离职环比、在岗结构、假勤统计、补贴与加班汇总；</w:t>
            </w:r>
          </w:p>
          <w:p>
            <w:pPr>
              <w:pStyle w:val="null3"/>
              <w:jc w:val="both"/>
            </w:pPr>
            <w:r>
              <w:rPr>
                <w:sz w:val="21"/>
              </w:rPr>
              <w:t>对账：请假余额与调休余额自动核算，异常项提示与复核流程。</w:t>
            </w:r>
          </w:p>
          <w:p>
            <w:pPr>
              <w:pStyle w:val="null3"/>
              <w:jc w:val="both"/>
            </w:pPr>
            <w:r>
              <w:rPr>
                <w:sz w:val="21"/>
              </w:rPr>
              <w:t>实现规则</w:t>
            </w:r>
            <w:r>
              <w:rPr>
                <w:sz w:val="21"/>
              </w:rPr>
              <w:t>:前置校验：请假跨时段冲突拦截、余额不足拒绝提交；交接清单：离职前未完成交接不得办结，强制办结需高权审批；单据一致：加班对应的补贴/调休必须关联同一单号，避免重复报销；</w:t>
            </w:r>
          </w:p>
          <w:p>
            <w:pPr>
              <w:pStyle w:val="null3"/>
              <w:jc w:val="both"/>
            </w:pPr>
            <w:r>
              <w:rPr>
                <w:sz w:val="21"/>
              </w:rPr>
              <w:t>隐私保护：人事资料分级可见，导出需审批并水印；</w:t>
            </w:r>
            <w:r>
              <w:rPr>
                <w:sz w:val="21"/>
              </w:rPr>
              <w:t xml:space="preserve">  </w:t>
            </w:r>
          </w:p>
          <w:p>
            <w:pPr>
              <w:pStyle w:val="null3"/>
              <w:jc w:val="both"/>
            </w:pPr>
            <w:r>
              <w:rPr>
                <w:sz w:val="21"/>
              </w:rPr>
              <w:t>移动端：自助发起与审批、余额查询、拍照上传佐证、消息提醒。</w:t>
            </w:r>
          </w:p>
          <w:p>
            <w:pPr>
              <w:pStyle w:val="null3"/>
              <w:jc w:val="both"/>
            </w:pPr>
            <w:r>
              <w:rPr>
                <w:sz w:val="21"/>
              </w:rPr>
              <w:t>4、固定资产全生命周期库（采购入库、标签、盘点、处置、审计）</w:t>
            </w:r>
          </w:p>
          <w:p>
            <w:pPr>
              <w:pStyle w:val="null3"/>
              <w:jc w:val="both"/>
            </w:pPr>
            <w:r>
              <w:rPr>
                <w:sz w:val="21"/>
              </w:rPr>
              <w:t>实现资产</w:t>
            </w:r>
            <w:r>
              <w:rPr>
                <w:sz w:val="21"/>
              </w:rPr>
              <w:t>“从入账—变更—盘点—处置”的全生命周期数字化管理，确保账实相符、流程合规、可审计可追踪。</w:t>
            </w:r>
          </w:p>
          <w:p>
            <w:pPr>
              <w:pStyle w:val="null3"/>
              <w:jc w:val="both"/>
            </w:pPr>
            <w:r>
              <w:rPr>
                <w:sz w:val="21"/>
              </w:rPr>
              <w:t>（</w:t>
            </w:r>
            <w:r>
              <w:rPr>
                <w:sz w:val="21"/>
              </w:rPr>
              <w:t xml:space="preserve">1）资产账  </w:t>
            </w:r>
          </w:p>
          <w:p>
            <w:pPr>
              <w:pStyle w:val="null3"/>
              <w:jc w:val="both"/>
            </w:pPr>
            <w:r>
              <w:rPr>
                <w:sz w:val="21"/>
              </w:rPr>
              <w:t>建账：固定资产</w:t>
            </w:r>
            <w:r>
              <w:rPr>
                <w:sz w:val="21"/>
              </w:rPr>
              <w:t xml:space="preserve">/无形资产录入，来源渠道、原值/净值、使用部门、保修期；  </w:t>
            </w:r>
          </w:p>
          <w:p>
            <w:pPr>
              <w:pStyle w:val="null3"/>
              <w:jc w:val="both"/>
            </w:pPr>
            <w:r>
              <w:rPr>
                <w:sz w:val="21"/>
              </w:rPr>
              <w:t>变更：调拨、使用人变更、状态（在用</w:t>
            </w:r>
            <w:r>
              <w:rPr>
                <w:sz w:val="21"/>
              </w:rPr>
              <w:t>/闲置/维修）、价值调整；</w:t>
            </w:r>
          </w:p>
          <w:p>
            <w:pPr>
              <w:pStyle w:val="null3"/>
              <w:jc w:val="both"/>
            </w:pPr>
            <w:r>
              <w:rPr>
                <w:sz w:val="21"/>
              </w:rPr>
              <w:t>附件：采购合同</w:t>
            </w:r>
            <w:r>
              <w:rPr>
                <w:sz w:val="21"/>
              </w:rPr>
              <w:t xml:space="preserve">/发票/验收单、保修卡、照片等绑定。  </w:t>
            </w:r>
          </w:p>
          <w:p>
            <w:pPr>
              <w:pStyle w:val="null3"/>
              <w:jc w:val="both"/>
            </w:pPr>
            <w:r>
              <w:rPr>
                <w:sz w:val="21"/>
              </w:rPr>
              <w:t>（</w:t>
            </w:r>
            <w:r>
              <w:rPr>
                <w:sz w:val="21"/>
              </w:rPr>
              <w:t xml:space="preserve">2）实物管理  </w:t>
            </w:r>
          </w:p>
          <w:p>
            <w:pPr>
              <w:pStyle w:val="null3"/>
              <w:jc w:val="both"/>
            </w:pPr>
            <w:r>
              <w:rPr>
                <w:sz w:val="21"/>
              </w:rPr>
              <w:t>盘点：发起</w:t>
            </w:r>
            <w:r>
              <w:rPr>
                <w:sz w:val="21"/>
              </w:rPr>
              <w:t>—盘点任务下发—扫码/手工/导入—差异处理（盘盈/盘亏/待查）；</w:t>
            </w:r>
          </w:p>
          <w:p>
            <w:pPr>
              <w:pStyle w:val="null3"/>
              <w:jc w:val="both"/>
            </w:pPr>
            <w:r>
              <w:rPr>
                <w:sz w:val="21"/>
              </w:rPr>
              <w:t>标签：二维码</w:t>
            </w:r>
            <w:r>
              <w:rPr>
                <w:sz w:val="21"/>
              </w:rPr>
              <w:t>/条码标签打印（模板可配），支持批量打印与更换。</w:t>
            </w:r>
          </w:p>
          <w:p>
            <w:pPr>
              <w:pStyle w:val="null3"/>
              <w:jc w:val="both"/>
            </w:pPr>
            <w:r>
              <w:rPr>
                <w:sz w:val="21"/>
              </w:rPr>
              <w:t>（</w:t>
            </w:r>
            <w:r>
              <w:rPr>
                <w:sz w:val="21"/>
              </w:rPr>
              <w:t xml:space="preserve">3）处置管理  </w:t>
            </w:r>
          </w:p>
          <w:p>
            <w:pPr>
              <w:pStyle w:val="null3"/>
              <w:jc w:val="both"/>
            </w:pPr>
            <w:r>
              <w:rPr>
                <w:sz w:val="21"/>
              </w:rPr>
              <w:t>处置：报废</w:t>
            </w:r>
            <w:r>
              <w:rPr>
                <w:sz w:val="21"/>
              </w:rPr>
              <w:t xml:space="preserve">/出售等申请，审批链校验；  </w:t>
            </w:r>
          </w:p>
          <w:p>
            <w:pPr>
              <w:pStyle w:val="null3"/>
              <w:jc w:val="both"/>
            </w:pPr>
            <w:r>
              <w:rPr>
                <w:sz w:val="21"/>
              </w:rPr>
              <w:t>到期提醒：保修到期</w:t>
            </w:r>
            <w:r>
              <w:rPr>
                <w:sz w:val="21"/>
              </w:rPr>
              <w:t xml:space="preserve">/报废年限到期提醒，生成处置建议清单；  </w:t>
            </w:r>
          </w:p>
          <w:p>
            <w:pPr>
              <w:pStyle w:val="null3"/>
              <w:jc w:val="both"/>
            </w:pPr>
            <w:r>
              <w:rPr>
                <w:sz w:val="21"/>
              </w:rPr>
              <w:t>明细查询：处置前后台账对比。</w:t>
            </w:r>
            <w:r>
              <w:rPr>
                <w:sz w:val="21"/>
              </w:rPr>
              <w:t xml:space="preserve">  </w:t>
            </w:r>
          </w:p>
          <w:p>
            <w:pPr>
              <w:pStyle w:val="null3"/>
              <w:jc w:val="both"/>
            </w:pPr>
            <w:r>
              <w:rPr>
                <w:sz w:val="21"/>
              </w:rPr>
              <w:t>（</w:t>
            </w:r>
            <w:r>
              <w:rPr>
                <w:sz w:val="21"/>
              </w:rPr>
              <w:t xml:space="preserve">4）资产汇总表  </w:t>
            </w:r>
          </w:p>
          <w:p>
            <w:pPr>
              <w:pStyle w:val="null3"/>
              <w:jc w:val="both"/>
            </w:pPr>
            <w:r>
              <w:rPr>
                <w:sz w:val="21"/>
              </w:rPr>
              <w:t>汇总与分析：按类别、部门、状态、价值等维度汇总</w:t>
            </w:r>
          </w:p>
          <w:p>
            <w:pPr>
              <w:pStyle w:val="null3"/>
              <w:jc w:val="both"/>
            </w:pPr>
            <w:r>
              <w:rPr>
                <w:sz w:val="21"/>
              </w:rPr>
              <w:t>实现规则</w:t>
            </w:r>
            <w:r>
              <w:rPr>
                <w:sz w:val="21"/>
              </w:rPr>
              <w:t xml:space="preserve">:标签唯一：资产编码全局唯一，不得复用；盘点合规：盘点需双人复核，差异处理留痕；处置闭环：处置必须上传佐证（拍卖/报废证明），变更状态与价值同步到资产账；  </w:t>
            </w:r>
          </w:p>
          <w:p>
            <w:pPr>
              <w:pStyle w:val="null3"/>
              <w:jc w:val="both"/>
            </w:pPr>
            <w:r>
              <w:rPr>
                <w:sz w:val="21"/>
              </w:rPr>
              <w:t>移动端：拍照上传。</w:t>
            </w:r>
          </w:p>
          <w:p>
            <w:pPr>
              <w:pStyle w:val="null3"/>
              <w:jc w:val="both"/>
            </w:pPr>
            <w:r>
              <w:rPr>
                <w:sz w:val="21"/>
              </w:rPr>
              <w:t>5</w:t>
            </w:r>
            <w:r>
              <w:rPr>
                <w:sz w:val="21"/>
              </w:rPr>
              <w:t>、</w:t>
            </w:r>
            <w:r>
              <w:rPr>
                <w:sz w:val="21"/>
              </w:rPr>
              <w:t>OA流程配置与表单设计库（流程建模、表单生成、规则配置）</w:t>
            </w:r>
          </w:p>
          <w:p>
            <w:pPr>
              <w:pStyle w:val="null3"/>
              <w:jc w:val="both"/>
            </w:pPr>
            <w:r>
              <w:rPr>
                <w:sz w:val="21"/>
              </w:rPr>
              <w:t>提供可配置的流程建模与表单设计能力，支撑</w:t>
            </w:r>
            <w:r>
              <w:rPr>
                <w:sz w:val="21"/>
              </w:rPr>
              <w:t>OA条线内多类事项的快速装配、迭代与治理，降低开发成本，提升适应性。</w:t>
            </w:r>
          </w:p>
          <w:p>
            <w:pPr>
              <w:pStyle w:val="null3"/>
              <w:jc w:val="both"/>
            </w:pPr>
            <w:r>
              <w:rPr>
                <w:sz w:val="21"/>
              </w:rPr>
              <w:t>（</w:t>
            </w:r>
            <w:r>
              <w:rPr>
                <w:sz w:val="21"/>
              </w:rPr>
              <w:t xml:space="preserve">1）流程建模  </w:t>
            </w:r>
          </w:p>
          <w:p>
            <w:pPr>
              <w:pStyle w:val="null3"/>
              <w:jc w:val="both"/>
            </w:pPr>
            <w:r>
              <w:rPr>
                <w:sz w:val="21"/>
              </w:rPr>
              <w:t>流程元素：节点（审批</w:t>
            </w:r>
            <w:r>
              <w:rPr>
                <w:sz w:val="21"/>
              </w:rPr>
              <w:t>/会签/或签/抄送/网关）</w:t>
            </w:r>
          </w:p>
          <w:p>
            <w:pPr>
              <w:pStyle w:val="null3"/>
              <w:jc w:val="both"/>
            </w:pPr>
            <w:r>
              <w:rPr>
                <w:sz w:val="21"/>
              </w:rPr>
              <w:t>版本与发布：流程定义版本化；</w:t>
            </w:r>
          </w:p>
          <w:p>
            <w:pPr>
              <w:pStyle w:val="null3"/>
              <w:jc w:val="both"/>
            </w:pPr>
            <w:r>
              <w:rPr>
                <w:sz w:val="21"/>
              </w:rPr>
              <w:t>（</w:t>
            </w:r>
            <w:r>
              <w:rPr>
                <w:sz w:val="21"/>
              </w:rPr>
              <w:t xml:space="preserve">2）表单设计  </w:t>
            </w:r>
          </w:p>
          <w:p>
            <w:pPr>
              <w:pStyle w:val="null3"/>
              <w:jc w:val="both"/>
            </w:pPr>
            <w:r>
              <w:rPr>
                <w:sz w:val="21"/>
              </w:rPr>
              <w:t>表单组件：文本、数值、金额、枚举、附件、子表、签名；</w:t>
            </w:r>
            <w:r>
              <w:rPr>
                <w:sz w:val="21"/>
              </w:rPr>
              <w:t xml:space="preserve">  </w:t>
            </w:r>
          </w:p>
          <w:p>
            <w:pPr>
              <w:pStyle w:val="null3"/>
              <w:jc w:val="both"/>
            </w:pPr>
            <w:r>
              <w:rPr>
                <w:sz w:val="21"/>
              </w:rPr>
              <w:t>校验：必填、格式校验、正则、联动、跨字段校验；</w:t>
            </w:r>
            <w:r>
              <w:rPr>
                <w:sz w:val="21"/>
              </w:rPr>
              <w:t xml:space="preserve">  </w:t>
            </w:r>
          </w:p>
          <w:p>
            <w:pPr>
              <w:pStyle w:val="null3"/>
              <w:jc w:val="both"/>
            </w:pPr>
            <w:r>
              <w:rPr>
                <w:sz w:val="21"/>
              </w:rPr>
              <w:t>模板库：发文、收文、请假、加班、用章、采购、资产等常用模板可复制。</w:t>
            </w:r>
          </w:p>
          <w:p>
            <w:pPr>
              <w:pStyle w:val="null3"/>
              <w:jc w:val="both"/>
            </w:pPr>
            <w:r>
              <w:rPr>
                <w:sz w:val="21"/>
              </w:rPr>
              <w:t>（</w:t>
            </w:r>
            <w:r>
              <w:rPr>
                <w:sz w:val="21"/>
              </w:rPr>
              <w:t xml:space="preserve">3）规则引擎  </w:t>
            </w:r>
          </w:p>
          <w:p>
            <w:pPr>
              <w:pStyle w:val="null3"/>
              <w:jc w:val="both"/>
            </w:pPr>
            <w:r>
              <w:rPr>
                <w:sz w:val="21"/>
              </w:rPr>
              <w:t>前置</w:t>
            </w:r>
            <w:r>
              <w:rPr>
                <w:sz w:val="21"/>
              </w:rPr>
              <w:t>/后置：提交前校验（余额/阈值）、提交后动作（触发通知）。</w:t>
            </w:r>
          </w:p>
          <w:p>
            <w:pPr>
              <w:pStyle w:val="null3"/>
              <w:jc w:val="both"/>
            </w:pPr>
            <w:r>
              <w:rPr>
                <w:sz w:val="21"/>
              </w:rPr>
              <w:t>移动端：表单自适配渲染、常用字段自动填充、拍照上传。</w:t>
            </w:r>
          </w:p>
          <w:p>
            <w:pPr>
              <w:pStyle w:val="null3"/>
              <w:jc w:val="both"/>
            </w:pPr>
            <w:r>
              <w:rPr>
                <w:sz w:val="21"/>
                <w:b/>
              </w:rPr>
              <w:t>七、其他支撑模块</w:t>
            </w:r>
            <w:r>
              <w:rPr>
                <w:sz w:val="21"/>
                <w:b/>
              </w:rPr>
              <w:t>(PC与移动端通用)</w:t>
            </w:r>
          </w:p>
          <w:p>
            <w:pPr>
              <w:pStyle w:val="null3"/>
              <w:jc w:val="both"/>
            </w:pPr>
            <w:r>
              <w:rPr>
                <w:sz w:val="21"/>
              </w:rPr>
              <w:t>1、业务知识图谱配置与索引库（实体关系、规则、可视化配置）</w:t>
            </w:r>
          </w:p>
          <w:p>
            <w:pPr>
              <w:pStyle w:val="null3"/>
              <w:jc w:val="both"/>
            </w:pPr>
            <w:r>
              <w:rPr>
                <w:sz w:val="21"/>
              </w:rPr>
              <w:t>围绕</w:t>
            </w:r>
            <w:r>
              <w:rPr>
                <w:sz w:val="21"/>
              </w:rPr>
              <w:t>“人—企—校—项—果”五类核心对象，构建可配置的知识图谱关系链，支持直观可视化与路径分析，服务“找导师、找企业、找项目、找成果”等典型检索与发现场景，为国创院的决策与资源配置提供结构化支撑。</w:t>
            </w:r>
          </w:p>
          <w:p>
            <w:pPr>
              <w:pStyle w:val="null3"/>
              <w:jc w:val="both"/>
            </w:pPr>
            <w:r>
              <w:rPr>
                <w:sz w:val="21"/>
              </w:rPr>
              <w:t>（</w:t>
            </w:r>
            <w:r>
              <w:rPr>
                <w:sz w:val="21"/>
              </w:rPr>
              <w:t xml:space="preserve">1）图谱建模与配置  </w:t>
            </w:r>
          </w:p>
          <w:p>
            <w:pPr>
              <w:pStyle w:val="null3"/>
              <w:jc w:val="both"/>
            </w:pPr>
            <w:r>
              <w:rPr>
                <w:sz w:val="21"/>
              </w:rPr>
              <w:t>实体模型：高校、企业、导师、学生、项目、成果等实体标准化建模，定义基础属性（名称、领域标签、单位隶属、时效区间等）。</w:t>
            </w:r>
          </w:p>
          <w:p>
            <w:pPr>
              <w:pStyle w:val="null3"/>
              <w:jc w:val="both"/>
            </w:pPr>
            <w:r>
              <w:rPr>
                <w:sz w:val="21"/>
              </w:rPr>
              <w:t>关系类型：指导（导师</w:t>
            </w:r>
            <w:r>
              <w:rPr>
                <w:sz w:val="21"/>
              </w:rPr>
              <w:t xml:space="preserve">-学生）、参与（导师/学生-项目）、隶属（导师-高校、学生-高校、导师-企业兼职）、合作（高校-企业）、转化（项目-成果、成果-企业）。  </w:t>
            </w:r>
          </w:p>
          <w:p>
            <w:pPr>
              <w:pStyle w:val="null3"/>
              <w:jc w:val="both"/>
            </w:pPr>
            <w:r>
              <w:rPr>
                <w:sz w:val="21"/>
              </w:rPr>
              <w:t>配置中心：实体、关系、属性、标签可配置化，允许不同业务场景下的差异化视图（如人才侧、项目侧、企业侧）。</w:t>
            </w:r>
            <w:r>
              <w:rPr>
                <w:sz w:val="21"/>
              </w:rPr>
              <w:t xml:space="preserve">  </w:t>
            </w:r>
          </w:p>
          <w:p>
            <w:pPr>
              <w:pStyle w:val="null3"/>
              <w:jc w:val="both"/>
            </w:pPr>
            <w:r>
              <w:rPr>
                <w:sz w:val="21"/>
              </w:rPr>
              <w:t>（</w:t>
            </w:r>
            <w:r>
              <w:rPr>
                <w:sz w:val="21"/>
              </w:rPr>
              <w:t xml:space="preserve">2）索引与计算  </w:t>
            </w:r>
          </w:p>
          <w:p>
            <w:pPr>
              <w:pStyle w:val="null3"/>
              <w:jc w:val="both"/>
            </w:pPr>
            <w:r>
              <w:rPr>
                <w:sz w:val="21"/>
              </w:rPr>
              <w:t>索引构建：按日</w:t>
            </w:r>
            <w:r>
              <w:rPr>
                <w:sz w:val="21"/>
              </w:rPr>
              <w:t>/按需增量构建图谱索引，建立实体与关系的倒排表，支持高效查询。</w:t>
            </w:r>
          </w:p>
          <w:p>
            <w:pPr>
              <w:pStyle w:val="null3"/>
              <w:jc w:val="both"/>
            </w:pPr>
            <w:r>
              <w:rPr>
                <w:sz w:val="21"/>
              </w:rPr>
              <w:t>指标计算：节点度数、中心性、连通度、路径长度、相似度计算（用于推荐与发现）。</w:t>
            </w:r>
            <w:r>
              <w:rPr>
                <w:sz w:val="21"/>
              </w:rPr>
              <w:t xml:space="preserve">  </w:t>
            </w:r>
          </w:p>
          <w:p>
            <w:pPr>
              <w:pStyle w:val="null3"/>
              <w:jc w:val="both"/>
            </w:pPr>
            <w:r>
              <w:rPr>
                <w:sz w:val="21"/>
              </w:rPr>
              <w:t>画像与标签：对实体与关系追加画像指标（合作次数、成果质量评分、指导成效等）与语义标签。</w:t>
            </w:r>
            <w:r>
              <w:rPr>
                <w:sz w:val="21"/>
              </w:rPr>
              <w:t xml:space="preserve">  </w:t>
            </w:r>
          </w:p>
          <w:p>
            <w:pPr>
              <w:pStyle w:val="null3"/>
              <w:jc w:val="both"/>
            </w:pPr>
            <w:r>
              <w:rPr>
                <w:sz w:val="21"/>
              </w:rPr>
              <w:t>（</w:t>
            </w:r>
            <w:r>
              <w:rPr>
                <w:sz w:val="21"/>
              </w:rPr>
              <w:t xml:space="preserve">3）可视化与交互  </w:t>
            </w:r>
          </w:p>
          <w:p>
            <w:pPr>
              <w:pStyle w:val="null3"/>
              <w:jc w:val="both"/>
            </w:pPr>
            <w:r>
              <w:rPr>
                <w:sz w:val="21"/>
              </w:rPr>
              <w:t>关系视图：节点成簇显示、关系线条动态权重、悬浮卡片展示摘要信息、颜色</w:t>
            </w:r>
            <w:r>
              <w:rPr>
                <w:sz w:val="21"/>
              </w:rPr>
              <w:t>/形状区分实体类型。</w:t>
            </w:r>
          </w:p>
          <w:p>
            <w:pPr>
              <w:pStyle w:val="null3"/>
              <w:jc w:val="both"/>
            </w:pPr>
            <w:r>
              <w:rPr>
                <w:sz w:val="21"/>
              </w:rPr>
              <w:t>交互操作：关系过滤（仅显示某类关系）截图。</w:t>
            </w:r>
            <w:r>
              <w:rPr>
                <w:sz w:val="21"/>
              </w:rPr>
              <w:t xml:space="preserve">  </w:t>
            </w:r>
          </w:p>
          <w:p>
            <w:pPr>
              <w:pStyle w:val="null3"/>
              <w:jc w:val="both"/>
            </w:pPr>
            <w:r>
              <w:rPr>
                <w:sz w:val="21"/>
              </w:rPr>
              <w:t>场景入口：在</w:t>
            </w:r>
            <w:r>
              <w:rPr>
                <w:sz w:val="21"/>
              </w:rPr>
              <w:t>“找导师/找企业/找项目/找成果”入口中，搜索结果支持“一键切换图谱视图”。</w:t>
            </w:r>
          </w:p>
          <w:p>
            <w:pPr>
              <w:pStyle w:val="null3"/>
              <w:jc w:val="both"/>
            </w:pPr>
            <w:r>
              <w:rPr>
                <w:sz w:val="21"/>
              </w:rPr>
              <w:t>（</w:t>
            </w:r>
            <w:r>
              <w:rPr>
                <w:sz w:val="21"/>
              </w:rPr>
              <w:t xml:space="preserve">4）应用与推荐  </w:t>
            </w:r>
          </w:p>
          <w:p>
            <w:pPr>
              <w:pStyle w:val="null3"/>
              <w:jc w:val="both"/>
            </w:pPr>
            <w:r>
              <w:rPr>
                <w:sz w:val="21"/>
              </w:rPr>
              <w:t>场景化推荐：根据企业的技术方向与既往合作记录，推荐匹配高校与导师；根据学生技能与导师研究方向，推荐合适项目；根据项目领域，推荐潜在转化成果或企业。</w:t>
            </w:r>
            <w:r>
              <w:rPr>
                <w:sz w:val="21"/>
              </w:rPr>
              <w:t xml:space="preserve">  </w:t>
            </w:r>
          </w:p>
          <w:p>
            <w:pPr>
              <w:pStyle w:val="null3"/>
              <w:jc w:val="both"/>
            </w:pPr>
            <w:r>
              <w:rPr>
                <w:sz w:val="21"/>
              </w:rPr>
              <w:t>实现规则：数据来源：仅基于系统内权威数据域（学生档案、导师与企业档案、联培项目、攻关项目、成果与转化过程等）构建，不接入外部不可控数据源；权限隔离：图谱查询与节点详情访问严格按权限控制；对外或公开端仅展示审核后的公开字；更新机制：支持定时构建与事件触发（如新成果入库、导师续聘成功）；合规与脱敏：涉及个人敏感信息（联系方式、证件号等）不在图谱中直接呈现。</w:t>
            </w:r>
          </w:p>
          <w:p>
            <w:pPr>
              <w:pStyle w:val="null3"/>
              <w:jc w:val="both"/>
            </w:pPr>
            <w:r>
              <w:rPr>
                <w:sz w:val="21"/>
              </w:rPr>
              <w:t>2、通用附件与报表库（附件处理、报表定义与发布）</w:t>
            </w:r>
          </w:p>
          <w:p>
            <w:pPr>
              <w:pStyle w:val="null3"/>
              <w:jc w:val="both"/>
            </w:pPr>
            <w:r>
              <w:rPr>
                <w:sz w:val="21"/>
              </w:rPr>
              <w:t>提供跨业务统一的附件管理与在线预览能力，支持大文件分片上传、权限控制；同时建设报表模版定义管理与发布能力，满足管理报表、快速导出等通用诉求。</w:t>
            </w:r>
          </w:p>
          <w:p>
            <w:pPr>
              <w:pStyle w:val="null3"/>
              <w:jc w:val="both"/>
            </w:pPr>
            <w:r>
              <w:rPr>
                <w:sz w:val="21"/>
              </w:rPr>
              <w:t>（</w:t>
            </w:r>
            <w:r>
              <w:rPr>
                <w:sz w:val="21"/>
              </w:rPr>
              <w:t>1）统一对象存储存放附件</w:t>
            </w:r>
          </w:p>
          <w:p>
            <w:pPr>
              <w:pStyle w:val="null3"/>
              <w:jc w:val="both"/>
            </w:pPr>
            <w:r>
              <w:rPr>
                <w:sz w:val="21"/>
              </w:rPr>
              <w:t>文件上传：支持单文件</w:t>
            </w:r>
            <w:r>
              <w:rPr>
                <w:sz w:val="21"/>
              </w:rPr>
              <w:t>/多文件批量上传，大文件自动分片保存；</w:t>
            </w:r>
          </w:p>
          <w:p>
            <w:pPr>
              <w:pStyle w:val="null3"/>
              <w:jc w:val="both"/>
            </w:pPr>
            <w:r>
              <w:rPr>
                <w:sz w:val="21"/>
              </w:rPr>
              <w:t>预览与水印：常见文件（</w:t>
            </w:r>
            <w:r>
              <w:rPr>
                <w:sz w:val="21"/>
              </w:rPr>
              <w:t xml:space="preserve">PDF/Office/图片/视频）在线预览，动态水印（用户/时间/IP/用途），下载带水印与审计；  </w:t>
            </w:r>
          </w:p>
          <w:p>
            <w:pPr>
              <w:pStyle w:val="null3"/>
              <w:jc w:val="both"/>
            </w:pPr>
            <w:r>
              <w:rPr>
                <w:sz w:val="21"/>
              </w:rPr>
              <w:t>存储与生命周期：统一对象存储策略</w:t>
            </w:r>
          </w:p>
          <w:p>
            <w:pPr>
              <w:pStyle w:val="null3"/>
              <w:jc w:val="both"/>
            </w:pPr>
            <w:r>
              <w:rPr>
                <w:sz w:val="21"/>
              </w:rPr>
              <w:t>（</w:t>
            </w:r>
            <w:r>
              <w:rPr>
                <w:sz w:val="21"/>
              </w:rPr>
              <w:t xml:space="preserve">2）附件索引与权限  </w:t>
            </w:r>
          </w:p>
          <w:p>
            <w:pPr>
              <w:pStyle w:val="null3"/>
              <w:jc w:val="both"/>
            </w:pPr>
            <w:r>
              <w:rPr>
                <w:sz w:val="21"/>
              </w:rPr>
              <w:t>元数据索引，继承业务对象权限（仅业务属主</w:t>
            </w:r>
            <w:r>
              <w:rPr>
                <w:sz w:val="21"/>
              </w:rPr>
              <w:t xml:space="preserve">/审批人可见）；  </w:t>
            </w:r>
          </w:p>
          <w:p>
            <w:pPr>
              <w:pStyle w:val="null3"/>
              <w:jc w:val="both"/>
            </w:pPr>
            <w:r>
              <w:rPr>
                <w:sz w:val="21"/>
              </w:rPr>
              <w:t>关联与复用：同一文件可被多个业务对象引用，避免重复存储，引用断开不删除源文件。</w:t>
            </w:r>
          </w:p>
          <w:p>
            <w:pPr>
              <w:pStyle w:val="null3"/>
              <w:jc w:val="both"/>
            </w:pPr>
            <w:r>
              <w:rPr>
                <w:sz w:val="21"/>
              </w:rPr>
              <w:t>（</w:t>
            </w:r>
            <w:r>
              <w:rPr>
                <w:sz w:val="21"/>
              </w:rPr>
              <w:t>3）报表模版管理</w:t>
            </w:r>
          </w:p>
          <w:p>
            <w:pPr>
              <w:pStyle w:val="null3"/>
              <w:jc w:val="both"/>
            </w:pPr>
            <w:r>
              <w:rPr>
                <w:sz w:val="21"/>
              </w:rPr>
              <w:t xml:space="preserve">Excel/CSV/WORD，报表模版归档以确保口径一致。  </w:t>
            </w:r>
          </w:p>
          <w:p>
            <w:pPr>
              <w:pStyle w:val="null3"/>
              <w:jc w:val="both"/>
            </w:pPr>
            <w:r>
              <w:rPr>
                <w:sz w:val="21"/>
              </w:rPr>
              <w:t>实现方式：资源控制，大文件与大报表均设置限额，防止资源被单点任务占满；移动端支持小体量报表与附件在线预览。</w:t>
            </w:r>
          </w:p>
          <w:p>
            <w:pPr>
              <w:pStyle w:val="null3"/>
              <w:jc w:val="both"/>
            </w:pPr>
            <w:r>
              <w:rPr>
                <w:sz w:val="21"/>
              </w:rPr>
              <w:t>3、跨端操作审计与追溯库（PC/移动端统一）</w:t>
            </w:r>
          </w:p>
          <w:p>
            <w:pPr>
              <w:pStyle w:val="null3"/>
              <w:jc w:val="both"/>
            </w:pPr>
            <w:r>
              <w:rPr>
                <w:sz w:val="21"/>
              </w:rPr>
              <w:t>面向全系统搭建统一的</w:t>
            </w:r>
            <w:r>
              <w:rPr>
                <w:sz w:val="21"/>
              </w:rPr>
              <w:t>“操作行为审计与安全日志”底座，覆盖PC端与移动端的关键动作与安全事件，实现“全面覆盖、不可篡改、快速检索、合规留存、可视化追溯”，满足等保二级与内部审计的要求，并为运维监控与风险处置提供依据。</w:t>
            </w:r>
          </w:p>
          <w:p>
            <w:pPr>
              <w:pStyle w:val="null3"/>
              <w:jc w:val="both"/>
            </w:pPr>
            <w:r>
              <w:rPr>
                <w:sz w:val="21"/>
              </w:rPr>
              <w:t>（</w:t>
            </w:r>
            <w:r>
              <w:rPr>
                <w:sz w:val="21"/>
              </w:rPr>
              <w:t>1）审计范围与对象</w:t>
            </w:r>
          </w:p>
          <w:p>
            <w:pPr>
              <w:pStyle w:val="null3"/>
              <w:jc w:val="both"/>
            </w:pPr>
            <w:r>
              <w:rPr>
                <w:sz w:val="21"/>
              </w:rPr>
              <w:t>操作行为：登录</w:t>
            </w:r>
            <w:r>
              <w:rPr>
                <w:sz w:val="21"/>
              </w:rPr>
              <w:t>/登出、口令重置、权限分配与回收、菜单/按钮/数据权限变更、数据新增/修改/删除/导入/导出、审批动作（提交、通过、驳回、撤回、加签/转签）、发布与撤回（公告/公示/对外信息）、资源下载与在线预览、流程配置与发布。</w:t>
            </w:r>
          </w:p>
          <w:p>
            <w:pPr>
              <w:pStyle w:val="null3"/>
              <w:jc w:val="both"/>
            </w:pPr>
            <w:r>
              <w:rPr>
                <w:sz w:val="21"/>
              </w:rPr>
              <w:t>（</w:t>
            </w:r>
            <w:r>
              <w:rPr>
                <w:sz w:val="21"/>
              </w:rPr>
              <w:t>2）日志模型与字段规范</w:t>
            </w:r>
          </w:p>
          <w:p>
            <w:pPr>
              <w:pStyle w:val="null3"/>
              <w:jc w:val="both"/>
            </w:pPr>
            <w:r>
              <w:rPr>
                <w:sz w:val="21"/>
              </w:rPr>
              <w:t>统一结构化日志：时间戳、操作人（账号、姓名、角色、组织）、来源端（</w:t>
            </w:r>
            <w:r>
              <w:rPr>
                <w:sz w:val="21"/>
              </w:rPr>
              <w:t>PC/小程序/API）、会话/设备ID、IP与地理信息、对象资源（模块、业务主键、对象摘要）、动作类型（CRUD/审批/配置/导入导出等）、结果（成功/失败/部分成功）</w:t>
            </w:r>
          </w:p>
          <w:p>
            <w:pPr>
              <w:pStyle w:val="null3"/>
              <w:jc w:val="both"/>
            </w:pPr>
            <w:r>
              <w:rPr>
                <w:sz w:val="21"/>
              </w:rPr>
              <w:t>安全加严字段：对可能含敏感信息的字段（证件号、手机号、邮箱、合同金额等）仅记录掩码后的摘要，原文不入日志。</w:t>
            </w:r>
          </w:p>
          <w:p>
            <w:pPr>
              <w:pStyle w:val="null3"/>
              <w:jc w:val="both"/>
            </w:pPr>
            <w:r>
              <w:rPr>
                <w:sz w:val="21"/>
              </w:rPr>
              <w:t>关联</w:t>
            </w:r>
            <w:r>
              <w:rPr>
                <w:sz w:val="21"/>
              </w:rPr>
              <w:t>ID：跨表操作生成“审计事务ID”，用于串起一次业务操作的多步行为；跨系统调用记录“调用链ID”。</w:t>
            </w:r>
          </w:p>
          <w:p>
            <w:pPr>
              <w:pStyle w:val="null3"/>
              <w:jc w:val="both"/>
            </w:pPr>
            <w:r>
              <w:rPr>
                <w:sz w:val="21"/>
              </w:rPr>
              <w:t>（</w:t>
            </w:r>
            <w:r>
              <w:rPr>
                <w:sz w:val="21"/>
              </w:rPr>
              <w:t>3）日志采集与落库</w:t>
            </w:r>
          </w:p>
          <w:p>
            <w:pPr>
              <w:pStyle w:val="null3"/>
              <w:jc w:val="both"/>
            </w:pPr>
            <w:r>
              <w:rPr>
                <w:sz w:val="21"/>
              </w:rPr>
              <w:t>采集方式：网关拦截（入口层）</w:t>
            </w:r>
            <w:r>
              <w:rPr>
                <w:sz w:val="21"/>
              </w:rPr>
              <w:t>+后端AOP拦截（控制器/服务）（仅做关键字段变更的影子记录，不影响事务性能）；前端记录少量必要事件（不含敏感数据）作为体验优化与回放参考。</w:t>
            </w:r>
          </w:p>
          <w:p>
            <w:pPr>
              <w:pStyle w:val="null3"/>
              <w:jc w:val="both"/>
            </w:pPr>
            <w:r>
              <w:rPr>
                <w:sz w:val="21"/>
              </w:rPr>
              <w:t>落库策略：高写入采用异步队列批量落库</w:t>
            </w:r>
          </w:p>
          <w:p>
            <w:pPr>
              <w:pStyle w:val="null3"/>
              <w:jc w:val="both"/>
            </w:pPr>
            <w:r>
              <w:rPr>
                <w:sz w:val="21"/>
              </w:rPr>
              <w:t>完整性与防篡改：日志追加写、不可改；</w:t>
            </w:r>
          </w:p>
          <w:p>
            <w:pPr>
              <w:pStyle w:val="null3"/>
              <w:jc w:val="both"/>
            </w:pPr>
            <w:r>
              <w:rPr>
                <w:sz w:val="21"/>
              </w:rPr>
              <w:t>（</w:t>
            </w:r>
            <w:r>
              <w:rPr>
                <w:sz w:val="21"/>
              </w:rPr>
              <w:t>4）查询检索与可视化</w:t>
            </w:r>
          </w:p>
          <w:p>
            <w:pPr>
              <w:pStyle w:val="null3"/>
              <w:jc w:val="both"/>
            </w:pPr>
            <w:r>
              <w:rPr>
                <w:sz w:val="21"/>
              </w:rPr>
              <w:t>审计查询：按人</w:t>
            </w:r>
            <w:r>
              <w:rPr>
                <w:sz w:val="21"/>
              </w:rPr>
              <w:t>/时间/模块/来源端/IP/动作类型/结果等组合检索；支持多条件筛选、分页、导出</w:t>
            </w:r>
          </w:p>
          <w:p>
            <w:pPr>
              <w:pStyle w:val="null3"/>
              <w:jc w:val="both"/>
            </w:pPr>
            <w:r>
              <w:rPr>
                <w:sz w:val="21"/>
              </w:rPr>
              <w:t>轨迹追溯：以</w:t>
            </w:r>
            <w:r>
              <w:rPr>
                <w:sz w:val="21"/>
              </w:rPr>
              <w:t>“审计事务ID/调用链ID”为主线展示一次操作的全路径（谁在何时通过哪个端对哪个对象做了什么、先后顺序、是否触发外部网关等）。</w:t>
            </w:r>
          </w:p>
          <w:p>
            <w:pPr>
              <w:pStyle w:val="null3"/>
              <w:jc w:val="both"/>
            </w:pPr>
            <w:r>
              <w:rPr>
                <w:sz w:val="21"/>
              </w:rPr>
              <w:t>留存与归档：在线可查不少于</w:t>
            </w:r>
            <w:r>
              <w:rPr>
                <w:sz w:val="21"/>
              </w:rPr>
              <w:t>180天，归档保存≥2年（或按甲方安全策略执行）；归档可查询但不支持直接删除。</w:t>
            </w:r>
          </w:p>
          <w:p>
            <w:pPr>
              <w:pStyle w:val="null3"/>
              <w:jc w:val="both"/>
            </w:pPr>
            <w:r>
              <w:rPr>
                <w:sz w:val="21"/>
              </w:rPr>
              <w:t>权限控制：审计查询界面仅向具备</w:t>
            </w:r>
            <w:r>
              <w:rPr>
                <w:sz w:val="21"/>
              </w:rPr>
              <w:t>“审计查看”权限的人员开放；操作导出需审批。</w:t>
            </w:r>
          </w:p>
          <w:p>
            <w:pPr>
              <w:pStyle w:val="null3"/>
              <w:jc w:val="both"/>
            </w:pPr>
            <w:r>
              <w:rPr>
                <w:sz w:val="21"/>
              </w:rPr>
              <w:t>合规对齐：逐项覆盖等保二级的</w:t>
            </w:r>
            <w:r>
              <w:rPr>
                <w:sz w:val="21"/>
              </w:rPr>
              <w:t>“安全审计”条款；支持安全测评取证。</w:t>
            </w:r>
          </w:p>
          <w:p>
            <w:pPr>
              <w:pStyle w:val="null3"/>
              <w:jc w:val="both"/>
            </w:pPr>
            <w:r>
              <w:rPr>
                <w:sz w:val="21"/>
              </w:rPr>
              <w:t>跨端一致：移动端与</w:t>
            </w:r>
            <w:r>
              <w:rPr>
                <w:sz w:val="21"/>
              </w:rPr>
              <w:t>PC端同一口径落审计，移动端附加记录小程序OpenID/UnionID（脱敏）与终端型号。</w:t>
            </w:r>
          </w:p>
          <w:p>
            <w:pPr>
              <w:pStyle w:val="null3"/>
              <w:jc w:val="both"/>
            </w:pPr>
            <w:r>
              <w:rPr>
                <w:sz w:val="21"/>
              </w:rPr>
              <w:t>（</w:t>
            </w:r>
            <w:r>
              <w:rPr>
                <w:sz w:val="21"/>
              </w:rPr>
              <w:t>5</w:t>
            </w:r>
            <w:r>
              <w:rPr>
                <w:sz w:val="21"/>
              </w:rPr>
              <w:t>）</w:t>
            </w:r>
            <w:r>
              <w:rPr>
                <w:sz w:val="21"/>
              </w:rPr>
              <w:t>本项目为新建系统，将在设计和开发阶段即考虑</w:t>
            </w:r>
            <w:r>
              <w:rPr>
                <w:sz w:val="21"/>
              </w:rPr>
              <w:t>信息技术应用创新</w:t>
            </w:r>
            <w:r>
              <w:rPr>
                <w:sz w:val="21"/>
              </w:rPr>
              <w:t>要求。</w:t>
            </w:r>
          </w:p>
        </w:tc>
      </w:tr>
      <w:tr>
        <w:tc>
          <w:tcPr>
            <w:tcW w:type="dxa" w:w="2076"/>
          </w:tcPr>
          <w:p/>
        </w:tc>
        <w:tc>
          <w:tcPr>
            <w:tcW w:type="dxa" w:w="415"/>
          </w:tcPr>
          <w:p>
            <w:pPr>
              <w:pStyle w:val="null3"/>
            </w:pPr>
            <w:r>
              <w:rPr/>
              <w:t>3</w:t>
            </w:r>
          </w:p>
        </w:tc>
        <w:tc>
          <w:tcPr>
            <w:tcW w:type="dxa" w:w="5814"/>
          </w:tcPr>
          <w:p>
            <w:pPr>
              <w:pStyle w:val="null3"/>
              <w:jc w:val="both"/>
            </w:pPr>
            <w:r>
              <w:rPr>
                <w:sz w:val="21"/>
              </w:rPr>
              <w:t>文档管理要求</w:t>
            </w:r>
          </w:p>
          <w:p>
            <w:pPr>
              <w:pStyle w:val="null3"/>
              <w:jc w:val="both"/>
            </w:pPr>
            <w:r>
              <w:rPr>
                <w:sz w:val="21"/>
              </w:rPr>
              <w:t>本项目文档严格遵照国家软件工程规范进行管理，中标人需根据实施进度及时提供相应的过程及成果文档。所有文档需在最终验收前集结成册并正式交付。具体交付节点与文档要求如下：</w:t>
            </w:r>
          </w:p>
          <w:p>
            <w:pPr>
              <w:pStyle w:val="null3"/>
              <w:jc w:val="both"/>
            </w:pPr>
            <w:r>
              <w:rPr>
                <w:sz w:val="21"/>
              </w:rPr>
              <w:t xml:space="preserve">1. </w:t>
            </w:r>
            <w:r>
              <w:rPr>
                <w:sz w:val="21"/>
              </w:rPr>
              <w:t>用户验收测试（</w:t>
            </w:r>
            <w:r>
              <w:rPr>
                <w:sz w:val="21"/>
              </w:rPr>
              <w:t>UAT）阶段前交付的文档</w:t>
            </w:r>
          </w:p>
          <w:p>
            <w:pPr>
              <w:pStyle w:val="null3"/>
              <w:jc w:val="both"/>
            </w:pPr>
            <w:r>
              <w:rPr>
                <w:sz w:val="21"/>
              </w:rPr>
              <w:t>(1)</w:t>
            </w:r>
            <w:r>
              <w:rPr>
                <w:sz w:val="21"/>
              </w:rPr>
              <w:t>需求与设计阶段（合同签订后</w:t>
            </w:r>
            <w:r>
              <w:rPr>
                <w:sz w:val="21"/>
              </w:rPr>
              <w:t>1个月内交付）：</w:t>
            </w:r>
          </w:p>
          <w:p>
            <w:pPr>
              <w:pStyle w:val="null3"/>
              <w:ind w:left="420"/>
              <w:jc w:val="both"/>
            </w:pPr>
            <w:r>
              <w:rPr>
                <w:sz w:val="21"/>
              </w:rPr>
              <w:t>1)</w:t>
            </w:r>
            <w:r>
              <w:rPr>
                <w:sz w:val="21"/>
              </w:rPr>
              <w:t>《项目详细实施方案》</w:t>
            </w:r>
          </w:p>
          <w:p>
            <w:pPr>
              <w:pStyle w:val="null3"/>
              <w:ind w:left="420"/>
              <w:jc w:val="both"/>
            </w:pPr>
            <w:r>
              <w:rPr>
                <w:sz w:val="21"/>
              </w:rPr>
              <w:t>2)</w:t>
            </w:r>
            <w:r>
              <w:rPr>
                <w:sz w:val="21"/>
              </w:rPr>
              <w:t>《需求规格说明书》</w:t>
            </w:r>
          </w:p>
          <w:p>
            <w:pPr>
              <w:pStyle w:val="null3"/>
              <w:ind w:left="420"/>
              <w:jc w:val="both"/>
            </w:pPr>
            <w:r>
              <w:rPr>
                <w:sz w:val="21"/>
              </w:rPr>
              <w:t>3)</w:t>
            </w:r>
            <w:r>
              <w:rPr>
                <w:sz w:val="21"/>
              </w:rPr>
              <w:t>《系统概要设计说明书》</w:t>
            </w:r>
          </w:p>
          <w:p>
            <w:pPr>
              <w:pStyle w:val="null3"/>
              <w:ind w:left="420"/>
              <w:jc w:val="both"/>
            </w:pPr>
            <w:r>
              <w:rPr>
                <w:sz w:val="21"/>
              </w:rPr>
              <w:t>4)</w:t>
            </w:r>
            <w:r>
              <w:rPr>
                <w:sz w:val="21"/>
              </w:rPr>
              <w:t>《系统详细设计说明书》</w:t>
            </w:r>
          </w:p>
          <w:p>
            <w:pPr>
              <w:pStyle w:val="null3"/>
              <w:ind w:left="420"/>
              <w:jc w:val="both"/>
            </w:pPr>
            <w:r>
              <w:rPr>
                <w:sz w:val="21"/>
              </w:rPr>
              <w:t>5)</w:t>
            </w:r>
            <w:r>
              <w:rPr>
                <w:sz w:val="21"/>
              </w:rPr>
              <w:t>《数据库设计说明书》</w:t>
            </w:r>
          </w:p>
          <w:p>
            <w:pPr>
              <w:pStyle w:val="null3"/>
              <w:jc w:val="both"/>
            </w:pPr>
            <w:r>
              <w:rPr>
                <w:sz w:val="21"/>
              </w:rPr>
              <w:t>(</w:t>
            </w:r>
            <w:r>
              <w:rPr>
                <w:sz w:val="21"/>
              </w:rPr>
              <w:t>2</w:t>
            </w:r>
            <w:r>
              <w:rPr>
                <w:sz w:val="21"/>
              </w:rPr>
              <w:t>)</w:t>
            </w:r>
            <w:r>
              <w:rPr>
                <w:sz w:val="21"/>
              </w:rPr>
              <w:t>开发与测试阶段（用户验收测试开始前交付）：</w:t>
            </w:r>
          </w:p>
          <w:p>
            <w:pPr>
              <w:pStyle w:val="null3"/>
              <w:ind w:left="420"/>
              <w:jc w:val="both"/>
            </w:pPr>
            <w:r>
              <w:rPr>
                <w:sz w:val="21"/>
              </w:rPr>
              <w:t>1)</w:t>
            </w:r>
            <w:r>
              <w:rPr>
                <w:sz w:val="21"/>
              </w:rPr>
              <w:t>《用户操作手册》（用于指导测试与用户培训）</w:t>
            </w:r>
          </w:p>
          <w:p>
            <w:pPr>
              <w:pStyle w:val="null3"/>
              <w:ind w:left="420"/>
              <w:jc w:val="both"/>
            </w:pPr>
            <w:r>
              <w:rPr>
                <w:sz w:val="21"/>
              </w:rPr>
              <w:t>2)</w:t>
            </w:r>
            <w:r>
              <w:rPr>
                <w:sz w:val="21"/>
              </w:rPr>
              <w:t>《系统管理员手册》（含系统安装、配置、维护指南）</w:t>
            </w:r>
          </w:p>
          <w:p>
            <w:pPr>
              <w:pStyle w:val="null3"/>
              <w:ind w:left="420"/>
              <w:jc w:val="both"/>
            </w:pPr>
            <w:r>
              <w:rPr>
                <w:sz w:val="21"/>
              </w:rPr>
              <w:t>3)</w:t>
            </w:r>
            <w:r>
              <w:rPr>
                <w:sz w:val="21"/>
              </w:rPr>
              <w:t>《测试计划》与《测试分析报告》（含内部测试报告）</w:t>
            </w:r>
          </w:p>
          <w:p>
            <w:pPr>
              <w:pStyle w:val="null3"/>
              <w:ind w:left="420"/>
              <w:jc w:val="both"/>
            </w:pPr>
            <w:r>
              <w:rPr>
                <w:sz w:val="21"/>
              </w:rPr>
              <w:t>4)《系统部署上线方案》</w:t>
            </w:r>
          </w:p>
          <w:p>
            <w:pPr>
              <w:pStyle w:val="null3"/>
              <w:jc w:val="both"/>
            </w:pPr>
            <w:r>
              <w:rPr>
                <w:sz w:val="21"/>
              </w:rPr>
              <w:t>3. 申请项目最终验收前交付的文档：</w:t>
            </w:r>
          </w:p>
          <w:p>
            <w:pPr>
              <w:pStyle w:val="null3"/>
              <w:ind w:left="420"/>
              <w:jc w:val="both"/>
            </w:pPr>
            <w:r>
              <w:rPr>
                <w:sz w:val="21"/>
              </w:rPr>
              <w:t>(1)关键验收文档</w:t>
            </w:r>
          </w:p>
          <w:p>
            <w:pPr>
              <w:pStyle w:val="null3"/>
              <w:ind w:left="420"/>
              <w:jc w:val="both"/>
            </w:pPr>
            <w:r>
              <w:rPr>
                <w:sz w:val="21"/>
              </w:rPr>
              <w:t>1)</w:t>
            </w:r>
            <w:r>
              <w:rPr>
                <w:sz w:val="21"/>
              </w:rPr>
              <w:t>《用户验收测试</w:t>
            </w:r>
            <w:r>
              <w:rPr>
                <w:sz w:val="21"/>
              </w:rPr>
              <w:t>(UAT)报告及通过确认书》（需</w:t>
            </w:r>
            <w:r>
              <w:rPr>
                <w:sz w:val="21"/>
              </w:rPr>
              <w:t>包含明确的</w:t>
            </w:r>
            <w:r>
              <w:rPr>
                <w:sz w:val="21"/>
              </w:rPr>
              <w:t>“通过”结论，</w:t>
            </w:r>
            <w:r>
              <w:rPr>
                <w:sz w:val="21"/>
              </w:rPr>
              <w:t>且由</w:t>
            </w:r>
            <w:r>
              <w:rPr>
                <w:sz w:val="21"/>
              </w:rPr>
              <w:t>采购人</w:t>
            </w:r>
            <w:r>
              <w:rPr>
                <w:sz w:val="21"/>
              </w:rPr>
              <w:t>授权代表</w:t>
            </w:r>
            <w:r>
              <w:rPr>
                <w:sz w:val="21"/>
              </w:rPr>
              <w:t>签字确认）</w:t>
            </w:r>
          </w:p>
          <w:p>
            <w:pPr>
              <w:pStyle w:val="null3"/>
              <w:ind w:left="420"/>
              <w:jc w:val="both"/>
            </w:pPr>
            <w:r>
              <w:rPr>
                <w:sz w:val="21"/>
              </w:rPr>
              <w:t>2)</w:t>
            </w:r>
            <w:r>
              <w:rPr>
                <w:sz w:val="21"/>
              </w:rPr>
              <w:t>《试运行报告》</w:t>
            </w:r>
          </w:p>
          <w:p>
            <w:pPr>
              <w:pStyle w:val="null3"/>
              <w:ind w:left="420"/>
              <w:jc w:val="both"/>
            </w:pPr>
            <w:r>
              <w:rPr>
                <w:sz w:val="21"/>
              </w:rPr>
              <w:t>3)</w:t>
            </w:r>
            <w:r>
              <w:rPr>
                <w:sz w:val="21"/>
              </w:rPr>
              <w:t>国家网络安全等级保护二级《测评报告》</w:t>
            </w:r>
          </w:p>
          <w:p>
            <w:pPr>
              <w:pStyle w:val="null3"/>
              <w:ind w:left="420"/>
              <w:jc w:val="both"/>
            </w:pPr>
            <w:r>
              <w:rPr>
                <w:sz w:val="21"/>
              </w:rPr>
              <w:t>(</w:t>
            </w:r>
            <w:r>
              <w:rPr>
                <w:sz w:val="21"/>
              </w:rPr>
              <w:t>2</w:t>
            </w:r>
            <w:r>
              <w:rPr>
                <w:sz w:val="21"/>
              </w:rPr>
              <w:t>)项目总结与交付物文档</w:t>
            </w:r>
          </w:p>
          <w:p>
            <w:pPr>
              <w:pStyle w:val="null3"/>
              <w:ind w:left="420"/>
              <w:jc w:val="both"/>
            </w:pPr>
            <w:r>
              <w:rPr>
                <w:sz w:val="21"/>
              </w:rPr>
              <w:t>1</w:t>
            </w:r>
            <w:r>
              <w:rPr>
                <w:sz w:val="21"/>
              </w:rPr>
              <w:t>)</w:t>
            </w:r>
            <w:r>
              <w:rPr>
                <w:sz w:val="21"/>
              </w:rPr>
              <w:t>《项目总结报告》</w:t>
            </w:r>
          </w:p>
          <w:p>
            <w:pPr>
              <w:pStyle w:val="null3"/>
              <w:ind w:left="420"/>
              <w:jc w:val="both"/>
            </w:pPr>
            <w:r>
              <w:rPr>
                <w:sz w:val="21"/>
              </w:rPr>
              <w:t>2</w:t>
            </w:r>
            <w:r>
              <w:rPr>
                <w:sz w:val="21"/>
              </w:rPr>
              <w:t>)</w:t>
            </w:r>
            <w:r>
              <w:rPr>
                <w:sz w:val="21"/>
              </w:rPr>
              <w:t>《系统安装维护手册》</w:t>
            </w:r>
          </w:p>
          <w:p>
            <w:pPr>
              <w:pStyle w:val="null3"/>
              <w:ind w:left="420"/>
              <w:jc w:val="both"/>
            </w:pPr>
            <w:r>
              <w:rPr>
                <w:sz w:val="21"/>
              </w:rPr>
              <w:t>3</w:t>
            </w:r>
            <w:r>
              <w:rPr>
                <w:sz w:val="21"/>
              </w:rPr>
              <w:t>)</w:t>
            </w:r>
            <w:r>
              <w:rPr>
                <w:sz w:val="21"/>
              </w:rPr>
              <w:t>《培训手册》及</w:t>
            </w:r>
            <w:r>
              <w:rPr>
                <w:sz w:val="21"/>
              </w:rPr>
              <w:t>完整</w:t>
            </w:r>
            <w:r>
              <w:rPr>
                <w:sz w:val="21"/>
              </w:rPr>
              <w:t>培训记录</w:t>
            </w:r>
          </w:p>
          <w:p>
            <w:pPr>
              <w:pStyle w:val="null3"/>
              <w:ind w:left="420"/>
              <w:jc w:val="both"/>
            </w:pPr>
            <w:r>
              <w:rPr>
                <w:sz w:val="21"/>
              </w:rPr>
              <w:t>4</w:t>
            </w:r>
            <w:r>
              <w:rPr>
                <w:sz w:val="21"/>
              </w:rPr>
              <w:t>)</w:t>
            </w:r>
            <w:r>
              <w:rPr>
                <w:sz w:val="21"/>
              </w:rPr>
              <w:t>《系统安全响应应急预案》</w:t>
            </w:r>
          </w:p>
          <w:p>
            <w:pPr>
              <w:pStyle w:val="null3"/>
              <w:ind w:left="420"/>
              <w:jc w:val="both"/>
            </w:pPr>
            <w:r>
              <w:rPr>
                <w:sz w:val="21"/>
              </w:rPr>
              <w:t>5</w:t>
            </w:r>
            <w:r>
              <w:rPr>
                <w:sz w:val="21"/>
              </w:rPr>
              <w:t>)</w:t>
            </w:r>
            <w:r>
              <w:rPr>
                <w:sz w:val="21"/>
              </w:rPr>
              <w:t>完整的《项目汇报</w:t>
            </w:r>
            <w:r>
              <w:rPr>
                <w:sz w:val="21"/>
              </w:rPr>
              <w:t>PPT》</w:t>
            </w:r>
          </w:p>
          <w:p>
            <w:pPr>
              <w:pStyle w:val="null3"/>
              <w:ind w:left="420"/>
              <w:jc w:val="both"/>
            </w:pPr>
            <w:r>
              <w:rPr>
                <w:sz w:val="21"/>
              </w:rPr>
              <w:t>6</w:t>
            </w:r>
            <w:r>
              <w:rPr>
                <w:sz w:val="21"/>
              </w:rPr>
              <w:t>)《系统部署上线报告》</w:t>
            </w:r>
          </w:p>
          <w:p>
            <w:pPr>
              <w:pStyle w:val="null3"/>
              <w:jc w:val="both"/>
            </w:pPr>
            <w:r>
              <w:rPr>
                <w:sz w:val="21"/>
              </w:rPr>
              <w:t>7)全部可编译的源代码、数据库设计文档及第三方组件授权文件。</w:t>
            </w:r>
          </w:p>
          <w:p>
            <w:pPr>
              <w:pStyle w:val="null3"/>
              <w:jc w:val="both"/>
            </w:pPr>
            <w:r>
              <w:rPr>
                <w:sz w:val="21"/>
              </w:rPr>
              <w:t>注：</w:t>
            </w:r>
            <w:r>
              <w:rPr>
                <w:sz w:val="21"/>
              </w:rPr>
              <w:t>①</w:t>
            </w:r>
            <w:r>
              <w:rPr>
                <w:sz w:val="21"/>
              </w:rPr>
              <w:t>根据本合同</w:t>
            </w:r>
            <w:r>
              <w:rPr>
                <w:sz w:val="21"/>
              </w:rPr>
              <w:t>“知识产权要求”条款，上述第</w:t>
            </w:r>
            <w:r>
              <w:rPr>
                <w:sz w:val="21"/>
              </w:rPr>
              <w:t xml:space="preserve"> </w:t>
            </w:r>
            <w:r>
              <w:rPr>
                <w:sz w:val="21"/>
              </w:rPr>
              <w:t>7）项交付物的提交，即视为相关知识产权权利转让至采购人，且其完备性与合规性是项目通过最终验收及支付尾款的必要条件。</w:t>
            </w:r>
            <w:r>
              <w:rPr>
                <w:sz w:val="21"/>
              </w:rPr>
              <w:t>②</w:t>
            </w:r>
            <w:r>
              <w:rPr>
                <w:sz w:val="21"/>
              </w:rPr>
              <w:t>采购人有权要求中标人提供其认为必要的其他过程文档（如会议纪要、项目周报</w:t>
            </w:r>
            <w:r>
              <w:rPr>
                <w:sz w:val="21"/>
              </w:rPr>
              <w:t>/月报等）。所有文档均需提供可编辑的电子版及签字盖章的纸质版。</w:t>
            </w:r>
          </w:p>
        </w:tc>
      </w:tr>
      <w:tr>
        <w:tc>
          <w:tcPr>
            <w:tcW w:type="dxa" w:w="2076"/>
          </w:tcPr>
          <w:p/>
        </w:tc>
        <w:tc>
          <w:tcPr>
            <w:tcW w:type="dxa" w:w="415"/>
          </w:tcPr>
          <w:p>
            <w:pPr>
              <w:pStyle w:val="null3"/>
            </w:pPr>
            <w:r>
              <w:rPr/>
              <w:t>4</w:t>
            </w:r>
          </w:p>
        </w:tc>
        <w:tc>
          <w:tcPr>
            <w:tcW w:type="dxa" w:w="5814"/>
          </w:tcPr>
          <w:p>
            <w:pPr>
              <w:pStyle w:val="null3"/>
              <w:jc w:val="both"/>
            </w:pPr>
            <w:r>
              <w:rPr>
                <w:sz w:val="21"/>
              </w:rPr>
              <w:t>项目实施进度</w:t>
            </w:r>
            <w:r>
              <w:rPr>
                <w:sz w:val="21"/>
              </w:rPr>
              <w:t>要求</w:t>
            </w:r>
            <w:r>
              <w:rPr>
                <w:sz w:val="21"/>
              </w:rPr>
              <w:t>·</w:t>
            </w:r>
          </w:p>
          <w:p>
            <w:pPr>
              <w:pStyle w:val="null3"/>
              <w:ind w:left="420"/>
              <w:jc w:val="both"/>
            </w:pPr>
            <w:r>
              <w:rPr>
                <w:sz w:val="21"/>
              </w:rPr>
              <w:t>1. 需求与设计阶段 (第1个月):</w:t>
            </w:r>
          </w:p>
          <w:p>
            <w:pPr>
              <w:pStyle w:val="null3"/>
              <w:ind w:left="420"/>
              <w:jc w:val="both"/>
            </w:pPr>
            <w:r>
              <w:rPr>
                <w:sz w:val="21"/>
              </w:rPr>
              <w:t>(1) 项目启动与团队组建</w:t>
            </w:r>
          </w:p>
          <w:p>
            <w:pPr>
              <w:pStyle w:val="null3"/>
              <w:ind w:left="420"/>
              <w:jc w:val="both"/>
            </w:pPr>
            <w:r>
              <w:rPr>
                <w:sz w:val="21"/>
              </w:rPr>
              <w:t>(2) 详细需求调研与分析，出具《需求规格说明书》</w:t>
            </w:r>
          </w:p>
          <w:p>
            <w:pPr>
              <w:pStyle w:val="null3"/>
              <w:ind w:left="420"/>
              <w:jc w:val="both"/>
            </w:pPr>
            <w:r>
              <w:rPr>
                <w:sz w:val="21"/>
              </w:rPr>
              <w:t>(3) 系统架构、概要设计与数据库设计，出具《系统设计说明书》</w:t>
            </w:r>
          </w:p>
          <w:p>
            <w:pPr>
              <w:pStyle w:val="null3"/>
              <w:ind w:left="420"/>
              <w:jc w:val="both"/>
            </w:pPr>
            <w:r>
              <w:rPr>
                <w:sz w:val="21"/>
              </w:rPr>
              <w:t>2. 开发与集成阶段 (第2个月 - 第4个月):</w:t>
            </w:r>
          </w:p>
          <w:p>
            <w:pPr>
              <w:pStyle w:val="null3"/>
              <w:ind w:left="420"/>
              <w:jc w:val="both"/>
            </w:pPr>
            <w:r>
              <w:rPr>
                <w:sz w:val="21"/>
              </w:rPr>
              <w:t>(1) 各功能模块并行编码开发</w:t>
            </w:r>
          </w:p>
          <w:p>
            <w:pPr>
              <w:pStyle w:val="null3"/>
              <w:ind w:left="420"/>
              <w:jc w:val="both"/>
            </w:pPr>
            <w:r>
              <w:rPr>
                <w:sz w:val="21"/>
              </w:rPr>
              <w:t>(2) 单元测试、模块接口集成</w:t>
            </w:r>
          </w:p>
          <w:p>
            <w:pPr>
              <w:pStyle w:val="null3"/>
              <w:ind w:left="420"/>
              <w:jc w:val="both"/>
            </w:pPr>
            <w:r>
              <w:rPr>
                <w:sz w:val="21"/>
              </w:rPr>
              <w:t>(3) 生产环境准备与部署</w:t>
            </w:r>
          </w:p>
          <w:p>
            <w:pPr>
              <w:pStyle w:val="null3"/>
              <w:ind w:left="420"/>
              <w:jc w:val="both"/>
            </w:pPr>
            <w:r>
              <w:rPr>
                <w:sz w:val="21"/>
              </w:rPr>
              <w:t>(4) 内部系统集成测试</w:t>
            </w:r>
          </w:p>
          <w:p>
            <w:pPr>
              <w:pStyle w:val="null3"/>
              <w:ind w:left="420"/>
              <w:jc w:val="both"/>
            </w:pPr>
            <w:r>
              <w:rPr>
                <w:sz w:val="21"/>
              </w:rPr>
              <w:t>3. 测试与修复阶段 (第5个月):</w:t>
            </w:r>
          </w:p>
          <w:p>
            <w:pPr>
              <w:pStyle w:val="null3"/>
              <w:ind w:left="420"/>
              <w:jc w:val="both"/>
            </w:pPr>
            <w:r>
              <w:rPr>
                <w:sz w:val="21"/>
              </w:rPr>
              <w:t>(1) 内部功能、性能及安全测试</w:t>
            </w:r>
          </w:p>
          <w:p>
            <w:pPr>
              <w:pStyle w:val="null3"/>
              <w:ind w:left="420"/>
              <w:jc w:val="both"/>
            </w:pPr>
            <w:r>
              <w:rPr>
                <w:sz w:val="21"/>
              </w:rPr>
              <w:t>(2) 缺陷修复与系统优化</w:t>
            </w:r>
          </w:p>
          <w:p>
            <w:pPr>
              <w:pStyle w:val="null3"/>
              <w:ind w:left="420"/>
              <w:jc w:val="both"/>
            </w:pPr>
            <w:r>
              <w:rPr>
                <w:sz w:val="21"/>
              </w:rPr>
              <w:t>(3) 系统管理员培训</w:t>
            </w:r>
          </w:p>
          <w:p>
            <w:pPr>
              <w:pStyle w:val="null3"/>
              <w:ind w:left="420"/>
              <w:jc w:val="both"/>
            </w:pPr>
            <w:r>
              <w:rPr>
                <w:sz w:val="21"/>
              </w:rPr>
              <w:t>4. 用户验收与试运行阶段 (第6个月 上中旬):</w:t>
            </w:r>
          </w:p>
          <w:p>
            <w:pPr>
              <w:pStyle w:val="null3"/>
              <w:ind w:left="420"/>
              <w:jc w:val="both"/>
            </w:pPr>
            <w:r>
              <w:rPr>
                <w:sz w:val="21"/>
              </w:rPr>
              <w:t>(1) 组织最终用户培训</w:t>
            </w:r>
          </w:p>
          <w:p>
            <w:pPr>
              <w:pStyle w:val="null3"/>
              <w:ind w:left="420"/>
              <w:jc w:val="both"/>
            </w:pPr>
            <w:r>
              <w:rPr>
                <w:sz w:val="21"/>
              </w:rPr>
              <w:t>(2) 开展用户验收测试</w:t>
            </w:r>
          </w:p>
          <w:p>
            <w:pPr>
              <w:pStyle w:val="null3"/>
              <w:ind w:left="420"/>
              <w:jc w:val="both"/>
            </w:pPr>
            <w:r>
              <w:rPr>
                <w:sz w:val="21"/>
              </w:rPr>
              <w:t>(3) 根据验收测试反馈进行修复与确认</w:t>
            </w:r>
          </w:p>
          <w:p>
            <w:pPr>
              <w:pStyle w:val="null3"/>
              <w:ind w:left="420"/>
              <w:jc w:val="both"/>
            </w:pPr>
            <w:r>
              <w:rPr>
                <w:sz w:val="21"/>
              </w:rPr>
              <w:t>(4) 系统在生产环境试运行</w:t>
            </w:r>
          </w:p>
          <w:p>
            <w:pPr>
              <w:pStyle w:val="null3"/>
              <w:ind w:left="420"/>
              <w:jc w:val="both"/>
            </w:pPr>
            <w:r>
              <w:rPr>
                <w:sz w:val="21"/>
              </w:rPr>
              <w:t xml:space="preserve">5. </w:t>
            </w:r>
            <w:r>
              <w:rPr>
                <w:sz w:val="21"/>
              </w:rPr>
              <w:t>项目验收阶段</w:t>
            </w:r>
            <w:r>
              <w:rPr>
                <w:sz w:val="21"/>
              </w:rPr>
              <w:t>(第6个月 下旬):</w:t>
            </w:r>
          </w:p>
          <w:p>
            <w:pPr>
              <w:pStyle w:val="null3"/>
              <w:ind w:left="420"/>
              <w:jc w:val="both"/>
            </w:pPr>
            <w:r>
              <w:rPr>
                <w:sz w:val="21"/>
              </w:rPr>
              <w:t>(1) 准备全套验收文档</w:t>
            </w:r>
          </w:p>
          <w:p>
            <w:pPr>
              <w:pStyle w:val="null3"/>
              <w:ind w:left="420"/>
              <w:jc w:val="both"/>
            </w:pPr>
            <w:r>
              <w:rPr>
                <w:sz w:val="21"/>
              </w:rPr>
              <w:t>(2) 通过第三方等级保护测评（二级）</w:t>
            </w:r>
          </w:p>
          <w:p>
            <w:pPr>
              <w:pStyle w:val="null3"/>
              <w:jc w:val="both"/>
            </w:pPr>
            <w:r>
              <w:rPr>
                <w:sz w:val="21"/>
              </w:rPr>
              <w:t>(3) 组织项目最终验收会，完成验收</w:t>
            </w:r>
          </w:p>
        </w:tc>
      </w:tr>
      <w:tr>
        <w:tc>
          <w:tcPr>
            <w:tcW w:type="dxa" w:w="2076"/>
          </w:tcPr>
          <w:p/>
        </w:tc>
        <w:tc>
          <w:tcPr>
            <w:tcW w:type="dxa" w:w="415"/>
          </w:tcPr>
          <w:p>
            <w:pPr>
              <w:pStyle w:val="null3"/>
            </w:pPr>
            <w:r>
              <w:rPr/>
              <w:t>5</w:t>
            </w:r>
          </w:p>
        </w:tc>
        <w:tc>
          <w:tcPr>
            <w:tcW w:type="dxa" w:w="5814"/>
          </w:tcPr>
          <w:p>
            <w:pPr>
              <w:pStyle w:val="null3"/>
            </w:pPr>
            <w:r>
              <w:rPr>
                <w:sz w:val="21"/>
              </w:rPr>
              <w:t>试运行要求</w:t>
            </w:r>
          </w:p>
          <w:p>
            <w:pPr>
              <w:pStyle w:val="null3"/>
            </w:pPr>
            <w:r>
              <w:rPr>
                <w:sz w:val="21"/>
              </w:rPr>
              <w:t>1</w:t>
            </w:r>
            <w:r>
              <w:rPr>
                <w:sz w:val="21"/>
              </w:rPr>
              <w:t>.</w:t>
            </w:r>
            <w:r>
              <w:rPr>
                <w:sz w:val="21"/>
              </w:rPr>
              <w:t>系统通过用户验收测试后，即进入试运行阶段，试运行期不少于</w:t>
            </w:r>
            <w:r>
              <w:rPr>
                <w:sz w:val="21"/>
              </w:rPr>
              <w:t>15天</w:t>
            </w:r>
            <w:r>
              <w:rPr>
                <w:sz w:val="21"/>
              </w:rPr>
              <w:t>，在试运行期间，中标人应对所出现的问题及时进行解决、调整，并做好记录，此记录将作为验收的依据之一；</w:t>
            </w:r>
          </w:p>
          <w:p>
            <w:pPr>
              <w:pStyle w:val="null3"/>
              <w:jc w:val="both"/>
            </w:pPr>
            <w:r>
              <w:rPr>
                <w:sz w:val="21"/>
              </w:rPr>
              <w:t>2</w:t>
            </w:r>
            <w:r>
              <w:rPr>
                <w:sz w:val="21"/>
              </w:rPr>
              <w:t>.</w:t>
            </w:r>
            <w:r>
              <w:rPr>
                <w:sz w:val="21"/>
              </w:rPr>
              <w:t>试运行期间，如果本项目没有发生问题（不影响系统使用），试运行结束；如果本项目发生问题，试运行期延长直至解决问题为止。</w:t>
            </w:r>
          </w:p>
        </w:tc>
      </w:tr>
      <w:tr>
        <w:tc>
          <w:tcPr>
            <w:tcW w:type="dxa" w:w="2076"/>
          </w:tcPr>
          <w:p/>
        </w:tc>
        <w:tc>
          <w:tcPr>
            <w:tcW w:type="dxa" w:w="415"/>
          </w:tcPr>
          <w:p>
            <w:pPr>
              <w:pStyle w:val="null3"/>
            </w:pPr>
            <w:r>
              <w:rPr/>
              <w:t>6</w:t>
            </w:r>
          </w:p>
        </w:tc>
        <w:tc>
          <w:tcPr>
            <w:tcW w:type="dxa" w:w="5814"/>
          </w:tcPr>
          <w:p>
            <w:pPr>
              <w:pStyle w:val="null3"/>
              <w:jc w:val="both"/>
            </w:pPr>
            <w:r>
              <w:rPr>
                <w:sz w:val="21"/>
                <w:b/>
              </w:rPr>
              <w:t>演示</w:t>
            </w:r>
            <w:r>
              <w:rPr>
                <w:sz w:val="21"/>
                <w:b/>
              </w:rPr>
              <w:t>要求</w:t>
            </w:r>
          </w:p>
          <w:p>
            <w:pPr>
              <w:pStyle w:val="null3"/>
              <w:jc w:val="both"/>
            </w:pPr>
            <w:r>
              <w:rPr/>
              <w:t>1</w:t>
            </w:r>
            <w:r>
              <w:rPr/>
              <w:t xml:space="preserve">. </w:t>
            </w:r>
            <w:r>
              <w:rPr>
                <w:sz w:val="21"/>
              </w:rPr>
              <w:t>演示内容：</w:t>
            </w:r>
          </w:p>
          <w:p>
            <w:pPr>
              <w:pStyle w:val="null3"/>
              <w:jc w:val="both"/>
            </w:pPr>
            <w:r>
              <w:rPr>
                <w:sz w:val="21"/>
              </w:rPr>
              <w:t>（</w:t>
            </w:r>
            <w:r>
              <w:rPr>
                <w:sz w:val="21"/>
              </w:rPr>
              <w:t>1）导师指标与</w:t>
            </w:r>
            <w:r>
              <w:rPr>
                <w:sz w:val="21"/>
              </w:rPr>
              <w:t>资格庫</w:t>
            </w:r>
            <w:r>
              <w:rPr>
                <w:sz w:val="21"/>
              </w:rPr>
              <w:t>（指标分配、白名单、额度监控、匹配）</w:t>
            </w:r>
          </w:p>
          <w:p>
            <w:pPr>
              <w:pStyle w:val="null3"/>
              <w:jc w:val="both"/>
            </w:pPr>
            <w:r>
              <w:rPr>
                <w:sz w:val="21"/>
              </w:rPr>
              <w:t>以高校管理员为主，管理导师白名单与招生指标，提供资格自动判定与预警能力。</w:t>
            </w:r>
          </w:p>
          <w:p>
            <w:pPr>
              <w:pStyle w:val="null3"/>
              <w:jc w:val="both"/>
            </w:pPr>
            <w:r>
              <w:rPr>
                <w:sz w:val="21"/>
              </w:rPr>
              <w:t xml:space="preserve">1）白名单  </w:t>
            </w:r>
          </w:p>
          <w:p>
            <w:pPr>
              <w:pStyle w:val="null3"/>
              <w:jc w:val="both"/>
            </w:pPr>
            <w:r>
              <w:rPr>
                <w:sz w:val="21"/>
              </w:rPr>
              <w:t>导师白名单新增</w:t>
            </w:r>
            <w:r>
              <w:rPr>
                <w:sz w:val="21"/>
              </w:rPr>
              <w:t>/导入/导出/编辑/删除，快速检索。</w:t>
            </w:r>
          </w:p>
          <w:p>
            <w:pPr>
              <w:pStyle w:val="null3"/>
              <w:jc w:val="both"/>
            </w:pPr>
            <w:r>
              <w:rPr>
                <w:sz w:val="21"/>
              </w:rPr>
              <w:t xml:space="preserve">2）指标管理  </w:t>
            </w:r>
          </w:p>
          <w:p>
            <w:pPr>
              <w:pStyle w:val="null3"/>
              <w:jc w:val="both"/>
            </w:pPr>
            <w:r>
              <w:rPr>
                <w:sz w:val="21"/>
              </w:rPr>
              <w:t>指标上限设置与使用监控；按学年</w:t>
            </w:r>
            <w:r>
              <w:rPr>
                <w:sz w:val="21"/>
              </w:rPr>
              <w:t>/单位/学科维度。</w:t>
            </w:r>
          </w:p>
          <w:p>
            <w:pPr>
              <w:pStyle w:val="null3"/>
              <w:jc w:val="both"/>
            </w:pPr>
            <w:r>
              <w:rPr>
                <w:sz w:val="21"/>
              </w:rPr>
              <w:t xml:space="preserve">3）资格判定  </w:t>
            </w:r>
          </w:p>
          <w:p>
            <w:pPr>
              <w:pStyle w:val="null3"/>
              <w:jc w:val="both"/>
            </w:pPr>
            <w:r>
              <w:rPr>
                <w:sz w:val="21"/>
              </w:rPr>
              <w:t>招生资格自动判定：白名单通过且未超指标即通过。</w:t>
            </w:r>
          </w:p>
          <w:p>
            <w:pPr>
              <w:pStyle w:val="null3"/>
              <w:jc w:val="both"/>
            </w:pPr>
            <w:r>
              <w:rPr>
                <w:sz w:val="21"/>
              </w:rPr>
              <w:t>（</w:t>
            </w:r>
            <w:r>
              <w:rPr>
                <w:sz w:val="21"/>
              </w:rPr>
              <w:t>2）</w:t>
            </w:r>
            <w:r>
              <w:rPr>
                <w:sz w:val="21"/>
              </w:rPr>
              <w:t>综合积分与评优支撑库（积分项、累积规则、评优输出）</w:t>
            </w:r>
          </w:p>
          <w:p>
            <w:pPr>
              <w:pStyle w:val="null3"/>
              <w:jc w:val="both"/>
            </w:pPr>
            <w:r>
              <w:rPr>
                <w:sz w:val="21"/>
              </w:rPr>
              <w:t>围绕</w:t>
            </w:r>
            <w:r>
              <w:rPr>
                <w:sz w:val="21"/>
              </w:rPr>
              <w:t>“日常表现、科研、工作能力、导师评价、就业”等维度，提供可配置的综合记分机制与应用输出。评价结果将作为创新实践先锋、卓越培养人才、卓越工程师之星等评优奖先和企业推荐、毕业鉴定的重要依据。</w:t>
            </w:r>
          </w:p>
          <w:p>
            <w:pPr>
              <w:pStyle w:val="null3"/>
              <w:jc w:val="both"/>
            </w:pPr>
            <w:r>
              <w:rPr>
                <w:sz w:val="21"/>
              </w:rPr>
              <w:t xml:space="preserve">1）积分规则  </w:t>
            </w:r>
          </w:p>
          <w:p>
            <w:pPr>
              <w:pStyle w:val="null3"/>
              <w:jc w:val="both"/>
            </w:pPr>
            <w:r>
              <w:rPr>
                <w:sz w:val="21"/>
              </w:rPr>
              <w:t>规则配置、积分项定义、累计与抵扣、积分修订流程。</w:t>
            </w:r>
            <w:r>
              <w:rPr>
                <w:sz w:val="21"/>
              </w:rPr>
              <w:t xml:space="preserve">  </w:t>
            </w:r>
          </w:p>
          <w:p>
            <w:pPr>
              <w:pStyle w:val="null3"/>
              <w:jc w:val="both"/>
            </w:pPr>
            <w:r>
              <w:rPr>
                <w:sz w:val="21"/>
              </w:rPr>
              <w:t>2）场景应用</w:t>
            </w:r>
          </w:p>
          <w:p>
            <w:pPr>
              <w:pStyle w:val="null3"/>
              <w:jc w:val="both"/>
            </w:pPr>
            <w:r>
              <w:rPr>
                <w:sz w:val="21"/>
              </w:rPr>
              <w:t>评优评先、毕业鉴定、推荐就业等场景调用。</w:t>
            </w:r>
            <w:r>
              <w:rPr>
                <w:sz w:val="21"/>
              </w:rPr>
              <w:t xml:space="preserve">  </w:t>
            </w:r>
          </w:p>
          <w:p>
            <w:pPr>
              <w:pStyle w:val="null3"/>
              <w:jc w:val="both"/>
            </w:pPr>
            <w:r>
              <w:rPr>
                <w:sz w:val="21"/>
              </w:rPr>
              <w:t xml:space="preserve">3）统计与查询  </w:t>
            </w:r>
          </w:p>
          <w:p>
            <w:pPr>
              <w:pStyle w:val="null3"/>
              <w:jc w:val="both"/>
            </w:pPr>
            <w:r>
              <w:rPr>
                <w:sz w:val="21"/>
              </w:rPr>
              <w:t>个人积分曲线、对比分析、异常核查。</w:t>
            </w:r>
          </w:p>
          <w:p>
            <w:pPr>
              <w:pStyle w:val="null3"/>
              <w:jc w:val="both"/>
            </w:pPr>
            <w:r>
              <w:rPr>
                <w:sz w:val="21"/>
              </w:rPr>
              <w:t>（</w:t>
            </w:r>
            <w:r>
              <w:rPr>
                <w:sz w:val="21"/>
              </w:rPr>
              <w:t>3</w:t>
            </w:r>
            <w:r>
              <w:rPr>
                <w:sz w:val="21"/>
              </w:rPr>
              <w:t>）扶持项目全流程库（申报、评审、中检、验收）</w:t>
            </w:r>
          </w:p>
          <w:p>
            <w:pPr>
              <w:pStyle w:val="null3"/>
              <w:jc w:val="both"/>
            </w:pPr>
            <w:r>
              <w:rPr>
                <w:sz w:val="21"/>
              </w:rPr>
              <w:t>覆盖</w:t>
            </w:r>
            <w:r>
              <w:rPr>
                <w:sz w:val="21"/>
              </w:rPr>
              <w:t>“参数设置—申报—中期检查—结题”的完整链路，支撑导师在线申报与国创院审核。</w:t>
            </w:r>
          </w:p>
          <w:p>
            <w:pPr>
              <w:pStyle w:val="null3"/>
              <w:jc w:val="both"/>
            </w:pPr>
            <w:r>
              <w:rPr>
                <w:sz w:val="21"/>
              </w:rPr>
              <w:t>1）参数设置</w:t>
            </w:r>
          </w:p>
          <w:p>
            <w:pPr>
              <w:pStyle w:val="null3"/>
              <w:jc w:val="both"/>
            </w:pPr>
            <w:r>
              <w:rPr>
                <w:sz w:val="21"/>
              </w:rPr>
              <w:t>申报年份、时间窗口设置；跨年规则明确。</w:t>
            </w:r>
          </w:p>
          <w:p>
            <w:pPr>
              <w:pStyle w:val="null3"/>
              <w:jc w:val="both"/>
            </w:pPr>
            <w:r>
              <w:rPr>
                <w:sz w:val="21"/>
              </w:rPr>
              <w:t>2）项目申报</w:t>
            </w:r>
          </w:p>
          <w:p>
            <w:pPr>
              <w:pStyle w:val="null3"/>
              <w:jc w:val="both"/>
            </w:pPr>
            <w:r>
              <w:rPr>
                <w:sz w:val="21"/>
              </w:rPr>
              <w:t>导师在线申报；校验是否在开放期；国创院审核。</w:t>
            </w:r>
          </w:p>
          <w:p>
            <w:pPr>
              <w:pStyle w:val="null3"/>
              <w:jc w:val="both"/>
            </w:pPr>
            <w:r>
              <w:rPr>
                <w:sz w:val="21"/>
              </w:rPr>
              <w:t>3）中期与结题</w:t>
            </w:r>
          </w:p>
          <w:p>
            <w:pPr>
              <w:pStyle w:val="null3"/>
              <w:jc w:val="both"/>
            </w:pPr>
            <w:r>
              <w:rPr>
                <w:sz w:val="21"/>
              </w:rPr>
              <w:t>中期检查提交与审核；结题提交与验收，入成果库入口。</w:t>
            </w:r>
          </w:p>
          <w:p>
            <w:pPr>
              <w:pStyle w:val="null3"/>
              <w:jc w:val="both"/>
            </w:pPr>
            <w:r>
              <w:rPr>
                <w:sz w:val="21"/>
              </w:rPr>
              <w:t>（</w:t>
            </w:r>
            <w:r>
              <w:rPr>
                <w:sz w:val="21"/>
              </w:rPr>
              <w:t>4</w:t>
            </w:r>
            <w:r>
              <w:rPr>
                <w:sz w:val="21"/>
              </w:rPr>
              <w:t>）成果转化过程库（对接、意向、合同、拨付、实施进度）成果转化全流程业务跟踪</w:t>
            </w:r>
          </w:p>
          <w:p>
            <w:pPr>
              <w:pStyle w:val="null3"/>
              <w:jc w:val="both"/>
            </w:pPr>
            <w:r>
              <w:rPr>
                <w:sz w:val="21"/>
              </w:rPr>
              <w:t>将成果从</w:t>
            </w:r>
            <w:r>
              <w:rPr>
                <w:sz w:val="21"/>
              </w:rPr>
              <w:t>“意向—商务谈判—合同签署—经费拨付—实施落地—绩效验收”的全过程进行电子化管理，形成可追溯的转化闭环台账，提升推进效率与决策透明度。</w:t>
            </w:r>
          </w:p>
          <w:p>
            <w:pPr>
              <w:pStyle w:val="null3"/>
              <w:jc w:val="both"/>
            </w:pPr>
            <w:r>
              <w:rPr>
                <w:sz w:val="21"/>
              </w:rPr>
              <w:t>流程主线与阶段节点</w:t>
            </w:r>
            <w:r>
              <w:rPr>
                <w:sz w:val="21"/>
              </w:rPr>
              <w:t xml:space="preserve">  </w:t>
            </w:r>
          </w:p>
          <w:p>
            <w:pPr>
              <w:pStyle w:val="null3"/>
              <w:jc w:val="both"/>
            </w:pPr>
            <w:r>
              <w:rPr>
                <w:sz w:val="21"/>
              </w:rPr>
              <w:t>意向阶段：对接发起、双方初步意向记录、保密协议（</w:t>
            </w:r>
            <w:r>
              <w:rPr>
                <w:sz w:val="21"/>
              </w:rPr>
              <w:t xml:space="preserve">NDA）存档。  </w:t>
            </w:r>
          </w:p>
          <w:p>
            <w:pPr>
              <w:pStyle w:val="null3"/>
              <w:jc w:val="both"/>
            </w:pPr>
            <w:r>
              <w:rPr>
                <w:sz w:val="21"/>
              </w:rPr>
              <w:t>商务谈判：核心条款（许可方式、范围、期限、费用模式、里程碑考核、违约与保密条款）与谈判往返版本管理。</w:t>
            </w:r>
            <w:r>
              <w:rPr>
                <w:sz w:val="21"/>
              </w:rPr>
              <w:t xml:space="preserve">  </w:t>
            </w:r>
          </w:p>
          <w:p>
            <w:pPr>
              <w:pStyle w:val="null3"/>
              <w:jc w:val="both"/>
            </w:pPr>
            <w:r>
              <w:rPr>
                <w:sz w:val="21"/>
              </w:rPr>
              <w:t>合同与拨付：合同审批与签署（支持电子签章对接预留），拨付计划（节点、金额、条件）与拨付凭证归档。</w:t>
            </w:r>
          </w:p>
          <w:p>
            <w:pPr>
              <w:pStyle w:val="null3"/>
              <w:jc w:val="both"/>
            </w:pPr>
            <w:r>
              <w:rPr>
                <w:sz w:val="21"/>
              </w:rPr>
              <w:t>（</w:t>
            </w:r>
            <w:r>
              <w:rPr>
                <w:sz w:val="21"/>
              </w:rPr>
              <w:t>5</w:t>
            </w:r>
            <w:r>
              <w:rPr>
                <w:sz w:val="21"/>
              </w:rPr>
              <w:t>）科技攻</w:t>
            </w:r>
            <w:r>
              <w:rPr>
                <w:sz w:val="21"/>
              </w:rPr>
              <w:t>关项目专家评审与过程文档库（评审</w:t>
            </w:r>
            <w:r>
              <w:rPr>
                <w:sz w:val="21"/>
              </w:rPr>
              <w:t>专家、意见、纪要与归档）</w:t>
            </w:r>
          </w:p>
          <w:p>
            <w:pPr>
              <w:pStyle w:val="null3"/>
              <w:jc w:val="both"/>
            </w:pPr>
            <w:r>
              <w:rPr>
                <w:sz w:val="21"/>
              </w:rPr>
              <w:t>沉淀评审专家信息、评审任务、评分与意见、过程文档与附件归档，确保评审闭环与可追溯。</w:t>
            </w:r>
          </w:p>
          <w:p>
            <w:pPr>
              <w:pStyle w:val="null3"/>
              <w:jc w:val="both"/>
            </w:pPr>
            <w:r>
              <w:rPr>
                <w:sz w:val="21"/>
              </w:rPr>
              <w:t>1）专家库</w:t>
            </w:r>
          </w:p>
          <w:p>
            <w:pPr>
              <w:pStyle w:val="null3"/>
              <w:jc w:val="both"/>
            </w:pPr>
            <w:r>
              <w:rPr>
                <w:sz w:val="21"/>
              </w:rPr>
              <w:t>专家信息：姓名、单位</w:t>
            </w:r>
            <w:r>
              <w:rPr>
                <w:sz w:val="21"/>
              </w:rPr>
              <w:t xml:space="preserve">/职称/研究方向、所在领域、合作历史、回避关系（与申报单位/成员回避）。  </w:t>
            </w:r>
          </w:p>
          <w:p>
            <w:pPr>
              <w:pStyle w:val="null3"/>
              <w:jc w:val="both"/>
            </w:pPr>
            <w:r>
              <w:rPr>
                <w:sz w:val="21"/>
              </w:rPr>
              <w:t>任职记录：历次参与评审的项目与结果、意见摘要与贡献度评价，用于后续任务派发与质量控制。</w:t>
            </w:r>
            <w:r>
              <w:rPr>
                <w:sz w:val="21"/>
              </w:rPr>
              <w:t xml:space="preserve">  </w:t>
            </w:r>
          </w:p>
          <w:p>
            <w:pPr>
              <w:pStyle w:val="null3"/>
              <w:jc w:val="both"/>
            </w:pPr>
            <w:r>
              <w:rPr>
                <w:sz w:val="21"/>
              </w:rPr>
              <w:t>可用性：评审可用时段与邀请状态，避免冲突派单。</w:t>
            </w:r>
          </w:p>
          <w:p>
            <w:pPr>
              <w:pStyle w:val="null3"/>
              <w:jc w:val="both"/>
            </w:pPr>
            <w:r>
              <w:rPr>
                <w:sz w:val="21"/>
              </w:rPr>
              <w:t xml:space="preserve">2）评审任务与在线评分  </w:t>
            </w:r>
          </w:p>
          <w:p>
            <w:pPr>
              <w:pStyle w:val="null3"/>
              <w:jc w:val="both"/>
            </w:pPr>
            <w:r>
              <w:rPr>
                <w:sz w:val="21"/>
              </w:rPr>
              <w:t>任务分配：按项目类别</w:t>
            </w:r>
            <w:r>
              <w:rPr>
                <w:sz w:val="21"/>
              </w:rPr>
              <w:t xml:space="preserve">/技术方向自动或手动派发评审任务，支持一次派多位专家。  </w:t>
            </w:r>
          </w:p>
          <w:p>
            <w:pPr>
              <w:pStyle w:val="null3"/>
              <w:jc w:val="both"/>
            </w:pPr>
            <w:r>
              <w:rPr>
                <w:sz w:val="21"/>
              </w:rPr>
              <w:t>材料查看：在线查看申报材料、合同要素、中期</w:t>
            </w:r>
            <w:r>
              <w:rPr>
                <w:sz w:val="21"/>
              </w:rPr>
              <w:t xml:space="preserve">/结项材料，支持批注与对比（版本差异提示）。  </w:t>
            </w:r>
          </w:p>
          <w:p>
            <w:pPr>
              <w:pStyle w:val="null3"/>
              <w:jc w:val="both"/>
            </w:pPr>
            <w:r>
              <w:rPr>
                <w:sz w:val="21"/>
              </w:rPr>
              <w:t>评分与意见：评分量表配置（权重可配）、文字意见、附件上传；支持打回修改。</w:t>
            </w:r>
            <w:r>
              <w:rPr>
                <w:sz w:val="21"/>
              </w:rPr>
              <w:t xml:space="preserve">  </w:t>
            </w:r>
          </w:p>
          <w:p>
            <w:pPr>
              <w:pStyle w:val="null3"/>
              <w:jc w:val="both"/>
            </w:pPr>
            <w:r>
              <w:rPr>
                <w:sz w:val="21"/>
              </w:rPr>
              <w:t>结果汇总：自动计算加权得分生成评审汇总报告并入库。</w:t>
            </w:r>
          </w:p>
          <w:p>
            <w:pPr>
              <w:pStyle w:val="null3"/>
              <w:jc w:val="both"/>
            </w:pPr>
            <w:r>
              <w:rPr>
                <w:sz w:val="21"/>
              </w:rPr>
              <w:t xml:space="preserve">3）回避与保密  </w:t>
            </w:r>
          </w:p>
          <w:p>
            <w:pPr>
              <w:pStyle w:val="null3"/>
              <w:jc w:val="both"/>
            </w:pPr>
            <w:r>
              <w:rPr>
                <w:sz w:val="21"/>
              </w:rPr>
              <w:t>回避规则：专家与申报单位或成员存在利益关系时自动标记回避，不派发任务；人工强制派发需领导审批与留痕。</w:t>
            </w:r>
            <w:r>
              <w:rPr>
                <w:sz w:val="21"/>
              </w:rPr>
              <w:t xml:space="preserve">  </w:t>
            </w:r>
          </w:p>
          <w:p>
            <w:pPr>
              <w:pStyle w:val="null3"/>
              <w:jc w:val="both"/>
            </w:pPr>
            <w:r>
              <w:rPr>
                <w:sz w:val="21"/>
              </w:rPr>
              <w:t>实现规则：评审全留痕：从派发</w:t>
            </w:r>
            <w:r>
              <w:rPr>
                <w:sz w:val="21"/>
              </w:rPr>
              <w:t xml:space="preserve">→查看→评分→合议→结果输出全链路留痕；合规归档：纪要与评审报告为结项与立项的必备材料；缺失不可流转。权限边界：专家仅可访问本人被派发的项目材料；国创院管理员可全域查看；所有导出强制水印与日志。  </w:t>
            </w:r>
          </w:p>
          <w:p>
            <w:pPr>
              <w:pStyle w:val="null3"/>
              <w:jc w:val="both"/>
            </w:pPr>
            <w:r>
              <w:rPr>
                <w:sz w:val="21"/>
              </w:rPr>
              <w:t>2</w:t>
            </w:r>
            <w:r>
              <w:rPr>
                <w:sz w:val="21"/>
              </w:rPr>
              <w:t>.</w:t>
            </w:r>
            <w:r>
              <w:rPr>
                <w:sz w:val="21"/>
              </w:rPr>
              <w:t>演示方式：以</w:t>
            </w:r>
            <w:r>
              <w:rPr>
                <w:sz w:val="21"/>
              </w:rPr>
              <w:t>u盘形式在投标截止时间前半小时内密封现场递交，密封袋须采用牛皮袋密封粘贴，封面须填写项目名称、项目编号、投标人名称，提供演示短视频，视频须配普通话语音讲解。评审时，均由采购代理机构工作人员操作播放。</w:t>
            </w:r>
          </w:p>
          <w:p>
            <w:pPr>
              <w:pStyle w:val="null3"/>
              <w:jc w:val="both"/>
            </w:pPr>
            <w:r>
              <w:rPr>
                <w:sz w:val="21"/>
              </w:rPr>
              <w:t>3</w:t>
            </w:r>
            <w:r>
              <w:rPr>
                <w:sz w:val="21"/>
              </w:rPr>
              <w:t>.</w:t>
            </w:r>
            <w:r>
              <w:rPr>
                <w:sz w:val="21"/>
              </w:rPr>
              <w:t>播放时间：不得超过</w:t>
            </w:r>
            <w:r>
              <w:rPr>
                <w:sz w:val="21"/>
              </w:rPr>
              <w:t>15</w:t>
            </w:r>
            <w:r>
              <w:rPr>
                <w:sz w:val="21"/>
              </w:rPr>
              <w:t>分钟。</w:t>
            </w:r>
          </w:p>
          <w:p>
            <w:pPr>
              <w:pStyle w:val="null3"/>
              <w:jc w:val="both"/>
            </w:pPr>
            <w:r>
              <w:rPr>
                <w:sz w:val="21"/>
              </w:rPr>
              <w:t>4</w:t>
            </w:r>
            <w:r>
              <w:rPr>
                <w:sz w:val="21"/>
              </w:rPr>
              <w:t>.</w:t>
            </w:r>
            <w:r>
              <w:rPr>
                <w:sz w:val="21"/>
              </w:rPr>
              <w:t>播放格式：</w:t>
            </w:r>
            <w:r>
              <w:rPr>
                <w:sz w:val="21"/>
              </w:rPr>
              <w:t>MP4。</w:t>
            </w:r>
          </w:p>
          <w:p>
            <w:pPr>
              <w:pStyle w:val="null3"/>
              <w:jc w:val="both"/>
            </w:pPr>
            <w:r>
              <w:rPr>
                <w:sz w:val="21"/>
              </w:rPr>
              <w:t>5</w:t>
            </w:r>
            <w:r>
              <w:rPr>
                <w:sz w:val="21"/>
              </w:rPr>
              <w:t>.</w:t>
            </w:r>
            <w:r>
              <w:rPr>
                <w:sz w:val="21"/>
              </w:rPr>
              <w:t>播放方式：对上述</w:t>
            </w:r>
            <w:r>
              <w:rPr>
                <w:sz w:val="21"/>
              </w:rPr>
              <w:t>“演示内容”进行演示的内容录制成视频，向采购代理机构提供视频U盘，以确保视频可播放，如不可播放采购代理机构不负责。</w:t>
            </w:r>
          </w:p>
          <w:p>
            <w:pPr>
              <w:pStyle w:val="null3"/>
              <w:jc w:val="both"/>
            </w:pPr>
            <w:r>
              <w:rPr>
                <w:sz w:val="21"/>
              </w:rPr>
              <w:t>6</w:t>
            </w:r>
            <w:r>
              <w:rPr>
                <w:sz w:val="21"/>
              </w:rPr>
              <w:t>.</w:t>
            </w:r>
            <w:r>
              <w:rPr>
                <w:sz w:val="21"/>
              </w:rPr>
              <w:t>播放顺序：通过资格、符合性评审的投标人进行演示视频播放（视频须采用</w:t>
            </w:r>
            <w:r>
              <w:rPr>
                <w:sz w:val="21"/>
              </w:rPr>
              <w:t>mp4格式，如提供其他格式的视频文件则投标人须另外提供播放软件）。按投标人递交投标文件的签到顺序。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粤港澳大湾区(佛山)先进制造业国家卓越工程师创新研究院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投标保函提交方式：供应商可通过"广东政府采购智慧云平台金融服务中心"(https://gdgpo.czt.gd.gov.cn/zcdservice/zcd/guangdong/)，申请办理投标（响应）担保函、保险（保证）凭证，成功出函的等效于现金缴纳投标保证金。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采购机构代理服务收费标准：以本项目的中标金额作为招标代理服务费的计算基数。 招标代理服务费收费采用差额定率累进法计算方式下浮10%计取。【中标金额：100万元以下，费率：1.5%。 （2）中标金额：100～500万元，费率：0.8%。 （3）中标金额：500～1000万元，费率：0.45%。】</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环境标志产品政府采购执行机制的通知》（财库〔2019〕9号）等，如有更新，以最新的为准。 2、本项目所属行业为软件和信息技术服务业，软件和信息技术服务业的划分标准：从业人员300人以下或營業收入10000万元以下的为中小微型企业。其中，从业人员100人及以上，且營業收入1000万元及以上的为中型企业；从业人员10人及以上，且營業收入50万元及以上的为小型企业；从业人员10人以下或營業收入50万元以下的为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广东省公共资源交易平台（佛山市）（https://ygp.gdzwfw.gov.cn/ggzy-portal/#/440600/jygg）及采购代理机构（http://www.gdzczb.com/）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广东省公共资源交易平台（佛山市）（https://ygp.gdzwfw.gov.cn/ggzy-portal/#/440600/jygg）及采购代理机构（http://www.gdzczb.com/）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张小姐</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佛山市禅城区祖庙街道季华六路17号一座1603室</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政府采购监督管理机构名称：佛山市财政局(政府采购监管科)</w:t>
      </w:r>
    </w:p>
    <w:p>
      <w:pPr>
        <w:pStyle w:val="null3"/>
      </w:pPr>
      <w:r>
        <w:rPr/>
        <w:t>地 址：佛山市禅城区季华五路8号财政大厦8楼</w:t>
      </w:r>
    </w:p>
    <w:p>
      <w:pPr>
        <w:pStyle w:val="null3"/>
      </w:pPr>
      <w:r>
        <w:rPr/>
        <w:t>电 话：0757-83282245</w:t>
      </w:r>
    </w:p>
    <w:p>
      <w:pPr>
        <w:pStyle w:val="null3"/>
      </w:pPr>
      <w:r>
        <w:rPr/>
        <w:t>邮 编：528000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佛山国创院联合培养开放平台信息管理系统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采购包1（佛山国创院联合培养开放平台信息管理系统项目）：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采购包1（佛山国创院联合培养开放平台信息管理系统项目）：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①提供《政府采购供应商资格信用承诺函》；②提供2024年度的财务状况报告，财务状况报告须由第三方会计师事务所出具，并能清晰显示第三方会计师事务所的印章和注册会计师签字盖章，且能反映审计结论（若供应商成立不足一年的，可提供本年度近1个月的财务状况报告）；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须提供下列任一项证明材料：①提供《政府采购供应商资格信用承诺函》；②按投标（响应）文件格式填报设备及专业技术能力情况。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②提供《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采购包整体专门面向中小企业采购，监狱企业、残疾人福利性单位视同小型、微型企业。 （1）中小企业评审及《中小企业声明函》填写要求： ① 本项目为服务类项目，投标人须根据本项目采购类别选择对应的《中小企业声明函》填写。 ② 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tc>
      </w:tr>
    </w:tbl>
    <w:p>
      <w:pPr>
        <w:pStyle w:val="null3"/>
        <w:ind w:firstLine="480"/>
      </w:pPr>
      <w:r>
        <w:rPr/>
        <w:t>表二符合性审查表：</w:t>
      </w:r>
    </w:p>
    <w:p>
      <w:pPr>
        <w:pStyle w:val="null3"/>
      </w:pPr>
      <w:r>
        <w:rPr/>
        <w:t>采购包1（佛山国创院联合培养开放平台信息管理系统项目）：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是固定价且是唯一的，不得高于本项目的采购项目预算金额，且各标的的报价均未超过本项目的各分项预算总价（如有）的；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标注“★”的实质性条款响应情况</w:t>
            </w:r>
          </w:p>
        </w:tc>
        <w:tc>
          <w:tcPr>
            <w:tcW w:type="dxa" w:w="4238"/>
          </w:tcPr>
          <w:p>
            <w:pPr>
              <w:pStyle w:val="null3"/>
            </w:pPr>
            <w:r>
              <w:rPr/>
              <w:t>投标文件完全满足采购文件的实质性条款（即标注★号条款）无负偏离的；</w:t>
            </w:r>
          </w:p>
        </w:tc>
      </w:tr>
      <w:tr>
        <w:tc>
          <w:tcPr>
            <w:tcW w:type="dxa" w:w="890"/>
          </w:tcPr>
          <w:p>
            <w:pPr>
              <w:pStyle w:val="null3"/>
            </w:pPr>
            <w:r>
              <w:rPr/>
              <w:t>5</w:t>
            </w:r>
          </w:p>
        </w:tc>
        <w:tc>
          <w:tcPr>
            <w:tcW w:type="dxa" w:w="3178"/>
          </w:tcPr>
          <w:p>
            <w:pPr>
              <w:pStyle w:val="null3"/>
            </w:pPr>
            <w:r>
              <w:rPr/>
              <w:t>投标文件未含有采购人不能接受的附加条件</w:t>
            </w:r>
          </w:p>
        </w:tc>
        <w:tc>
          <w:tcPr>
            <w:tcW w:type="dxa" w:w="4238"/>
          </w:tcPr>
          <w:p>
            <w:pPr>
              <w:pStyle w:val="null3"/>
            </w:pPr>
            <w:r>
              <w:rPr/>
              <w:t>投标文件未含有采购人不能接受的附加条件</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投标文件没有招标文件中规定的被视为无效投标的其它条款</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采购包1(佛山国创院联合培养开放平台信息管理系统项目):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对项目重点难点分析及解决方案 (10.0分)</w:t>
            </w:r>
          </w:p>
        </w:tc>
        <w:tc>
          <w:tcPr>
            <w:tcW w:type="dxa" w:w="5076"/>
          </w:tcPr>
          <w:p>
            <w:pPr>
              <w:pStyle w:val="null3"/>
              <w:jc w:val="left"/>
            </w:pPr>
            <w:r>
              <w:rPr/>
              <w:t>根据投标人针对采购需求中的重点难点分析及解决方案阐述的正确性和合理性进行评审： 1、分析科学合理，依据充分，重难点突出明确，内容全面详实，解决方案内容合理可行，完全符合用户需求，得10分； 2、分析基本合理，重难点较为突出明确，但内容不够全面，解决方案内容较为简单，基本符合用户需求，得5分； 3、分析思路不清，内容有欠缺，重难点基本明确，解决方案内容可行度低或粗略，仅部分符合用户需求，得1分； 4、不提供不得分。</w:t>
            </w:r>
          </w:p>
        </w:tc>
      </w:tr>
      <w:tr>
        <w:tc>
          <w:tcPr>
            <w:tcW w:type="dxa" w:w="922"/>
            <w:gridSpan w:val="2"/>
            <w:vMerge/>
          </w:tcPr>
          <w:p/>
        </w:tc>
        <w:tc>
          <w:tcPr>
            <w:tcW w:type="dxa" w:w="2307"/>
          </w:tcPr>
          <w:p>
            <w:pPr>
              <w:pStyle w:val="null3"/>
              <w:jc w:val="left"/>
            </w:pPr>
            <w:r>
              <w:rPr/>
              <w:t>整体方案 (10.0分)</w:t>
            </w:r>
          </w:p>
        </w:tc>
        <w:tc>
          <w:tcPr>
            <w:tcW w:type="dxa" w:w="5076"/>
          </w:tcPr>
          <w:p>
            <w:pPr>
              <w:pStyle w:val="null3"/>
              <w:jc w:val="left"/>
            </w:pPr>
            <w:r>
              <w:rPr/>
              <w:t>根据投标人的整体方案进行评审（包括项目目标、项目需求与建设内容）： 1、方案内容全面完善、细致、符合本项目的要求、切合项目实际、可操作性强的，得10分； 2、方案内容全面完善，可符合本项目的要求，基本切合项目实际，可操作性一般的，得5分； 3、方案内容基本完善，基本符合本项目的要求，但未能符合项目实际的和欠操作性的，得1分； 4、不提供不得分。</w:t>
            </w:r>
          </w:p>
        </w:tc>
      </w:tr>
      <w:tr>
        <w:tc>
          <w:tcPr>
            <w:tcW w:type="dxa" w:w="922"/>
            <w:gridSpan w:val="2"/>
            <w:vMerge/>
          </w:tcPr>
          <w:p/>
        </w:tc>
        <w:tc>
          <w:tcPr>
            <w:tcW w:type="dxa" w:w="2307"/>
          </w:tcPr>
          <w:p>
            <w:pPr>
              <w:pStyle w:val="null3"/>
              <w:jc w:val="left"/>
            </w:pPr>
            <w:r>
              <w:rPr/>
              <w:t>培训服务内容 (10.0分)</w:t>
            </w:r>
          </w:p>
        </w:tc>
        <w:tc>
          <w:tcPr>
            <w:tcW w:type="dxa" w:w="5076"/>
          </w:tcPr>
          <w:p>
            <w:pPr>
              <w:pStyle w:val="null3"/>
              <w:jc w:val="left"/>
            </w:pPr>
            <w:r>
              <w:rPr/>
              <w:t>投标人针对采购需求中的“培训要求”，制定可执行的培训服务内容，内容应包括详细的培训目标，具体可行、详细的措施，针对涉及的相关软件的工作原理、使用维护方面内容等：根据投标人提供的内容进行评审： 1、提供阶段培训目标明确、培训方案详细、可行，能针对涉及的相关软件的工作原理、使用维护方面内容，满足项目需要，能为项目的服务质量提供科学、可行的支持，得10分； 2、提供阶段培训目标较为明确、培训方案基本能对涉及的相关软件的工作原理、使用维护方面内容或有微小缺失，但不影响项目整体实施，基本符合项目需要，得5分； 3、培训内容简单，或缺乏项目的针对性，可能影响项目实施，不完全符合招标文件要求，得1分； 4、不提供不得分。</w:t>
            </w:r>
          </w:p>
        </w:tc>
      </w:tr>
      <w:tr>
        <w:tc>
          <w:tcPr>
            <w:tcW w:type="dxa" w:w="922"/>
            <w:gridSpan w:val="2"/>
            <w:vMerge/>
          </w:tcPr>
          <w:p/>
        </w:tc>
        <w:tc>
          <w:tcPr>
            <w:tcW w:type="dxa" w:w="2307"/>
          </w:tcPr>
          <w:p>
            <w:pPr>
              <w:pStyle w:val="null3"/>
              <w:jc w:val="left"/>
            </w:pPr>
            <w:r>
              <w:rPr/>
              <w:t>进度计划 (5.0分)</w:t>
            </w:r>
          </w:p>
        </w:tc>
        <w:tc>
          <w:tcPr>
            <w:tcW w:type="dxa" w:w="5076"/>
          </w:tcPr>
          <w:p>
            <w:pPr>
              <w:pStyle w:val="null3"/>
              <w:jc w:val="left"/>
            </w:pPr>
            <w:r>
              <w:rPr/>
              <w:t>根据投标人的进度计划【包括从需求分析、设计、开发、测试、部署、培训、试运行到最终验收的全过程，并清晰阐述各阶段的关键任务、里程碑节点、工期安排、资源投入（人员、设备）及进度保障措施】进行评审： 1、方案内容全面完善、细致、符合本项目的要求、切合项目实际、可操作性强的，得5分； 2、方案内容全面完善，可符合本项目的要求，基本切合项目实际，可操作性一般的，得3分； 3、方案内容基本完善，基本符合本项目的要求，但未能符合项目实际的和欠操作性的，得1分； 4、不提供不得分。</w:t>
            </w:r>
          </w:p>
        </w:tc>
      </w:tr>
      <w:tr>
        <w:tc>
          <w:tcPr>
            <w:tcW w:type="dxa" w:w="922"/>
            <w:gridSpan w:val="2"/>
            <w:vMerge/>
          </w:tcPr>
          <w:p/>
        </w:tc>
        <w:tc>
          <w:tcPr>
            <w:tcW w:type="dxa" w:w="2307"/>
          </w:tcPr>
          <w:p>
            <w:pPr>
              <w:pStyle w:val="null3"/>
              <w:jc w:val="left"/>
            </w:pPr>
            <w:r>
              <w:rPr/>
              <w:t>服务质量保证方案 (10.0分)</w:t>
            </w:r>
          </w:p>
        </w:tc>
        <w:tc>
          <w:tcPr>
            <w:tcW w:type="dxa" w:w="5076"/>
          </w:tcPr>
          <w:p>
            <w:pPr>
              <w:pStyle w:val="null3"/>
              <w:jc w:val="left"/>
            </w:pPr>
            <w:r>
              <w:rPr/>
              <w:t>根据投标人提供的售后服务方案（包括但不限于人员调配、保障措施、服务期满后的延伸服务技术支持等）进行评审：要求方案具有合理性、可行性、针对性、可操作性； 1、方案包含上述各项内容，方案均合理可行，具体完整，针对性强、可操作性强，完全满足项目实际需求的，得10分； 2、方案包含上述各项内容，方案较为合理可行，内容完整，针对性、可操作性一般，能满足项目实际需求的，得5分； 3、缺失上述任意一项内容，或内容不完整，缺乏针对性、操作性的，部分满足项目实际需求的，得1分； 4、不提供不得分。</w:t>
            </w:r>
          </w:p>
        </w:tc>
      </w:tr>
      <w:tr>
        <w:tc>
          <w:tcPr>
            <w:tcW w:type="dxa" w:w="922"/>
            <w:gridSpan w:val="2"/>
            <w:vMerge/>
          </w:tcPr>
          <w:p/>
        </w:tc>
        <w:tc>
          <w:tcPr>
            <w:tcW w:type="dxa" w:w="2307"/>
          </w:tcPr>
          <w:p>
            <w:pPr>
              <w:pStyle w:val="null3"/>
              <w:jc w:val="left"/>
            </w:pPr>
            <w:r>
              <w:rPr/>
              <w:t>系统演示 (10.0分)</w:t>
            </w:r>
          </w:p>
        </w:tc>
        <w:tc>
          <w:tcPr>
            <w:tcW w:type="dxa" w:w="5076"/>
          </w:tcPr>
          <w:p>
            <w:pPr>
              <w:pStyle w:val="null3"/>
              <w:jc w:val="left"/>
            </w:pPr>
            <w:r>
              <w:rPr/>
              <w:t>根据投标人对《第二章 采购需求》附表一、具体技术（参数）要求中“演示要求”响应情况进行评审，完全满足得10分，一项不满足扣2分，扣完为止，具体需要演示内容如下： 1、导师指标与资格庫（指标分配、白名单、额度监控、匹配） 以高校管理员为主，管理导师白名单与招生指标，提供资格自动判定与预警能力。 （1）白名单 导师白名单新增/导入/导出/编辑/删除，快速检索。 （2）指标管理 指标上限设置与使用监控；按学年/单位/学科维度。 （3）资格判定 招生资格自动判定：白名单通过且未超指标即通过。 （完全满足得2分，不满足不得分） 2、综合积分与评优支撑库（积分项、累积规则、评优输出） 围绕“日常表现、科研、工作能力、导师评价、就业”等维度，提供可配置的综合记分机制与应用输出。评价结果将作为创新实践先锋、卓越培养人才、卓越工程师之星等评优奖先和企业推荐、毕业鉴定的重要依据。 （1）积分规则 规则配置、积分项定义、累计与抵扣、积分修订流程。 （2）场景应用 评优评先、毕业鉴定、推荐就业等场景调用。 （3）统计与查询 个人积分曲线、对比分析、异常核查。 （完全满足得2分，不满足不得分） 3、扶持项目全流程库（申报、评审、中检、验收） 覆盖“参数设置—申报—中期检查—结题”的完整链路，支撑导师在线申报与国创院审核。 （1）参数设置 申报年份、时间窗口设置；跨年规则明确。 （2）项目申报 导师在线申报；校验是否在开放期；国创院审核。 （3）中期与结题 中期检查提交与审核；结题提交与验收，入成果库入口。 （完全满足得2分，不满足不得分） 4、成果转化过程库（对接、意向、合同、拨付、实施进度）成果转化全流程业务跟踪 将成果从“意向—商务谈判—合同签署—经费拨付—实施落地—绩效验收”的全过程进行电子化管理，形成可追溯的转化闭环台账，提升推进效率与决策透明度。 流程主线与阶段节点 意向阶段：对接发起、双方初步意向记录、保密协议（NDA）存档。 商务谈判：核心条款（许可方式、范围、期限、费用模式、里程碑考核、违约与保密条款）与谈判往返版本管理。 合同与拨付：合同审批与签署（支持电子签章对接预留），拨付计划（节点、金额、条件）与拨付凭证归档。 （完全满足得2分，不满足不得分） 5、科技攻关项目专家评审与过程文档库（评审专家、意见、纪要与归档） 沉淀评审专家信息、评审任务、评分与意见、过程文档与附件归档，确保评审闭环与可追溯。 （1）专家库 专家信息：姓名、单位/职称/研究方向、所在领域、合作历史、回避关系（与申报单位/成员回避）。 任职记录：历次参与评审的项目与结果、意见摘要与贡献度评价，用于后续任务派发与质量控制。 可用性：评审可用时段与邀请状态，避免冲突派单。 （2）评审任务与在线评分 任务分配：按项目类别/技术方向自动或手动派发评审任务，支持一次派多位专家。 材料查看：在线查看申报材料、合同要素、中期/结项材料，支持批注与对比（版本差异提示）。 评分与意见：评分量表配置（权重可配）、文字意见、附件上传；支持打回修改。 结果汇总：自动计算加权得分生成评审汇总报告并入库。 （3）回避与保密 回避规则：专家与申报单位或成员存在利益关系时自动标记回避，不派发任务；人工强制派发需领导审批与留痕。 实现规则：评审全留痕：从派发→查看→评分→合议→结果输出全链路留痕；合规归档：纪要与评审报告为结项与立项的必备材料；缺失不可流转。权限边界：专家仅可访问本人被派发的项目材料；国创院管理员可全域查看；所有导出强制水印与日志。 （完全满足得2分，不满足不得分）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(3.0分)</w:t>
            </w:r>
          </w:p>
        </w:tc>
        <w:tc>
          <w:tcPr>
            <w:tcW w:type="dxa" w:w="5076"/>
          </w:tcPr>
          <w:p>
            <w:pPr>
              <w:pStyle w:val="null3"/>
              <w:jc w:val="left"/>
            </w:pPr>
            <w:r>
              <w:rPr/>
              <w:t>投标人获得以下有效的证书的： 1.质量管理体系认证证书的，得1.5分； 2.环境管理体系认证证书的，得1.5分。 注：本项最高得3.0分。投标人提供上述在有效期内的认证证书扫描件及“全国认证认可信息公共服务平台（http://cx.cnca.cn）”上查询到的状态为“有效”的官网截图打印件，方可得分，上述证明材料复印件加盖投标人公章。（查询结果证书状态为撤销、暂停、失效的不得分）由于成立时间不足导致不能办理相应认证证书的，投标人提供认证机构出具的“成立时间不足，不能办理认证”的书面证明材料，可得相应得分。</w:t>
            </w:r>
          </w:p>
        </w:tc>
      </w:tr>
      <w:tr>
        <w:tc>
          <w:tcPr>
            <w:tcW w:type="dxa" w:w="922"/>
            <w:gridSpan w:val="2"/>
            <w:vMerge/>
          </w:tcPr>
          <w:p/>
        </w:tc>
        <w:tc>
          <w:tcPr>
            <w:tcW w:type="dxa" w:w="2307"/>
          </w:tcPr>
          <w:p>
            <w:pPr>
              <w:pStyle w:val="null3"/>
              <w:jc w:val="left"/>
            </w:pPr>
            <w:r>
              <w:rPr/>
              <w:t>同类项目业绩 (12.0分)</w:t>
            </w:r>
          </w:p>
        </w:tc>
        <w:tc>
          <w:tcPr>
            <w:tcW w:type="dxa" w:w="5076"/>
          </w:tcPr>
          <w:p>
            <w:pPr>
              <w:pStyle w:val="null3"/>
              <w:jc w:val="left"/>
            </w:pPr>
            <w:r>
              <w:rPr/>
              <w:t>投标人自2023年1月1日（以合同签订时间为准）至投标截止时间为止承担同类项目业绩的，每提供一份得3分，最高得12分。 注：须提供合同关键页扫描件（含签订合同双方的单位名称、合同项目名称和含签订合同双方的落款盖章、签订日期的关键页）作为证明材料并加盖投标人公章，不提供不得分。</w:t>
            </w:r>
          </w:p>
        </w:tc>
      </w:tr>
      <w:tr>
        <w:tc>
          <w:tcPr>
            <w:tcW w:type="dxa" w:w="922"/>
            <w:gridSpan w:val="2"/>
            <w:vMerge/>
          </w:tcPr>
          <w:p/>
        </w:tc>
        <w:tc>
          <w:tcPr>
            <w:tcW w:type="dxa" w:w="2307"/>
          </w:tcPr>
          <w:p>
            <w:pPr>
              <w:pStyle w:val="null3"/>
              <w:jc w:val="left"/>
            </w:pPr>
            <w:r>
              <w:rPr/>
              <w:t>用户评价 (4.0分)</w:t>
            </w:r>
          </w:p>
        </w:tc>
        <w:tc>
          <w:tcPr>
            <w:tcW w:type="dxa" w:w="5076"/>
          </w:tcPr>
          <w:p>
            <w:pPr>
              <w:pStyle w:val="null3"/>
              <w:jc w:val="left"/>
            </w:pPr>
            <w:r>
              <w:rPr/>
              <w:t>提供上述被核定为有效同类项目业绩的满意度评价表或其他相关评价证明。评价为满意（非常满意）、优秀或良好等正面评价的，每份得1分，最高得4分。（同一用户单位只计一份用户评价） 注：须提供与业绩相对应的用户满意度调查表或其他相关评价证明等扫描件，以用户盖章为有效，否则不得分。</w:t>
            </w:r>
          </w:p>
        </w:tc>
      </w:tr>
      <w:tr>
        <w:tc>
          <w:tcPr>
            <w:tcW w:type="dxa" w:w="922"/>
            <w:gridSpan w:val="2"/>
            <w:vMerge/>
          </w:tcPr>
          <w:p/>
        </w:tc>
        <w:tc>
          <w:tcPr>
            <w:tcW w:type="dxa" w:w="2307"/>
          </w:tcPr>
          <w:p>
            <w:pPr>
              <w:pStyle w:val="null3"/>
              <w:jc w:val="left"/>
            </w:pPr>
            <w:r>
              <w:rPr/>
              <w:t>项目负责人情况（一） (4.0分)</w:t>
            </w:r>
          </w:p>
        </w:tc>
        <w:tc>
          <w:tcPr>
            <w:tcW w:type="dxa" w:w="5076"/>
          </w:tcPr>
          <w:p>
            <w:pPr>
              <w:pStyle w:val="null3"/>
              <w:jc w:val="left"/>
            </w:pPr>
            <w:r>
              <w:rPr/>
              <w:t>投标人拟投入本项目的项目负责人（1人）具备的专业能力进行评分： 具有人社部颁发的计算机技术与软件专业技术高级职称的得4分，具有计算机技术与软件专业技术中级职称的的2分，其余不得分。 注：本项最高得4分。提供上述人员资格证书扫描件及投标人在投标截止时间前6个月内（含投标当月）任意 1 个月，为上述人员缴纳社保资金的有效社保证明材料，否则不得分。</w:t>
            </w:r>
          </w:p>
        </w:tc>
      </w:tr>
      <w:tr>
        <w:tc>
          <w:tcPr>
            <w:tcW w:type="dxa" w:w="922"/>
            <w:gridSpan w:val="2"/>
            <w:vMerge/>
          </w:tcPr>
          <w:p/>
        </w:tc>
        <w:tc>
          <w:tcPr>
            <w:tcW w:type="dxa" w:w="2307"/>
          </w:tcPr>
          <w:p>
            <w:pPr>
              <w:pStyle w:val="null3"/>
              <w:jc w:val="left"/>
            </w:pPr>
            <w:r>
              <w:rPr/>
              <w:t>项目负责人情况（二） (2.0分)</w:t>
            </w:r>
          </w:p>
        </w:tc>
        <w:tc>
          <w:tcPr>
            <w:tcW w:type="dxa" w:w="5076"/>
          </w:tcPr>
          <w:p>
            <w:pPr>
              <w:pStyle w:val="null3"/>
              <w:jc w:val="left"/>
            </w:pPr>
            <w:r>
              <w:rPr/>
              <w:t>项目负责具有同类系统建设相关项目经验，得2分。注：本项最高得分2分，相关项目经验须提供项目任务书或合同复印件（须体现项目负责人姓名，如合同未能体现其姓名则须提供能体现其姓名的项目技术设计或总结性文档或验收报告或用户方出具的证明文件）。不提供不得分。</w:t>
            </w:r>
          </w:p>
        </w:tc>
      </w:tr>
      <w:tr>
        <w:tc>
          <w:tcPr>
            <w:tcW w:type="dxa" w:w="922"/>
            <w:gridSpan w:val="2"/>
            <w:vMerge/>
          </w:tcPr>
          <w:p/>
        </w:tc>
        <w:tc>
          <w:tcPr>
            <w:tcW w:type="dxa" w:w="2307"/>
          </w:tcPr>
          <w:p>
            <w:pPr>
              <w:pStyle w:val="null3"/>
              <w:jc w:val="left"/>
            </w:pPr>
            <w:r>
              <w:rPr/>
              <w:t>项目团队情况 (10.0分)</w:t>
            </w:r>
          </w:p>
        </w:tc>
        <w:tc>
          <w:tcPr>
            <w:tcW w:type="dxa" w:w="5076"/>
          </w:tcPr>
          <w:p>
            <w:pPr>
              <w:pStyle w:val="null3"/>
              <w:jc w:val="left"/>
            </w:pPr>
            <w:r>
              <w:rPr/>
              <w:t>投标人拟派本项目技术人员（除项目负责人外）具有以下证书：投标人每提供一名系统架构设计师得4分，每提供一名软件设计师/软件测评师，得2分。注：本项最高得10分；同一人具有多个证书的，以得分高计算，不重复计分；提供上述人员技术资格证书扫描件及投标人在投标截止时间前6个月内（含投标当月）任意 1 个月，为上述人员缴纳社保资金的有效社保证明材料，否则不得分。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按以下顺序推荐中标候选人及确定中标人： 1）按投标报价由低到高顺序排列，依次推荐中标候选人。 2）综合得分且投标报价相同的，中标候选人并列。 3）中标候选人并列的，采购人可委托评标委员会按下列顺序比较确定中标人：（1）技术评分（由高到低）；（2）商务评分（由高到低）。 4）如以上都相同的，由采购人采取随机抽取方式在并列的中标候选人中确定中标人。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rPr>
        <w:t>佛山市政府采购项目</w:t>
      </w:r>
    </w:p>
    <w:p>
      <w:pPr>
        <w:pStyle w:val="null3"/>
        <w:jc w:val="center"/>
      </w:pPr>
      <w:r>
        <w:rPr>
          <w:sz w:val="68"/>
          <w:color w:val="000000"/>
        </w:rPr>
        <w:t>合同书</w:t>
      </w:r>
    </w:p>
    <w:p>
      <w:pPr>
        <w:pStyle w:val="null3"/>
        <w:jc w:val="center"/>
      </w:pPr>
      <w:r>
        <w:rPr>
          <w:sz w:val="24"/>
          <w:b/>
          <w:color w:val="000000"/>
        </w:rPr>
        <w:t>项目编号：</w:t>
      </w:r>
      <w:r>
        <w:rPr>
          <w:sz w:val="24"/>
          <w:b/>
          <w:color w:val="000000"/>
          <w:u w:val="single"/>
        </w:rPr>
        <w:t>GDZC-25GZ178</w:t>
      </w:r>
    </w:p>
    <w:p>
      <w:pPr>
        <w:pStyle w:val="null3"/>
        <w:jc w:val="left"/>
      </w:pPr>
      <w:r>
        <w:rPr>
          <w:sz w:val="24"/>
          <w:b/>
          <w:color w:val="000000"/>
        </w:rPr>
        <w:t>项目名称：</w:t>
      </w:r>
      <w:r>
        <w:rPr>
          <w:sz w:val="24"/>
          <w:b/>
          <w:color w:val="000000"/>
          <w:u w:val="single"/>
        </w:rPr>
        <w:t>佛山国创院联合培养开放平台信息管理系统项目</w:t>
      </w: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8"/>
                <w:color w:val="000000"/>
              </w:rPr>
              <w:t>粤港澳大湾区（佛山）先进制造业国家卓越工程师创新研究院</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8"/>
                <w:color w:val="000000"/>
                <w:u w:val="single"/>
              </w:rPr>
              <w:t xml:space="preserve">  </w:t>
            </w:r>
            <w:r>
              <w:rPr>
                <w:sz w:val="28"/>
                <w:color w:val="000000"/>
                <w:u w:val="single"/>
              </w:rPr>
              <w:t>（中标</w:t>
            </w:r>
            <w:r>
              <w:rPr>
                <w:sz w:val="28"/>
                <w:color w:val="000000"/>
                <w:u w:val="single"/>
              </w:rPr>
              <w:t>人</w:t>
            </w:r>
            <w:r>
              <w:rPr>
                <w:sz w:val="28"/>
                <w:color w:val="000000"/>
                <w:u w:val="single"/>
              </w:rPr>
              <w:t>名称）</w:t>
            </w:r>
            <w:r>
              <w:rPr>
                <w:sz w:val="28"/>
                <w:color w:val="000000"/>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8"/>
                <w:color w:val="000000"/>
                <w:u w:val="single"/>
              </w:rPr>
              <w:t xml:space="preserve">       </w:t>
            </w:r>
            <w:r>
              <w:rPr>
                <w:sz w:val="28"/>
                <w:color w:val="000000"/>
                <w:u w:val="single"/>
              </w:rPr>
              <w:t>年</w:t>
            </w:r>
            <w:r>
              <w:rPr>
                <w:sz w:val="28"/>
                <w:color w:val="000000"/>
                <w:u w:val="single"/>
              </w:rPr>
              <w:t xml:space="preserve">    </w:t>
            </w:r>
            <w:r>
              <w:rPr>
                <w:sz w:val="28"/>
                <w:color w:val="000000"/>
                <w:u w:val="single"/>
              </w:rPr>
              <w:t>月</w:t>
            </w:r>
            <w:r>
              <w:rPr>
                <w:sz w:val="28"/>
                <w:color w:val="000000"/>
                <w:u w:val="single"/>
              </w:rPr>
              <w:t xml:space="preserve">    </w:t>
            </w:r>
            <w:r>
              <w:rPr>
                <w:sz w:val="28"/>
                <w:color w:val="000000"/>
                <w:u w:val="single"/>
              </w:rPr>
              <w:t>日</w:t>
            </w:r>
            <w:r>
              <w:rPr>
                <w:sz w:val="28"/>
                <w:color w:val="000000"/>
                <w:u w:val="single"/>
              </w:rPr>
              <w:t xml:space="preserve">        </w:t>
            </w:r>
          </w:p>
        </w:tc>
      </w:tr>
    </w:tbl>
    <w:p>
      <w:pPr>
        <w:pStyle w:val="null3"/>
        <w:jc w:val="center"/>
      </w:pPr>
      <w:r>
        <w:rPr>
          <w:sz w:val="21"/>
          <w:i/>
          <w:color w:val="FF0000"/>
        </w:rPr>
        <w:t>注：本合同仅为合同的参考文本，可根据项目的具体要求进行修订。</w:t>
      </w:r>
    </w:p>
    <w:p>
      <w:pPr>
        <w:pStyle w:val="null3"/>
        <w:jc w:val="both"/>
      </w:pPr>
      <w:r>
        <w:rPr/>
        <w:t xml:space="preserve"> </w:t>
      </w:r>
    </w:p>
    <w:p>
      <w:pPr>
        <w:pStyle w:val="null3"/>
        <w:jc w:val="center"/>
      </w:pPr>
      <w:r>
        <w:rPr>
          <w:sz w:val="44"/>
          <w:b/>
          <w:color w:val="000000"/>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7"/>
        <w:gridCol w:w="6669"/>
      </w:tblGrid>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rPr>
              <w:t>项目名称：</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佛山国创院联合培养开放平台信息管理系统项目</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rPr>
              <w:t>项目编号：</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GDZC-25GZ178</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rPr>
              <w:t>甲</w:t>
            </w:r>
            <w:r>
              <w:rPr>
                <w:sz w:val="21"/>
                <w:color w:val="000000"/>
              </w:rPr>
              <w:t xml:space="preserve">    </w:t>
            </w:r>
            <w:r>
              <w:rPr>
                <w:sz w:val="21"/>
                <w:color w:val="000000"/>
              </w:rPr>
              <w:t>方：</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粤港澳大湾区（佛山）先进制造业国家卓越工程师创新研究院</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rPr>
              <w:t>乙</w:t>
            </w:r>
            <w:r>
              <w:rPr>
                <w:sz w:val="21"/>
                <w:color w:val="000000"/>
              </w:rPr>
              <w:t xml:space="preserve">    </w:t>
            </w:r>
            <w:r>
              <w:rPr>
                <w:sz w:val="21"/>
                <w:color w:val="000000"/>
              </w:rPr>
              <w:t>方：</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w:t>
            </w:r>
            <w:r>
              <w:rPr>
                <w:sz w:val="21"/>
                <w:color w:val="000000"/>
                <w:u w:val="single"/>
              </w:rPr>
              <w:t>中标人</w:t>
            </w:r>
            <w:r>
              <w:rPr>
                <w:sz w:val="21"/>
                <w:color w:val="000000"/>
                <w:u w:val="single"/>
              </w:rPr>
              <w:t>）</w:t>
            </w:r>
            <w:r>
              <w:rPr>
                <w:sz w:val="21"/>
                <w:color w:val="000000"/>
                <w:u w:val="single"/>
              </w:rPr>
              <w:t xml:space="preserve">                                 </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rPr>
              <w:t>合同性质：</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本合同为中小企业预留合同</w:t>
            </w:r>
          </w:p>
        </w:tc>
      </w:tr>
    </w:tbl>
    <w:p>
      <w:pPr>
        <w:pStyle w:val="null3"/>
        <w:ind w:firstLine="420"/>
      </w:pPr>
      <w:r>
        <w:rPr>
          <w:sz w:val="21"/>
          <w:color w:val="000000"/>
        </w:rPr>
        <w:t>根据《中华人民共和国政府采购法》《中华人民共和国民法典》和本项目采购文件的要求，经双方协商，本着平等互利和诚实信用的原则，一致同意签订本合同如下。</w:t>
      </w:r>
    </w:p>
    <w:p>
      <w:pPr>
        <w:pStyle w:val="null3"/>
        <w:ind w:left="510"/>
      </w:pPr>
      <w:r>
        <w:rPr>
          <w:sz w:val="21"/>
          <w:b/>
          <w:color w:val="000000"/>
        </w:rPr>
        <w:t>一、项目主要内容及实现功能目标：</w:t>
      </w:r>
    </w:p>
    <w:p>
      <w:pPr>
        <w:pStyle w:val="null3"/>
        <w:ind w:firstLine="420"/>
      </w:pPr>
      <w:r>
        <w:rPr>
          <w:sz w:val="21"/>
          <w:color w:val="000000"/>
        </w:rPr>
        <w:t>（按照</w:t>
      </w:r>
      <w:r>
        <w:rPr>
          <w:sz w:val="21"/>
          <w:color w:val="000000"/>
        </w:rPr>
        <w:t>招标</w:t>
      </w:r>
      <w:r>
        <w:rPr>
          <w:sz w:val="21"/>
          <w:color w:val="000000"/>
        </w:rPr>
        <w:t>文件和投标</w:t>
      </w:r>
      <w:r>
        <w:rPr>
          <w:sz w:val="21"/>
          <w:color w:val="000000"/>
        </w:rPr>
        <w:t>/</w:t>
      </w:r>
      <w:r>
        <w:rPr>
          <w:sz w:val="21"/>
          <w:color w:val="000000"/>
        </w:rPr>
        <w:t>投标文件</w:t>
      </w:r>
      <w:r>
        <w:rPr>
          <w:sz w:val="21"/>
          <w:color w:val="000000"/>
        </w:rPr>
        <w:t>执行）</w:t>
      </w:r>
    </w:p>
    <w:p>
      <w:pPr>
        <w:pStyle w:val="null3"/>
        <w:ind w:left="510"/>
      </w:pPr>
      <w:r>
        <w:rPr>
          <w:sz w:val="21"/>
          <w:b/>
          <w:color w:val="000000"/>
        </w:rPr>
        <w:t>二、产品及服务供应清单：</w:t>
      </w:r>
      <w:r>
        <w:rPr>
          <w:sz w:val="21"/>
          <w:color w:val="000000"/>
        </w:rPr>
        <w:t>见附件一《报价清单明细表》。</w:t>
      </w:r>
    </w:p>
    <w:p>
      <w:pPr>
        <w:pStyle w:val="null3"/>
        <w:ind w:left="510"/>
      </w:pPr>
      <w:r>
        <w:rPr>
          <w:sz w:val="21"/>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704"/>
        <w:gridCol w:w="1541"/>
        <w:gridCol w:w="6061"/>
      </w:tblGrid>
      <w:tr>
        <w:tc>
          <w:tcPr>
            <w:tcW w:type="dxa" w:w="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5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60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w:t>
            </w:r>
            <w:r>
              <w:rPr>
                <w:sz w:val="21"/>
                <w:b/>
              </w:rPr>
              <w:t xml:space="preserve">  </w:t>
            </w:r>
            <w:r>
              <w:rPr>
                <w:sz w:val="21"/>
                <w:b/>
              </w:rPr>
              <w:t>容</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合同总额</w:t>
            </w:r>
          </w:p>
        </w:tc>
        <w:tc>
          <w:tcPr>
            <w:tcW w:type="dxa" w:w="6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小写：人民币</w:t>
            </w:r>
            <w:r>
              <w:rPr>
                <w:sz w:val="21"/>
                <w:u w:val="single"/>
              </w:rPr>
              <w:t xml:space="preserve">             </w:t>
            </w:r>
            <w:r>
              <w:rPr>
                <w:sz w:val="21"/>
              </w:rPr>
              <w:t>元；</w:t>
            </w:r>
          </w:p>
          <w:p>
            <w:pPr>
              <w:pStyle w:val="null3"/>
              <w:jc w:val="both"/>
            </w:pPr>
            <w:r>
              <w:rPr>
                <w:sz w:val="21"/>
              </w:rPr>
              <w:t>大写：</w:t>
            </w:r>
            <w:r>
              <w:rPr>
                <w:sz w:val="21"/>
              </w:rPr>
              <w:t xml:space="preserve">                          </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合同总额内容</w:t>
            </w:r>
          </w:p>
        </w:tc>
        <w:tc>
          <w:tcPr>
            <w:tcW w:type="dxa" w:w="6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报价方式为总价包干。</w:t>
            </w:r>
            <w:r>
              <w:rPr>
                <w:sz w:val="21"/>
              </w:rPr>
              <w:t>合同金额</w:t>
            </w:r>
            <w:r>
              <w:rPr>
                <w:sz w:val="21"/>
              </w:rPr>
              <w:t>必须包括但不限于完成本项目的软件开发、系统集成、调试、试运行、验收、培训、维护服务期内维护费用、全额含税发票、雇员费用等，合同实施过程中的应预见或不可预见费用等所需的一切费用。</w:t>
            </w:r>
            <w:r>
              <w:rPr>
                <w:sz w:val="21"/>
              </w:rPr>
              <w:t>(2)投标供应商必须自行考虑在本项目实施期间的一切可能产生的费用，在项目的实施过程中，</w:t>
            </w:r>
            <w:r>
              <w:rPr>
                <w:sz w:val="21"/>
              </w:rPr>
              <w:t>甲方</w:t>
            </w:r>
            <w:r>
              <w:rPr>
                <w:sz w:val="21"/>
              </w:rPr>
              <w:t>除了支付合同付款方式中规定的款项外，一切合同规定外的费用将拒绝支付。</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项目服务地点</w:t>
            </w:r>
          </w:p>
        </w:tc>
        <w:tc>
          <w:tcPr>
            <w:tcW w:type="dxa" w:w="6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甲方（用户）指定地点。详细地址为：</w:t>
            </w:r>
            <w:r>
              <w:rPr>
                <w:sz w:val="21"/>
              </w:rPr>
              <w:t xml:space="preserve">    </w:t>
            </w:r>
            <w:r>
              <w:rPr>
                <w:sz w:val="21"/>
              </w:rPr>
              <w:t>。</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服务期</w:t>
            </w:r>
          </w:p>
        </w:tc>
        <w:tc>
          <w:tcPr>
            <w:tcW w:type="dxa" w:w="6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自合同签订之日起</w:t>
            </w:r>
            <w:r>
              <w:rPr>
                <w:sz w:val="21"/>
              </w:rPr>
              <w:t>6个月内完成系统交付并通过最终验收。</w:t>
            </w:r>
          </w:p>
          <w:p>
            <w:pPr>
              <w:pStyle w:val="null3"/>
              <w:jc w:val="both"/>
            </w:pPr>
            <w:r>
              <w:rPr>
                <w:sz w:val="21"/>
              </w:rPr>
              <w:t>具体进度如下：</w:t>
            </w:r>
          </w:p>
          <w:p>
            <w:pPr>
              <w:pStyle w:val="null3"/>
              <w:jc w:val="both"/>
            </w:pPr>
            <w:r>
              <w:rPr>
                <w:sz w:val="21"/>
              </w:rPr>
              <w:t>第</w:t>
            </w:r>
            <w:r>
              <w:rPr>
                <w:sz w:val="21"/>
              </w:rPr>
              <w:t>1个月：完成需求分析与系统设计。</w:t>
            </w:r>
          </w:p>
          <w:p>
            <w:pPr>
              <w:pStyle w:val="null3"/>
              <w:jc w:val="both"/>
            </w:pPr>
            <w:r>
              <w:rPr>
                <w:sz w:val="21"/>
              </w:rPr>
              <w:t>第</w:t>
            </w:r>
            <w:r>
              <w:rPr>
                <w:sz w:val="21"/>
              </w:rPr>
              <w:t>2-4个月：完成系统开发、集成与内部测试。</w:t>
            </w:r>
          </w:p>
          <w:p>
            <w:pPr>
              <w:pStyle w:val="null3"/>
              <w:jc w:val="both"/>
            </w:pPr>
            <w:r>
              <w:rPr>
                <w:sz w:val="21"/>
              </w:rPr>
              <w:t>第</w:t>
            </w:r>
            <w:r>
              <w:rPr>
                <w:sz w:val="21"/>
              </w:rPr>
              <w:t>5个月：完成系统内部测试、修复、管理员培训，并组织</w:t>
            </w:r>
            <w:r>
              <w:rPr>
                <w:sz w:val="21"/>
              </w:rPr>
              <w:t>甲方</w:t>
            </w:r>
            <w:r>
              <w:rPr>
                <w:sz w:val="21"/>
              </w:rPr>
              <w:t>进行用户验收测试（</w:t>
            </w:r>
            <w:r>
              <w:rPr>
                <w:sz w:val="21"/>
              </w:rPr>
              <w:t>UAT）。</w:t>
            </w:r>
          </w:p>
          <w:p>
            <w:pPr>
              <w:pStyle w:val="null3"/>
              <w:jc w:val="both"/>
            </w:pPr>
            <w:r>
              <w:rPr>
                <w:sz w:val="21"/>
              </w:rPr>
              <w:t>第</w:t>
            </w:r>
            <w:r>
              <w:rPr>
                <w:sz w:val="21"/>
              </w:rPr>
              <w:t>6个月：完成系统试运行，并组织项目最终验收。</w:t>
            </w:r>
          </w:p>
          <w:p>
            <w:pPr>
              <w:pStyle w:val="null3"/>
              <w:jc w:val="both"/>
            </w:pPr>
            <w:r>
              <w:rPr>
                <w:sz w:val="21"/>
              </w:rPr>
              <w:t>项目通过最终验收，且《项目最终验收报告》签署之日起，提供三年持续的运行维护与技术支持。</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合同签订方式及情况</w:t>
            </w:r>
          </w:p>
        </w:tc>
        <w:tc>
          <w:tcPr>
            <w:tcW w:type="dxa" w:w="6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一次性签订本项目采购合同。</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付款方式</w:t>
            </w:r>
          </w:p>
        </w:tc>
        <w:tc>
          <w:tcPr>
            <w:tcW w:type="dxa" w:w="6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1期：</w:t>
            </w:r>
            <w:r>
              <w:rPr>
                <w:sz w:val="21"/>
              </w:rPr>
              <w:t>支付比例</w:t>
            </w:r>
            <w:r>
              <w:rPr>
                <w:sz w:val="21"/>
              </w:rPr>
              <w:t>30%,双方签订项目合同后，</w:t>
            </w:r>
            <w:r>
              <w:rPr>
                <w:sz w:val="21"/>
              </w:rPr>
              <w:t>甲方</w:t>
            </w:r>
            <w:r>
              <w:rPr>
                <w:sz w:val="21"/>
              </w:rPr>
              <w:t>向</w:t>
            </w:r>
            <w:r>
              <w:rPr>
                <w:sz w:val="21"/>
              </w:rPr>
              <w:t>乙方</w:t>
            </w:r>
            <w:r>
              <w:rPr>
                <w:sz w:val="21"/>
              </w:rPr>
              <w:t>支付合同额</w:t>
            </w:r>
            <w:r>
              <w:rPr>
                <w:sz w:val="21"/>
              </w:rPr>
              <w:t>30%。</w:t>
            </w:r>
          </w:p>
          <w:p>
            <w:pPr>
              <w:pStyle w:val="null3"/>
              <w:jc w:val="both"/>
            </w:pPr>
            <w:r>
              <w:rPr>
                <w:sz w:val="21"/>
              </w:rPr>
              <w:t>2期：支付比例60%,</w:t>
            </w:r>
            <w:r>
              <w:rPr>
                <w:sz w:val="21"/>
              </w:rPr>
              <w:t>乙方</w:t>
            </w:r>
            <w:r>
              <w:rPr>
                <w:sz w:val="21"/>
              </w:rPr>
              <w:t>完成全部系统开发，并通过内部测试和用户验收测试，取得</w:t>
            </w:r>
            <w:r>
              <w:rPr>
                <w:sz w:val="21"/>
              </w:rPr>
              <w:t>甲方</w:t>
            </w:r>
            <w:r>
              <w:rPr>
                <w:sz w:val="21"/>
              </w:rPr>
              <w:t>签署的《用户验收测试</w:t>
            </w:r>
            <w:r>
              <w:rPr>
                <w:sz w:val="21"/>
              </w:rPr>
              <w:t>(UAT)通过确认书》后，</w:t>
            </w:r>
            <w:r>
              <w:rPr>
                <w:sz w:val="21"/>
              </w:rPr>
              <w:t>甲方</w:t>
            </w:r>
            <w:r>
              <w:rPr>
                <w:sz w:val="21"/>
              </w:rPr>
              <w:t>在收到发票后</w:t>
            </w:r>
            <w:r>
              <w:rPr>
                <w:sz w:val="21"/>
              </w:rPr>
              <w:t>10个工作日内，向</w:t>
            </w:r>
            <w:r>
              <w:rPr>
                <w:sz w:val="21"/>
              </w:rPr>
              <w:t>乙方</w:t>
            </w:r>
            <w:r>
              <w:rPr>
                <w:sz w:val="21"/>
              </w:rPr>
              <w:t>支付合同总额的</w:t>
            </w:r>
            <w:r>
              <w:rPr>
                <w:sz w:val="21"/>
              </w:rPr>
              <w:t>60%</w:t>
            </w:r>
          </w:p>
          <w:p>
            <w:pPr>
              <w:pStyle w:val="null3"/>
              <w:jc w:val="both"/>
            </w:pPr>
            <w:r>
              <w:rPr>
                <w:sz w:val="21"/>
              </w:rPr>
              <w:t>3期：支付比例10%,项目通过本合同约定的最终验收，并取得《项目最终验收报告》后，</w:t>
            </w:r>
            <w:r>
              <w:rPr>
                <w:sz w:val="21"/>
              </w:rPr>
              <w:t>甲方</w:t>
            </w:r>
            <w:r>
              <w:rPr>
                <w:sz w:val="21"/>
              </w:rPr>
              <w:t>在收到发票后</w:t>
            </w:r>
            <w:r>
              <w:rPr>
                <w:sz w:val="21"/>
              </w:rPr>
              <w:t>10个工作日内，向</w:t>
            </w:r>
            <w:r>
              <w:rPr>
                <w:sz w:val="21"/>
              </w:rPr>
              <w:t>乙方</w:t>
            </w:r>
            <w:r>
              <w:rPr>
                <w:sz w:val="21"/>
              </w:rPr>
              <w:t>支付合同总额的</w:t>
            </w:r>
            <w:r>
              <w:rPr>
                <w:sz w:val="21"/>
              </w:rPr>
              <w:t>10%。</w:t>
            </w:r>
          </w:p>
          <w:p>
            <w:pPr>
              <w:pStyle w:val="null3"/>
              <w:jc w:val="both"/>
            </w:pPr>
            <w:r>
              <w:rPr>
                <w:sz w:val="21"/>
              </w:rPr>
              <w:t>如项目发生合同融资，</w:t>
            </w:r>
            <w:r>
              <w:rPr>
                <w:sz w:val="21"/>
              </w:rPr>
              <w:t>甲方</w:t>
            </w:r>
            <w:r>
              <w:rPr>
                <w:sz w:val="21"/>
              </w:rPr>
              <w:t>需将合同款项支付到合同约定收款账户</w:t>
            </w:r>
            <w:r>
              <w:rPr>
                <w:sz w:val="21"/>
              </w:rPr>
              <w:t>。</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付款要求</w:t>
            </w:r>
          </w:p>
        </w:tc>
        <w:tc>
          <w:tcPr>
            <w:tcW w:type="dxa" w:w="6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乙方凭以下有效文件与甲方结算</w:t>
            </w:r>
          </w:p>
          <w:p>
            <w:pPr>
              <w:pStyle w:val="null3"/>
              <w:jc w:val="both"/>
            </w:pPr>
            <w:r>
              <w:rPr>
                <w:sz w:val="21"/>
              </w:rPr>
              <w:t>(1)合同；</w:t>
            </w:r>
          </w:p>
          <w:p>
            <w:pPr>
              <w:pStyle w:val="null3"/>
              <w:jc w:val="both"/>
            </w:pPr>
            <w:r>
              <w:rPr>
                <w:sz w:val="21"/>
              </w:rPr>
              <w:t>(2)乙方开具的正式发票；</w:t>
            </w:r>
          </w:p>
          <w:p>
            <w:pPr>
              <w:pStyle w:val="null3"/>
              <w:jc w:val="both"/>
            </w:pPr>
            <w:r>
              <w:rPr>
                <w:sz w:val="21"/>
              </w:rPr>
              <w:t>(3)验收证明材料、项目成果（加盖甲方公章）；</w:t>
            </w:r>
          </w:p>
          <w:p>
            <w:pPr>
              <w:pStyle w:val="null3"/>
              <w:jc w:val="both"/>
            </w:pPr>
            <w:r>
              <w:rPr>
                <w:sz w:val="21"/>
              </w:rPr>
              <w:t>(4)中标通知书。按合同支付款项前，乙方必须先向甲方提供有效发票，且收款方、出具发票方、合同乙方均必须与</w:t>
            </w:r>
            <w:r>
              <w:rPr>
                <w:sz w:val="21"/>
              </w:rPr>
              <w:t>乙方</w:t>
            </w:r>
            <w:r>
              <w:rPr>
                <w:sz w:val="21"/>
              </w:rPr>
              <w:t>名称一致，否则甲方有权顺延付款时间。</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质量保证期</w:t>
            </w:r>
          </w:p>
        </w:tc>
        <w:tc>
          <w:tcPr>
            <w:tcW w:type="dxa" w:w="6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项目通过最终验收，且《项目最终验收报告》签署之日起</w:t>
            </w:r>
            <w:r>
              <w:rPr>
                <w:sz w:val="21"/>
              </w:rPr>
              <w:t>，</w:t>
            </w:r>
            <w:r>
              <w:rPr>
                <w:sz w:val="21"/>
              </w:rPr>
              <w:t>提供</w:t>
            </w:r>
            <w:r>
              <w:rPr>
                <w:sz w:val="21"/>
              </w:rPr>
              <w:t>三</w:t>
            </w:r>
            <w:r>
              <w:rPr>
                <w:sz w:val="21"/>
              </w:rPr>
              <w:t>年持续的运行维护与技术</w:t>
            </w:r>
            <w:r>
              <w:rPr>
                <w:sz w:val="21"/>
              </w:rPr>
              <w:t>支持。</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售后服务要求</w:t>
            </w:r>
          </w:p>
        </w:tc>
        <w:tc>
          <w:tcPr>
            <w:tcW w:type="dxa" w:w="6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(1)在质保期内，</w:t>
            </w:r>
            <w:r>
              <w:rPr>
                <w:sz w:val="21"/>
              </w:rPr>
              <w:t>乙方</w:t>
            </w:r>
            <w:r>
              <w:rPr>
                <w:sz w:val="21"/>
              </w:rPr>
              <w:t>负责对其实施的项目提供</w:t>
            </w:r>
            <w:r>
              <w:rPr>
                <w:sz w:val="21"/>
              </w:rPr>
              <w:t>7×24小时技术支持服务。当发生故障问题时，</w:t>
            </w:r>
            <w:r>
              <w:rPr>
                <w:sz w:val="21"/>
              </w:rPr>
              <w:t>乙方</w:t>
            </w:r>
            <w:r>
              <w:rPr>
                <w:sz w:val="21"/>
              </w:rPr>
              <w:t>需在</w:t>
            </w:r>
            <w:r>
              <w:rPr>
                <w:sz w:val="21"/>
              </w:rPr>
              <w:t>2小时内派技术人员到达现场，并最迟在第2个工作日内排除故障错误，若在2个工作日内无法解决的，</w:t>
            </w:r>
            <w:r>
              <w:rPr>
                <w:sz w:val="21"/>
              </w:rPr>
              <w:t>乙方</w:t>
            </w:r>
            <w:r>
              <w:rPr>
                <w:sz w:val="21"/>
              </w:rPr>
              <w:t>需采取临时应急措施，以保证系统的正常使用运行。质保期满后，最终运维金额的确定另行协商。</w:t>
            </w:r>
          </w:p>
          <w:p>
            <w:pPr>
              <w:pStyle w:val="null3"/>
            </w:pPr>
            <w:r>
              <w:rPr>
                <w:sz w:val="21"/>
              </w:rPr>
              <w:t>(2)售后服务期内突发需协助</w:t>
            </w:r>
            <w:r>
              <w:rPr>
                <w:sz w:val="21"/>
              </w:rPr>
              <w:t>甲方</w:t>
            </w:r>
            <w:r>
              <w:rPr>
                <w:sz w:val="21"/>
              </w:rPr>
              <w:t>通过信息化主管部门的符合性验收，如符合性验收不通过，</w:t>
            </w:r>
            <w:r>
              <w:rPr>
                <w:sz w:val="21"/>
              </w:rPr>
              <w:t>乙方</w:t>
            </w:r>
            <w:r>
              <w:rPr>
                <w:sz w:val="21"/>
              </w:rPr>
              <w:t>需配合整改直到验收合格为止。</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培训要求</w:t>
            </w:r>
          </w:p>
        </w:tc>
        <w:tc>
          <w:tcPr>
            <w:tcW w:type="dxa" w:w="6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为</w:t>
            </w:r>
            <w:r>
              <w:rPr>
                <w:sz w:val="21"/>
              </w:rPr>
              <w:t>确保系统顺利移交与稳定运行，</w:t>
            </w:r>
            <w:r>
              <w:rPr>
                <w:sz w:val="21"/>
              </w:rPr>
              <w:t>乙方</w:t>
            </w:r>
            <w:r>
              <w:rPr>
                <w:sz w:val="21"/>
              </w:rPr>
              <w:t>须制定详细的培训计划并提供全面培训。培训应分为系统管理员培训与最终用户培训两个阶段，具体要求如下：</w:t>
            </w:r>
          </w:p>
          <w:p>
            <w:pPr>
              <w:pStyle w:val="null3"/>
            </w:pPr>
            <w:r>
              <w:rPr>
                <w:sz w:val="21"/>
              </w:rPr>
              <w:t>1. 系统管理员培训</w:t>
            </w:r>
          </w:p>
          <w:p>
            <w:pPr>
              <w:pStyle w:val="null3"/>
            </w:pPr>
            <w:r>
              <w:rPr>
                <w:sz w:val="21"/>
              </w:rPr>
              <w:t>(1)培训时间：系统开发完成后、用户验收测试开始前完成。</w:t>
            </w:r>
          </w:p>
          <w:p>
            <w:pPr>
              <w:pStyle w:val="null3"/>
            </w:pPr>
            <w:r>
              <w:rPr>
                <w:sz w:val="21"/>
              </w:rPr>
              <w:t>(2)培训对象：</w:t>
            </w:r>
            <w:r>
              <w:rPr>
                <w:sz w:val="21"/>
              </w:rPr>
              <w:t>甲方</w:t>
            </w:r>
            <w:r>
              <w:rPr>
                <w:sz w:val="21"/>
              </w:rPr>
              <w:t>指定的系统管理员与运维技术人员。</w:t>
            </w:r>
          </w:p>
          <w:p>
            <w:pPr>
              <w:pStyle w:val="null3"/>
            </w:pPr>
            <w:r>
              <w:rPr>
                <w:sz w:val="21"/>
              </w:rPr>
              <w:t>(3)培训目标：使受训人员能独立完成系统的安装、配置、备份、恢复、日常监控、用户管理、常见故障诊断与处理等运维工作。</w:t>
            </w:r>
          </w:p>
          <w:p>
            <w:pPr>
              <w:pStyle w:val="null3"/>
            </w:pPr>
            <w:r>
              <w:rPr>
                <w:sz w:val="21"/>
              </w:rPr>
              <w:t>(4)培训内容：系统架构、部署方案、后台管理功能、参数配置、日志分析、安全策略与应急预案等。</w:t>
            </w:r>
          </w:p>
          <w:p>
            <w:pPr>
              <w:pStyle w:val="null3"/>
            </w:pPr>
            <w:r>
              <w:rPr>
                <w:sz w:val="21"/>
              </w:rPr>
              <w:t>2. 最终用户培训</w:t>
            </w:r>
          </w:p>
          <w:p>
            <w:pPr>
              <w:pStyle w:val="null3"/>
            </w:pPr>
            <w:r>
              <w:rPr>
                <w:sz w:val="21"/>
              </w:rPr>
              <w:t>(1)培训时间：用户验收测试通过后、系统正式上线前完成。</w:t>
            </w:r>
          </w:p>
          <w:p>
            <w:pPr>
              <w:pStyle w:val="null3"/>
            </w:pPr>
            <w:r>
              <w:rPr>
                <w:sz w:val="21"/>
              </w:rPr>
              <w:t>(2)培训对象：</w:t>
            </w:r>
            <w:r>
              <w:rPr>
                <w:sz w:val="21"/>
              </w:rPr>
              <w:t>甲方</w:t>
            </w:r>
            <w:r>
              <w:rPr>
                <w:sz w:val="21"/>
              </w:rPr>
              <w:t>及各相关方（如高校管理员、导师、企业管理员、学生等）的所有系统使用人员。</w:t>
            </w:r>
          </w:p>
          <w:p>
            <w:pPr>
              <w:pStyle w:val="null3"/>
            </w:pPr>
            <w:r>
              <w:rPr>
                <w:sz w:val="21"/>
              </w:rPr>
              <w:t>(3)培训目标：使各类最终用户能熟练使用与其角色相关的系统功能，顺利完成业务操作。</w:t>
            </w:r>
          </w:p>
          <w:p>
            <w:pPr>
              <w:pStyle w:val="null3"/>
            </w:pPr>
            <w:r>
              <w:rPr>
                <w:sz w:val="21"/>
              </w:rPr>
              <w:t>(4)培训内容：针对不同用户角色，讲解其对应的业务流程、功能模块操作、信息查询、报表生成等。需提供模拟环境进行实操练习。</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文档管理要求</w:t>
            </w:r>
          </w:p>
        </w:tc>
        <w:tc>
          <w:tcPr>
            <w:tcW w:type="dxa" w:w="6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本项目文档严格遵照国家软件工程规范进行管理，</w:t>
            </w:r>
            <w:r>
              <w:rPr>
                <w:sz w:val="21"/>
              </w:rPr>
              <w:t>乙方</w:t>
            </w:r>
            <w:r>
              <w:rPr>
                <w:sz w:val="21"/>
              </w:rPr>
              <w:t>需根据实施进度及时提供相应的过程及成果文档。所有文档需在最终验收前集结成册并正式交付。具体交付节点与文档要求如下：</w:t>
            </w:r>
          </w:p>
          <w:p>
            <w:pPr>
              <w:pStyle w:val="null3"/>
              <w:jc w:val="both"/>
            </w:pPr>
            <w:r>
              <w:rPr>
                <w:sz w:val="21"/>
              </w:rPr>
              <w:t xml:space="preserve">1. </w:t>
            </w:r>
            <w:r>
              <w:rPr>
                <w:sz w:val="21"/>
              </w:rPr>
              <w:t>用户验收测试（</w:t>
            </w:r>
            <w:r>
              <w:rPr>
                <w:sz w:val="21"/>
              </w:rPr>
              <w:t>UAT）阶段前交付的文档</w:t>
            </w:r>
          </w:p>
          <w:p>
            <w:pPr>
              <w:pStyle w:val="null3"/>
              <w:jc w:val="both"/>
            </w:pPr>
            <w:r>
              <w:rPr>
                <w:sz w:val="21"/>
              </w:rPr>
              <w:t>(1)</w:t>
            </w:r>
            <w:r>
              <w:rPr>
                <w:sz w:val="21"/>
              </w:rPr>
              <w:t>需求与设计阶段（合同签订后</w:t>
            </w:r>
            <w:r>
              <w:rPr>
                <w:sz w:val="21"/>
              </w:rPr>
              <w:t>1个月内交付）：</w:t>
            </w:r>
          </w:p>
          <w:p>
            <w:pPr>
              <w:pStyle w:val="null3"/>
              <w:ind w:left="420"/>
              <w:jc w:val="both"/>
            </w:pPr>
            <w:r>
              <w:rPr>
                <w:sz w:val="21"/>
              </w:rPr>
              <w:t>1)</w:t>
            </w:r>
            <w:r>
              <w:rPr>
                <w:sz w:val="21"/>
              </w:rPr>
              <w:t>《项目详细实施方案》</w:t>
            </w:r>
          </w:p>
          <w:p>
            <w:pPr>
              <w:pStyle w:val="null3"/>
              <w:ind w:left="420"/>
              <w:jc w:val="both"/>
            </w:pPr>
            <w:r>
              <w:rPr>
                <w:sz w:val="21"/>
              </w:rPr>
              <w:t>2)</w:t>
            </w:r>
            <w:r>
              <w:rPr>
                <w:sz w:val="21"/>
              </w:rPr>
              <w:t>《需求规格说明书》</w:t>
            </w:r>
          </w:p>
          <w:p>
            <w:pPr>
              <w:pStyle w:val="null3"/>
              <w:ind w:left="420"/>
              <w:jc w:val="both"/>
            </w:pPr>
            <w:r>
              <w:rPr>
                <w:sz w:val="21"/>
              </w:rPr>
              <w:t>3)</w:t>
            </w:r>
            <w:r>
              <w:rPr>
                <w:sz w:val="21"/>
              </w:rPr>
              <w:t>《系统概要设计说明书》</w:t>
            </w:r>
          </w:p>
          <w:p>
            <w:pPr>
              <w:pStyle w:val="null3"/>
              <w:ind w:left="420"/>
              <w:jc w:val="both"/>
            </w:pPr>
            <w:r>
              <w:rPr>
                <w:sz w:val="21"/>
              </w:rPr>
              <w:t>4)</w:t>
            </w:r>
            <w:r>
              <w:rPr>
                <w:sz w:val="21"/>
              </w:rPr>
              <w:t>《系统详细设计说明书》</w:t>
            </w:r>
          </w:p>
          <w:p>
            <w:pPr>
              <w:pStyle w:val="null3"/>
              <w:ind w:left="420"/>
              <w:jc w:val="both"/>
            </w:pPr>
            <w:r>
              <w:rPr>
                <w:sz w:val="21"/>
              </w:rPr>
              <w:t>5)</w:t>
            </w:r>
            <w:r>
              <w:rPr>
                <w:sz w:val="21"/>
              </w:rPr>
              <w:t>《数据库设计说明书》</w:t>
            </w:r>
          </w:p>
          <w:p>
            <w:pPr>
              <w:pStyle w:val="null3"/>
              <w:jc w:val="both"/>
            </w:pPr>
            <w:r>
              <w:rPr>
                <w:sz w:val="21"/>
              </w:rPr>
              <w:t>(</w:t>
            </w:r>
            <w:r>
              <w:rPr>
                <w:sz w:val="21"/>
              </w:rPr>
              <w:t>2</w:t>
            </w:r>
            <w:r>
              <w:rPr>
                <w:sz w:val="21"/>
              </w:rPr>
              <w:t>)</w:t>
            </w:r>
            <w:r>
              <w:rPr>
                <w:sz w:val="21"/>
              </w:rPr>
              <w:t>开发与测试阶段（用户验收测试开始前交付）：</w:t>
            </w:r>
          </w:p>
          <w:p>
            <w:pPr>
              <w:pStyle w:val="null3"/>
              <w:ind w:left="420"/>
              <w:jc w:val="both"/>
            </w:pPr>
            <w:r>
              <w:rPr>
                <w:sz w:val="21"/>
              </w:rPr>
              <w:t>1)</w:t>
            </w:r>
            <w:r>
              <w:rPr>
                <w:sz w:val="21"/>
              </w:rPr>
              <w:t>《用户操作手册》（用于指导测试与用户培训）</w:t>
            </w:r>
          </w:p>
          <w:p>
            <w:pPr>
              <w:pStyle w:val="null3"/>
              <w:ind w:left="420"/>
              <w:jc w:val="both"/>
            </w:pPr>
            <w:r>
              <w:rPr>
                <w:sz w:val="21"/>
              </w:rPr>
              <w:t>2)</w:t>
            </w:r>
            <w:r>
              <w:rPr>
                <w:sz w:val="21"/>
              </w:rPr>
              <w:t>《系统管理员手册》（含系统安装、配置、维护指南）</w:t>
            </w:r>
          </w:p>
          <w:p>
            <w:pPr>
              <w:pStyle w:val="null3"/>
              <w:ind w:left="420"/>
              <w:jc w:val="both"/>
            </w:pPr>
            <w:r>
              <w:rPr>
                <w:sz w:val="21"/>
              </w:rPr>
              <w:t>3)</w:t>
            </w:r>
            <w:r>
              <w:rPr>
                <w:sz w:val="21"/>
              </w:rPr>
              <w:t>《测试计划》与《测试分析报告》（含内部测试报告）</w:t>
            </w:r>
          </w:p>
          <w:p>
            <w:pPr>
              <w:pStyle w:val="null3"/>
              <w:ind w:left="420"/>
              <w:jc w:val="both"/>
            </w:pPr>
            <w:r>
              <w:rPr>
                <w:sz w:val="21"/>
              </w:rPr>
              <w:t>4)《系统部署上线方案》</w:t>
            </w:r>
          </w:p>
          <w:p>
            <w:pPr>
              <w:pStyle w:val="null3"/>
              <w:jc w:val="both"/>
            </w:pPr>
            <w:r>
              <w:rPr>
                <w:sz w:val="21"/>
              </w:rPr>
              <w:t>3. 申请项目最终验收前交付的文档：</w:t>
            </w:r>
          </w:p>
          <w:p>
            <w:pPr>
              <w:pStyle w:val="null3"/>
              <w:ind w:left="420"/>
              <w:jc w:val="both"/>
            </w:pPr>
            <w:r>
              <w:rPr>
                <w:sz w:val="21"/>
              </w:rPr>
              <w:t>(1)关键验收文档</w:t>
            </w:r>
          </w:p>
          <w:p>
            <w:pPr>
              <w:pStyle w:val="null3"/>
              <w:ind w:left="420"/>
              <w:jc w:val="both"/>
            </w:pPr>
            <w:r>
              <w:rPr>
                <w:sz w:val="21"/>
              </w:rPr>
              <w:t>1)</w:t>
            </w:r>
            <w:r>
              <w:rPr>
                <w:sz w:val="21"/>
              </w:rPr>
              <w:t>《用户验收测试</w:t>
            </w:r>
            <w:r>
              <w:rPr>
                <w:sz w:val="21"/>
              </w:rPr>
              <w:t>(UAT)报告及通过确认书》（需</w:t>
            </w:r>
            <w:r>
              <w:rPr>
                <w:sz w:val="21"/>
              </w:rPr>
              <w:t>包含明确的</w:t>
            </w:r>
            <w:r>
              <w:rPr>
                <w:sz w:val="21"/>
              </w:rPr>
              <w:t>“通过”结论，</w:t>
            </w:r>
            <w:r>
              <w:rPr>
                <w:sz w:val="21"/>
              </w:rPr>
              <w:t>且由</w:t>
            </w:r>
            <w:r>
              <w:rPr>
                <w:sz w:val="21"/>
              </w:rPr>
              <w:t>甲方</w:t>
            </w:r>
            <w:r>
              <w:rPr>
                <w:sz w:val="21"/>
              </w:rPr>
              <w:t>授权代表</w:t>
            </w:r>
            <w:r>
              <w:rPr>
                <w:sz w:val="21"/>
              </w:rPr>
              <w:t>签字确认）</w:t>
            </w:r>
          </w:p>
          <w:p>
            <w:pPr>
              <w:pStyle w:val="null3"/>
              <w:ind w:left="420"/>
              <w:jc w:val="both"/>
            </w:pPr>
            <w:r>
              <w:rPr>
                <w:sz w:val="21"/>
              </w:rPr>
              <w:t>2)</w:t>
            </w:r>
            <w:r>
              <w:rPr>
                <w:sz w:val="21"/>
              </w:rPr>
              <w:t>《试运行报告》</w:t>
            </w:r>
          </w:p>
          <w:p>
            <w:pPr>
              <w:pStyle w:val="null3"/>
              <w:ind w:left="420"/>
              <w:jc w:val="both"/>
            </w:pPr>
            <w:r>
              <w:rPr>
                <w:sz w:val="21"/>
              </w:rPr>
              <w:t>3)</w:t>
            </w:r>
            <w:r>
              <w:rPr>
                <w:sz w:val="21"/>
              </w:rPr>
              <w:t>国家网络安全等级保护二级《测评报告》</w:t>
            </w:r>
          </w:p>
          <w:p>
            <w:pPr>
              <w:pStyle w:val="null3"/>
              <w:ind w:left="420"/>
              <w:jc w:val="both"/>
            </w:pPr>
            <w:r>
              <w:rPr>
                <w:sz w:val="21"/>
              </w:rPr>
              <w:t>(</w:t>
            </w:r>
            <w:r>
              <w:rPr>
                <w:sz w:val="21"/>
              </w:rPr>
              <w:t>2</w:t>
            </w:r>
            <w:r>
              <w:rPr>
                <w:sz w:val="21"/>
              </w:rPr>
              <w:t>)项目总结与交付物文档</w:t>
            </w:r>
          </w:p>
          <w:p>
            <w:pPr>
              <w:pStyle w:val="null3"/>
              <w:ind w:left="420"/>
              <w:jc w:val="both"/>
            </w:pPr>
            <w:r>
              <w:rPr>
                <w:sz w:val="21"/>
              </w:rPr>
              <w:t>1</w:t>
            </w:r>
            <w:r>
              <w:rPr>
                <w:sz w:val="21"/>
              </w:rPr>
              <w:t>)</w:t>
            </w:r>
            <w:r>
              <w:rPr>
                <w:sz w:val="21"/>
              </w:rPr>
              <w:t>《项目总结报告》</w:t>
            </w:r>
          </w:p>
          <w:p>
            <w:pPr>
              <w:pStyle w:val="null3"/>
              <w:ind w:left="420"/>
              <w:jc w:val="both"/>
            </w:pPr>
            <w:r>
              <w:rPr>
                <w:sz w:val="21"/>
              </w:rPr>
              <w:t>2</w:t>
            </w:r>
            <w:r>
              <w:rPr>
                <w:sz w:val="21"/>
              </w:rPr>
              <w:t>)</w:t>
            </w:r>
            <w:r>
              <w:rPr>
                <w:sz w:val="21"/>
              </w:rPr>
              <w:t>《系统安装维护手册》</w:t>
            </w:r>
          </w:p>
          <w:p>
            <w:pPr>
              <w:pStyle w:val="null3"/>
              <w:ind w:left="420"/>
              <w:jc w:val="both"/>
            </w:pPr>
            <w:r>
              <w:rPr>
                <w:sz w:val="21"/>
              </w:rPr>
              <w:t>3</w:t>
            </w:r>
            <w:r>
              <w:rPr>
                <w:sz w:val="21"/>
              </w:rPr>
              <w:t>)</w:t>
            </w:r>
            <w:r>
              <w:rPr>
                <w:sz w:val="21"/>
              </w:rPr>
              <w:t>《培训手册》及</w:t>
            </w:r>
            <w:r>
              <w:rPr>
                <w:sz w:val="21"/>
              </w:rPr>
              <w:t>完整</w:t>
            </w:r>
            <w:r>
              <w:rPr>
                <w:sz w:val="21"/>
              </w:rPr>
              <w:t>培训记录</w:t>
            </w:r>
          </w:p>
          <w:p>
            <w:pPr>
              <w:pStyle w:val="null3"/>
              <w:ind w:left="420"/>
              <w:jc w:val="both"/>
            </w:pPr>
            <w:r>
              <w:rPr>
                <w:sz w:val="21"/>
              </w:rPr>
              <w:t>4</w:t>
            </w:r>
            <w:r>
              <w:rPr>
                <w:sz w:val="21"/>
              </w:rPr>
              <w:t>)</w:t>
            </w:r>
            <w:r>
              <w:rPr>
                <w:sz w:val="21"/>
              </w:rPr>
              <w:t>《系统安全响应应急预案》</w:t>
            </w:r>
          </w:p>
          <w:p>
            <w:pPr>
              <w:pStyle w:val="null3"/>
              <w:ind w:left="420"/>
              <w:jc w:val="both"/>
            </w:pPr>
            <w:r>
              <w:rPr>
                <w:sz w:val="21"/>
              </w:rPr>
              <w:t>5</w:t>
            </w:r>
            <w:r>
              <w:rPr>
                <w:sz w:val="21"/>
              </w:rPr>
              <w:t>)</w:t>
            </w:r>
            <w:r>
              <w:rPr>
                <w:sz w:val="21"/>
              </w:rPr>
              <w:t>完整的《项目汇报</w:t>
            </w:r>
            <w:r>
              <w:rPr>
                <w:sz w:val="21"/>
              </w:rPr>
              <w:t>PPT》</w:t>
            </w:r>
          </w:p>
          <w:p>
            <w:pPr>
              <w:pStyle w:val="null3"/>
              <w:ind w:left="420"/>
              <w:jc w:val="both"/>
            </w:pPr>
            <w:r>
              <w:rPr>
                <w:sz w:val="21"/>
              </w:rPr>
              <w:t>6</w:t>
            </w:r>
            <w:r>
              <w:rPr>
                <w:sz w:val="21"/>
              </w:rPr>
              <w:t>)《系统部署上线报告》</w:t>
            </w:r>
          </w:p>
          <w:p>
            <w:pPr>
              <w:pStyle w:val="null3"/>
              <w:jc w:val="both"/>
            </w:pPr>
            <w:r>
              <w:rPr>
                <w:sz w:val="21"/>
              </w:rPr>
              <w:t>7)全部可编译的源代码、数据库设计文档及第三方组件授权文件。</w:t>
            </w:r>
          </w:p>
          <w:p>
            <w:pPr>
              <w:pStyle w:val="null3"/>
              <w:jc w:val="both"/>
            </w:pPr>
            <w:r>
              <w:rPr>
                <w:sz w:val="21"/>
              </w:rPr>
              <w:t>注：</w:t>
            </w:r>
            <w:r>
              <w:rPr>
                <w:sz w:val="21"/>
              </w:rPr>
              <w:t>①</w:t>
            </w:r>
            <w:r>
              <w:rPr>
                <w:sz w:val="21"/>
              </w:rPr>
              <w:t>根据本合同</w:t>
            </w:r>
            <w:r>
              <w:rPr>
                <w:sz w:val="21"/>
              </w:rPr>
              <w:t>“知识产权要求”条款，上述第（7）项交付物的提交，即视为相关知识产权权利转让至甲方，且其完备性与合规性是项目通过最终验收及支付尾款的必要条件。</w:t>
            </w:r>
            <w:r>
              <w:rPr>
                <w:sz w:val="21"/>
              </w:rPr>
              <w:t>②</w:t>
            </w:r>
            <w:r>
              <w:rPr>
                <w:sz w:val="21"/>
              </w:rPr>
              <w:t>甲方</w:t>
            </w:r>
            <w:r>
              <w:rPr>
                <w:sz w:val="21"/>
              </w:rPr>
              <w:t>有权要求</w:t>
            </w:r>
            <w:r>
              <w:rPr>
                <w:sz w:val="21"/>
              </w:rPr>
              <w:t>乙方</w:t>
            </w:r>
            <w:r>
              <w:rPr>
                <w:sz w:val="21"/>
              </w:rPr>
              <w:t>提供其认为必要的其他过程文档（如会议纪要、项目周报</w:t>
            </w:r>
            <w:r>
              <w:rPr>
                <w:sz w:val="21"/>
              </w:rPr>
              <w:t>/月报等）。所有文档均需提供可编辑的电子版及签字盖章的纸质版。</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项目实施进度</w:t>
            </w:r>
            <w:r>
              <w:rPr>
                <w:sz w:val="21"/>
              </w:rPr>
              <w:t>要求</w:t>
            </w:r>
            <w:r>
              <w:rPr>
                <w:sz w:val="21"/>
              </w:rPr>
              <w:t>·</w:t>
            </w:r>
          </w:p>
          <w:p>
            <w:pPr>
              <w:pStyle w:val="null3"/>
              <w:jc w:val="center"/>
            </w:pPr>
          </w:p>
        </w:tc>
        <w:tc>
          <w:tcPr>
            <w:tcW w:type="dxa" w:w="6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 需求与设计阶段 (第1个月):</w:t>
            </w:r>
          </w:p>
          <w:p>
            <w:pPr>
              <w:pStyle w:val="null3"/>
              <w:ind w:left="420"/>
              <w:jc w:val="both"/>
            </w:pPr>
            <w:r>
              <w:rPr>
                <w:sz w:val="21"/>
              </w:rPr>
              <w:t>(1) 项目启动与团队组建</w:t>
            </w:r>
          </w:p>
          <w:p>
            <w:pPr>
              <w:pStyle w:val="null3"/>
              <w:ind w:left="420"/>
              <w:jc w:val="both"/>
            </w:pPr>
            <w:r>
              <w:rPr>
                <w:sz w:val="21"/>
              </w:rPr>
              <w:t>(2) 详细需求调研与分析，出具《需求规格说明书》</w:t>
            </w:r>
          </w:p>
          <w:p>
            <w:pPr>
              <w:pStyle w:val="null3"/>
              <w:ind w:left="420"/>
              <w:jc w:val="both"/>
            </w:pPr>
            <w:r>
              <w:rPr>
                <w:sz w:val="21"/>
              </w:rPr>
              <w:t>(3) 系统架构、概要设计与数据库设计，出具《系统设计说明书》</w:t>
            </w:r>
          </w:p>
          <w:p>
            <w:pPr>
              <w:pStyle w:val="null3"/>
              <w:ind w:left="420"/>
              <w:jc w:val="both"/>
            </w:pPr>
            <w:r>
              <w:rPr>
                <w:sz w:val="21"/>
              </w:rPr>
              <w:t>2. 开发与集成阶段 (第2个月 - 第4个月):</w:t>
            </w:r>
          </w:p>
          <w:p>
            <w:pPr>
              <w:pStyle w:val="null3"/>
              <w:ind w:left="420"/>
              <w:jc w:val="both"/>
            </w:pPr>
            <w:r>
              <w:rPr>
                <w:sz w:val="21"/>
              </w:rPr>
              <w:t>(1) 各功能模块并行编码开发</w:t>
            </w:r>
          </w:p>
          <w:p>
            <w:pPr>
              <w:pStyle w:val="null3"/>
              <w:ind w:left="420"/>
              <w:jc w:val="both"/>
            </w:pPr>
            <w:r>
              <w:rPr>
                <w:sz w:val="21"/>
              </w:rPr>
              <w:t>(2) 单元测试、模块接口集成</w:t>
            </w:r>
          </w:p>
          <w:p>
            <w:pPr>
              <w:pStyle w:val="null3"/>
              <w:ind w:left="420"/>
              <w:jc w:val="both"/>
            </w:pPr>
            <w:r>
              <w:rPr>
                <w:sz w:val="21"/>
              </w:rPr>
              <w:t>(3) 生产环境准备与部署</w:t>
            </w:r>
          </w:p>
          <w:p>
            <w:pPr>
              <w:pStyle w:val="null3"/>
              <w:ind w:left="420"/>
              <w:jc w:val="both"/>
            </w:pPr>
            <w:r>
              <w:rPr>
                <w:sz w:val="21"/>
              </w:rPr>
              <w:t>(4) 内部系统集成测试</w:t>
            </w:r>
          </w:p>
          <w:p>
            <w:pPr>
              <w:pStyle w:val="null3"/>
              <w:ind w:left="420"/>
              <w:jc w:val="both"/>
            </w:pPr>
            <w:r>
              <w:rPr>
                <w:sz w:val="21"/>
              </w:rPr>
              <w:t>3. 测试与修复阶段 (第5个月):</w:t>
            </w:r>
          </w:p>
          <w:p>
            <w:pPr>
              <w:pStyle w:val="null3"/>
              <w:ind w:left="420"/>
              <w:jc w:val="both"/>
            </w:pPr>
            <w:r>
              <w:rPr>
                <w:sz w:val="21"/>
              </w:rPr>
              <w:t>(1) 内部功能、性能及安全测试</w:t>
            </w:r>
          </w:p>
          <w:p>
            <w:pPr>
              <w:pStyle w:val="null3"/>
              <w:ind w:left="420"/>
              <w:jc w:val="both"/>
            </w:pPr>
            <w:r>
              <w:rPr>
                <w:sz w:val="21"/>
              </w:rPr>
              <w:t>(2) 缺陷修复与系统优化</w:t>
            </w:r>
          </w:p>
          <w:p>
            <w:pPr>
              <w:pStyle w:val="null3"/>
              <w:ind w:left="420"/>
              <w:jc w:val="both"/>
            </w:pPr>
            <w:r>
              <w:rPr>
                <w:sz w:val="21"/>
              </w:rPr>
              <w:t>(3) 系统管理员培训</w:t>
            </w:r>
          </w:p>
          <w:p>
            <w:pPr>
              <w:pStyle w:val="null3"/>
              <w:ind w:left="420"/>
              <w:jc w:val="both"/>
            </w:pPr>
            <w:r>
              <w:rPr>
                <w:sz w:val="21"/>
              </w:rPr>
              <w:t>4. 用户验收与试运行阶段 (第6个月 上中旬):</w:t>
            </w:r>
          </w:p>
          <w:p>
            <w:pPr>
              <w:pStyle w:val="null3"/>
              <w:ind w:left="420"/>
              <w:jc w:val="both"/>
            </w:pPr>
            <w:r>
              <w:rPr>
                <w:sz w:val="21"/>
              </w:rPr>
              <w:t>(1) 组织最终用户培训</w:t>
            </w:r>
          </w:p>
          <w:p>
            <w:pPr>
              <w:pStyle w:val="null3"/>
              <w:ind w:left="420"/>
              <w:jc w:val="both"/>
            </w:pPr>
            <w:r>
              <w:rPr>
                <w:sz w:val="21"/>
              </w:rPr>
              <w:t>(2) 开展用户验收测试</w:t>
            </w:r>
          </w:p>
          <w:p>
            <w:pPr>
              <w:pStyle w:val="null3"/>
              <w:ind w:left="420"/>
              <w:jc w:val="both"/>
            </w:pPr>
            <w:r>
              <w:rPr>
                <w:sz w:val="21"/>
              </w:rPr>
              <w:t>(3) 根据验收测试反馈进行修复与确认</w:t>
            </w:r>
          </w:p>
          <w:p>
            <w:pPr>
              <w:pStyle w:val="null3"/>
              <w:ind w:left="420"/>
              <w:jc w:val="both"/>
            </w:pPr>
            <w:r>
              <w:rPr>
                <w:sz w:val="21"/>
              </w:rPr>
              <w:t>(4) 系统在生产环境试运行</w:t>
            </w:r>
          </w:p>
          <w:p>
            <w:pPr>
              <w:pStyle w:val="null3"/>
              <w:ind w:left="420"/>
              <w:jc w:val="both"/>
            </w:pPr>
            <w:r>
              <w:rPr>
                <w:sz w:val="21"/>
              </w:rPr>
              <w:t>5. 项目验收阶段 (第6个月 下旬):</w:t>
            </w:r>
          </w:p>
          <w:p>
            <w:pPr>
              <w:pStyle w:val="null3"/>
              <w:ind w:left="420"/>
              <w:jc w:val="both"/>
            </w:pPr>
            <w:r>
              <w:rPr>
                <w:sz w:val="21"/>
              </w:rPr>
              <w:t>(1) 准备全套验收文档</w:t>
            </w:r>
          </w:p>
          <w:p>
            <w:pPr>
              <w:pStyle w:val="null3"/>
              <w:ind w:left="420"/>
              <w:jc w:val="both"/>
            </w:pPr>
            <w:r>
              <w:rPr>
                <w:sz w:val="21"/>
              </w:rPr>
              <w:t>(2) 通过第三方等级保护测评（二级）</w:t>
            </w:r>
          </w:p>
          <w:p>
            <w:pPr>
              <w:pStyle w:val="null3"/>
              <w:ind w:left="420"/>
              <w:jc w:val="both"/>
            </w:pPr>
            <w:r>
              <w:rPr>
                <w:sz w:val="21"/>
              </w:rPr>
              <w:t>(3) 组织项目最终验收会，完成验收</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试运行要求</w:t>
            </w:r>
          </w:p>
        </w:tc>
        <w:tc>
          <w:tcPr>
            <w:tcW w:type="dxa" w:w="6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w:t>
            </w:r>
            <w:r>
              <w:rPr>
                <w:sz w:val="21"/>
              </w:rPr>
              <w:t>系统通过用户验收测试后，即进入试运行阶段，试运行期不少于</w:t>
            </w:r>
            <w:r>
              <w:rPr>
                <w:sz w:val="21"/>
              </w:rPr>
              <w:t>15天</w:t>
            </w:r>
            <w:r>
              <w:rPr>
                <w:sz w:val="21"/>
              </w:rPr>
              <w:t>，在试运行期间，</w:t>
            </w:r>
            <w:r>
              <w:rPr>
                <w:sz w:val="21"/>
              </w:rPr>
              <w:t>乙方</w:t>
            </w:r>
            <w:r>
              <w:rPr>
                <w:sz w:val="21"/>
              </w:rPr>
              <w:t>应对所出现的问题及时进行解决、调整，并做好记录，此记录将作为验收的依据之一；</w:t>
            </w:r>
          </w:p>
          <w:p>
            <w:pPr>
              <w:pStyle w:val="null3"/>
              <w:jc w:val="both"/>
            </w:pPr>
            <w:r>
              <w:rPr>
                <w:sz w:val="21"/>
              </w:rPr>
              <w:t>2</w:t>
            </w:r>
            <w:r>
              <w:rPr>
                <w:sz w:val="21"/>
              </w:rPr>
              <w:t>.</w:t>
            </w:r>
            <w:r>
              <w:rPr>
                <w:sz w:val="21"/>
              </w:rPr>
              <w:t>试运行期间，如果本项目没有发生问题（不影响系统使用），试运行结束；如果本项目发生问题，试运行期延长直至解决问题为止。</w:t>
            </w:r>
          </w:p>
        </w:tc>
      </w:tr>
    </w:tbl>
    <w:p>
      <w:pPr>
        <w:pStyle w:val="null3"/>
        <w:ind w:left="15"/>
      </w:pPr>
      <w:r>
        <w:rPr>
          <w:sz w:val="21"/>
          <w:b/>
          <w:color w:val="000000"/>
        </w:rPr>
        <w:t>四、</w:t>
      </w:r>
      <w:r>
        <w:rPr>
          <w:sz w:val="21"/>
          <w:b/>
          <w:color w:val="000000"/>
        </w:rPr>
        <w:t>人员管理</w:t>
      </w:r>
    </w:p>
    <w:p>
      <w:pPr>
        <w:pStyle w:val="null3"/>
        <w:ind w:left="15" w:firstLine="410"/>
      </w:pPr>
      <w:r>
        <w:rPr>
          <w:sz w:val="21"/>
          <w:color w:val="000000"/>
        </w:rPr>
        <w:t>1</w:t>
      </w:r>
      <w:r>
        <w:rPr>
          <w:sz w:val="21"/>
          <w:color w:val="000000"/>
        </w:rPr>
        <w:t>.</w:t>
      </w:r>
      <w:r>
        <w:rPr>
          <w:sz w:val="21"/>
          <w:color w:val="000000"/>
        </w:rPr>
        <w:t>乙方</w:t>
      </w:r>
      <w:r>
        <w:rPr>
          <w:sz w:val="21"/>
          <w:color w:val="000000"/>
        </w:rPr>
        <w:t>须按其投标文件中承诺提供的项目组人员必须按要求投入到本项目中，在合同期内不得擅自更换。</w:t>
      </w:r>
      <w:r>
        <w:rPr>
          <w:sz w:val="21"/>
          <w:color w:val="000000"/>
        </w:rPr>
        <w:t>乙方</w:t>
      </w:r>
      <w:r>
        <w:rPr>
          <w:sz w:val="21"/>
          <w:color w:val="000000"/>
        </w:rPr>
        <w:t>如因工作安排或其他原因，需要更换项目组人员时，应事前向</w:t>
      </w:r>
      <w:r>
        <w:rPr>
          <w:sz w:val="21"/>
          <w:color w:val="000000"/>
        </w:rPr>
        <w:t>甲方</w:t>
      </w:r>
      <w:r>
        <w:rPr>
          <w:sz w:val="21"/>
          <w:color w:val="000000"/>
        </w:rPr>
        <w:t>书面提出书面申请，未经</w:t>
      </w:r>
      <w:r>
        <w:rPr>
          <w:sz w:val="21"/>
          <w:color w:val="000000"/>
        </w:rPr>
        <w:t>甲方</w:t>
      </w:r>
      <w:r>
        <w:rPr>
          <w:sz w:val="21"/>
          <w:color w:val="000000"/>
        </w:rPr>
        <w:t>同意，不得更换人员。</w:t>
      </w:r>
    </w:p>
    <w:p>
      <w:pPr>
        <w:pStyle w:val="null3"/>
        <w:ind w:left="15" w:firstLine="410"/>
      </w:pPr>
      <w:r>
        <w:rPr>
          <w:sz w:val="21"/>
          <w:color w:val="000000"/>
        </w:rPr>
        <w:t>2</w:t>
      </w:r>
      <w:r>
        <w:rPr>
          <w:sz w:val="21"/>
          <w:color w:val="000000"/>
        </w:rPr>
        <w:t>.</w:t>
      </w:r>
      <w:r>
        <w:rPr>
          <w:sz w:val="21"/>
          <w:color w:val="000000"/>
        </w:rPr>
        <w:t>如</w:t>
      </w:r>
      <w:r>
        <w:rPr>
          <w:sz w:val="21"/>
          <w:color w:val="000000"/>
        </w:rPr>
        <w:t>乙方</w:t>
      </w:r>
      <w:r>
        <w:rPr>
          <w:sz w:val="21"/>
          <w:color w:val="000000"/>
        </w:rPr>
        <w:t>未经</w:t>
      </w:r>
      <w:r>
        <w:rPr>
          <w:sz w:val="21"/>
          <w:color w:val="000000"/>
        </w:rPr>
        <w:t>甲方</w:t>
      </w:r>
      <w:r>
        <w:rPr>
          <w:sz w:val="21"/>
          <w:color w:val="000000"/>
        </w:rPr>
        <w:t>书面同意擅自更换项目组人员，除须按</w:t>
      </w:r>
      <w:r>
        <w:rPr>
          <w:sz w:val="21"/>
          <w:color w:val="000000"/>
        </w:rPr>
        <w:t>甲方</w:t>
      </w:r>
      <w:r>
        <w:rPr>
          <w:sz w:val="21"/>
          <w:color w:val="000000"/>
        </w:rPr>
        <w:t>的要求对人员作出调整外，累计达</w:t>
      </w:r>
      <w:r>
        <w:rPr>
          <w:sz w:val="21"/>
          <w:color w:val="000000"/>
        </w:rPr>
        <w:t>3次后，</w:t>
      </w:r>
      <w:r>
        <w:rPr>
          <w:sz w:val="21"/>
          <w:color w:val="000000"/>
        </w:rPr>
        <w:t>甲方</w:t>
      </w:r>
      <w:r>
        <w:rPr>
          <w:sz w:val="21"/>
          <w:color w:val="000000"/>
        </w:rPr>
        <w:t>有权终止合同，由此引致的经济损失，</w:t>
      </w:r>
      <w:r>
        <w:rPr>
          <w:sz w:val="21"/>
          <w:color w:val="000000"/>
        </w:rPr>
        <w:t>乙方</w:t>
      </w:r>
      <w:r>
        <w:rPr>
          <w:sz w:val="21"/>
          <w:color w:val="000000"/>
        </w:rPr>
        <w:t>须全额赔偿，</w:t>
      </w:r>
      <w:r>
        <w:rPr>
          <w:sz w:val="21"/>
          <w:color w:val="000000"/>
        </w:rPr>
        <w:t>甲方</w:t>
      </w:r>
      <w:r>
        <w:rPr>
          <w:sz w:val="21"/>
          <w:color w:val="000000"/>
        </w:rPr>
        <w:t>保留追究</w:t>
      </w:r>
      <w:r>
        <w:rPr>
          <w:sz w:val="21"/>
          <w:color w:val="000000"/>
        </w:rPr>
        <w:t>乙方</w:t>
      </w:r>
      <w:r>
        <w:rPr>
          <w:sz w:val="21"/>
          <w:color w:val="000000"/>
        </w:rPr>
        <w:t>相关责任的权利。</w:t>
      </w:r>
    </w:p>
    <w:p>
      <w:pPr>
        <w:pStyle w:val="null3"/>
        <w:ind w:left="15" w:firstLine="410"/>
      </w:pPr>
      <w:r>
        <w:rPr>
          <w:sz w:val="21"/>
          <w:color w:val="000000"/>
        </w:rPr>
        <w:t>3</w:t>
      </w:r>
      <w:r>
        <w:rPr>
          <w:sz w:val="21"/>
          <w:color w:val="000000"/>
        </w:rPr>
        <w:t>.</w:t>
      </w:r>
      <w:r>
        <w:rPr>
          <w:sz w:val="21"/>
          <w:color w:val="000000"/>
        </w:rPr>
        <w:t>甲方</w:t>
      </w:r>
      <w:r>
        <w:rPr>
          <w:sz w:val="21"/>
          <w:color w:val="000000"/>
        </w:rPr>
        <w:t>有权以书面形式要求</w:t>
      </w:r>
      <w:r>
        <w:rPr>
          <w:sz w:val="21"/>
          <w:color w:val="000000"/>
        </w:rPr>
        <w:t>乙方</w:t>
      </w:r>
      <w:r>
        <w:rPr>
          <w:sz w:val="21"/>
          <w:color w:val="000000"/>
        </w:rPr>
        <w:t>更换不能按规定履行合同的人员。</w:t>
      </w:r>
    </w:p>
    <w:p>
      <w:pPr>
        <w:pStyle w:val="null3"/>
        <w:ind w:left="15" w:firstLine="410"/>
      </w:pPr>
      <w:r>
        <w:rPr>
          <w:sz w:val="21"/>
          <w:color w:val="000000"/>
        </w:rPr>
        <w:t>4</w:t>
      </w:r>
      <w:r>
        <w:rPr>
          <w:sz w:val="21"/>
          <w:color w:val="000000"/>
        </w:rPr>
        <w:t>.</w:t>
      </w:r>
      <w:r>
        <w:rPr>
          <w:sz w:val="21"/>
          <w:color w:val="000000"/>
        </w:rPr>
        <w:t>即使是</w:t>
      </w:r>
      <w:r>
        <w:rPr>
          <w:sz w:val="21"/>
          <w:color w:val="000000"/>
        </w:rPr>
        <w:t>甲方</w:t>
      </w:r>
      <w:r>
        <w:rPr>
          <w:sz w:val="21"/>
          <w:color w:val="000000"/>
        </w:rPr>
        <w:t>要求或同意更换的人员，其代替人员的资质仍应得到</w:t>
      </w:r>
      <w:r>
        <w:rPr>
          <w:sz w:val="21"/>
          <w:color w:val="000000"/>
        </w:rPr>
        <w:t>甲方</w:t>
      </w:r>
      <w:r>
        <w:rPr>
          <w:sz w:val="21"/>
          <w:color w:val="000000"/>
        </w:rPr>
        <w:t>的认可，且其资历和经验均不低于被更换人员。由此而产生的费用由</w:t>
      </w:r>
      <w:r>
        <w:rPr>
          <w:sz w:val="21"/>
          <w:color w:val="000000"/>
        </w:rPr>
        <w:t>乙方</w:t>
      </w:r>
      <w:r>
        <w:rPr>
          <w:sz w:val="21"/>
          <w:color w:val="000000"/>
        </w:rPr>
        <w:t>承担。</w:t>
      </w:r>
    </w:p>
    <w:p>
      <w:pPr>
        <w:pStyle w:val="null3"/>
        <w:ind w:left="15" w:firstLine="410"/>
      </w:pPr>
      <w:r>
        <w:rPr>
          <w:sz w:val="21"/>
          <w:color w:val="000000"/>
        </w:rPr>
        <w:t>5</w:t>
      </w:r>
      <w:r>
        <w:rPr>
          <w:sz w:val="21"/>
          <w:color w:val="000000"/>
        </w:rPr>
        <w:t>.</w:t>
      </w:r>
      <w:r>
        <w:rPr>
          <w:sz w:val="21"/>
          <w:color w:val="000000"/>
        </w:rPr>
        <w:t>乙方</w:t>
      </w:r>
      <w:r>
        <w:rPr>
          <w:sz w:val="21"/>
          <w:color w:val="000000"/>
        </w:rPr>
        <w:t>对其投入的服务人员的人身安全负全部责任。</w:t>
      </w:r>
    </w:p>
    <w:p>
      <w:pPr>
        <w:pStyle w:val="null3"/>
        <w:ind w:left="15"/>
      </w:pPr>
      <w:r>
        <w:rPr>
          <w:sz w:val="21"/>
          <w:b/>
          <w:color w:val="000000"/>
        </w:rPr>
        <w:t>五、服务对照执行标准：</w:t>
      </w:r>
    </w:p>
    <w:p>
      <w:pPr>
        <w:pStyle w:val="null3"/>
        <w:ind w:left="15" w:firstLine="410"/>
      </w:pPr>
      <w:r>
        <w:rPr>
          <w:sz w:val="21"/>
          <w:color w:val="000000"/>
        </w:rPr>
        <w:t>1.符合中华人民共和国国家和履约地相关安全质量标准、行业技术规范标准；</w:t>
      </w:r>
    </w:p>
    <w:p>
      <w:pPr>
        <w:pStyle w:val="null3"/>
        <w:ind w:left="15" w:firstLine="410"/>
      </w:pPr>
      <w:r>
        <w:rPr>
          <w:sz w:val="21"/>
          <w:color w:val="000000"/>
        </w:rPr>
        <w:t>2.符合</w:t>
      </w:r>
      <w:r>
        <w:rPr>
          <w:sz w:val="21"/>
          <w:color w:val="000000"/>
        </w:rPr>
        <w:t>投标</w:t>
      </w:r>
      <w:r>
        <w:rPr>
          <w:sz w:val="21"/>
          <w:color w:val="000000"/>
        </w:rPr>
        <w:t>文件和投标承诺中各方共同认可的各项要求；</w:t>
      </w:r>
    </w:p>
    <w:p>
      <w:pPr>
        <w:pStyle w:val="null3"/>
        <w:ind w:left="15" w:firstLine="410"/>
      </w:pPr>
      <w:r>
        <w:rPr>
          <w:sz w:val="21"/>
          <w:color w:val="000000"/>
        </w:rPr>
        <w:t>3.双方约定的其他验收标准。</w:t>
      </w:r>
    </w:p>
    <w:p>
      <w:pPr>
        <w:pStyle w:val="null3"/>
        <w:ind w:left="15" w:firstLine="410"/>
      </w:pPr>
      <w:r>
        <w:rPr>
          <w:sz w:val="21"/>
          <w:color w:val="000000"/>
        </w:rPr>
        <w:t>上述各类标准与法规必须是有关官方机构最新发布的现行标准版本。</w:t>
      </w:r>
    </w:p>
    <w:p>
      <w:pPr>
        <w:pStyle w:val="null3"/>
        <w:ind w:left="15"/>
      </w:pPr>
      <w:r>
        <w:rPr>
          <w:sz w:val="21"/>
          <w:b/>
          <w:color w:val="000000"/>
        </w:rPr>
        <w:t>六、投诉跟踪服务要求：</w:t>
      </w:r>
    </w:p>
    <w:p>
      <w:pPr>
        <w:pStyle w:val="null3"/>
        <w:ind w:left="15" w:firstLine="410"/>
      </w:pPr>
      <w:r>
        <w:rPr>
          <w:sz w:val="21"/>
          <w:color w:val="000000"/>
        </w:rPr>
        <w:t>1.乙方须提供常设的投诉热线服务，并对投诉内容进行及时跟踪、回访。对甲方的投诉与通知，必须按甲方指定的时间内处理完毕，若突发事件不能在短时间内解决，乙方必须采取应急措施，或按甲方认可的应急方案执行，不得影响甲方的正常工作业务。</w:t>
      </w:r>
    </w:p>
    <w:p>
      <w:pPr>
        <w:pStyle w:val="null3"/>
        <w:ind w:left="15" w:firstLine="410"/>
      </w:pPr>
      <w:r>
        <w:rPr>
          <w:sz w:val="21"/>
          <w:color w:val="000000"/>
        </w:rPr>
        <w:t>2.服务期内，甲方有权按本项目的管理要求对乙方进行不定期抽查检查，若对不合格的管理服务提出警告后，仍未得到有效解决时，甲方有权终止管理合同。</w:t>
      </w:r>
    </w:p>
    <w:p>
      <w:pPr>
        <w:pStyle w:val="null3"/>
        <w:ind w:left="15" w:firstLine="410"/>
      </w:pPr>
      <w:r>
        <w:rPr>
          <w:sz w:val="21"/>
          <w:color w:val="000000"/>
        </w:rPr>
        <w:t>3.乙方服务机构名称及地址：</w:t>
      </w:r>
    </w:p>
    <w:p>
      <w:pPr>
        <w:pStyle w:val="null3"/>
        <w:ind w:left="15" w:firstLine="410"/>
      </w:pPr>
      <w:r>
        <w:rPr>
          <w:sz w:val="21"/>
          <w:color w:val="000000"/>
        </w:rPr>
        <w:t>联系人</w:t>
      </w:r>
      <w:r>
        <w:rPr>
          <w:sz w:val="21"/>
          <w:color w:val="000000"/>
        </w:rPr>
        <w:t>1：          ，联系电话：            ，手机：          ；</w:t>
      </w:r>
    </w:p>
    <w:p>
      <w:pPr>
        <w:pStyle w:val="null3"/>
        <w:ind w:left="15" w:firstLine="410"/>
      </w:pPr>
      <w:r>
        <w:rPr>
          <w:sz w:val="21"/>
          <w:color w:val="000000"/>
        </w:rPr>
        <w:t>联系人</w:t>
      </w:r>
      <w:r>
        <w:rPr>
          <w:sz w:val="21"/>
          <w:color w:val="000000"/>
        </w:rPr>
        <w:t>2：          ，联系电话：            ，手机：          ；</w:t>
      </w:r>
    </w:p>
    <w:p>
      <w:pPr>
        <w:pStyle w:val="null3"/>
        <w:ind w:left="15" w:firstLine="410"/>
      </w:pPr>
      <w:r>
        <w:rPr>
          <w:sz w:val="21"/>
          <w:color w:val="000000"/>
        </w:rPr>
        <w:t>服务专线电话：</w:t>
      </w:r>
    </w:p>
    <w:p>
      <w:pPr>
        <w:pStyle w:val="null3"/>
        <w:ind w:left="15" w:firstLine="410"/>
      </w:pPr>
      <w:r>
        <w:rPr>
          <w:sz w:val="21"/>
          <w:color w:val="000000"/>
        </w:rPr>
        <w:t>4.其他服务要求：（补充内容不得对采购文件和投标/</w:t>
      </w:r>
      <w:r>
        <w:rPr>
          <w:sz w:val="21"/>
          <w:color w:val="000000"/>
        </w:rPr>
        <w:t>投标文件</w:t>
      </w:r>
      <w:r>
        <w:rPr>
          <w:sz w:val="21"/>
          <w:color w:val="000000"/>
        </w:rPr>
        <w:t>作实质性修改）</w:t>
      </w:r>
    </w:p>
    <w:p>
      <w:pPr>
        <w:pStyle w:val="null3"/>
        <w:ind w:left="15"/>
      </w:pPr>
      <w:r>
        <w:rPr>
          <w:u w:val="single"/>
        </w:rPr>
        <w:t xml:space="preserve">                                                          </w:t>
      </w:r>
      <w:r>
        <w:rPr>
          <w:sz w:val="21"/>
          <w:color w:val="000000"/>
        </w:rPr>
        <w:t>。</w:t>
      </w:r>
    </w:p>
    <w:p>
      <w:pPr>
        <w:pStyle w:val="null3"/>
        <w:ind w:left="15"/>
      </w:pPr>
      <w:r>
        <w:rPr>
          <w:sz w:val="21"/>
          <w:b/>
          <w:color w:val="000000"/>
        </w:rPr>
        <w:t>七、验收要求：</w:t>
      </w:r>
    </w:p>
    <w:p>
      <w:pPr>
        <w:pStyle w:val="null3"/>
      </w:pPr>
      <w:r>
        <w:rPr>
          <w:sz w:val="21"/>
          <w:color w:val="000000"/>
        </w:rPr>
        <w:t>1期：阶段性验收要求：</w:t>
      </w:r>
    </w:p>
    <w:p>
      <w:pPr>
        <w:pStyle w:val="null3"/>
        <w:ind w:left="15" w:firstLine="410"/>
      </w:pPr>
      <w:r>
        <w:rPr>
          <w:sz w:val="21"/>
          <w:color w:val="000000"/>
        </w:rPr>
        <w:t>1.</w:t>
      </w:r>
      <w:r>
        <w:rPr>
          <w:sz w:val="21"/>
          <w:color w:val="000000"/>
        </w:rPr>
        <w:t>履约验收主体：</w:t>
      </w:r>
      <w:r>
        <w:rPr>
          <w:sz w:val="21"/>
          <w:color w:val="000000"/>
        </w:rPr>
        <w:t>甲方</w:t>
      </w:r>
      <w:r>
        <w:rPr>
          <w:sz w:val="21"/>
          <w:color w:val="000000"/>
        </w:rPr>
        <w:t>、</w:t>
      </w:r>
      <w:r>
        <w:rPr>
          <w:sz w:val="21"/>
          <w:color w:val="000000"/>
        </w:rPr>
        <w:t>乙方</w:t>
      </w:r>
      <w:r>
        <w:rPr>
          <w:sz w:val="21"/>
          <w:color w:val="000000"/>
        </w:rPr>
        <w:t>。</w:t>
      </w:r>
    </w:p>
    <w:p>
      <w:pPr>
        <w:pStyle w:val="null3"/>
        <w:ind w:left="15" w:firstLine="410"/>
      </w:pPr>
      <w:r>
        <w:rPr>
          <w:sz w:val="21"/>
          <w:color w:val="000000"/>
        </w:rPr>
        <w:t>2.</w:t>
      </w:r>
      <w:r>
        <w:rPr>
          <w:sz w:val="21"/>
          <w:color w:val="000000"/>
        </w:rPr>
        <w:t>履约验收时间：在投标文件约定的</w:t>
      </w:r>
      <w:r>
        <w:rPr>
          <w:sz w:val="21"/>
          <w:color w:val="000000"/>
        </w:rPr>
        <w:t>UAT阶段内完成。</w:t>
      </w:r>
    </w:p>
    <w:p>
      <w:pPr>
        <w:pStyle w:val="null3"/>
        <w:ind w:left="15" w:firstLine="410"/>
      </w:pPr>
      <w:r>
        <w:rPr>
          <w:sz w:val="21"/>
          <w:color w:val="000000"/>
        </w:rPr>
        <w:t>3.</w:t>
      </w:r>
      <w:r>
        <w:rPr>
          <w:sz w:val="21"/>
          <w:color w:val="000000"/>
        </w:rPr>
        <w:t>履约验收方式：</w:t>
      </w:r>
      <w:r>
        <w:rPr>
          <w:sz w:val="21"/>
          <w:color w:val="000000"/>
        </w:rPr>
        <w:t>甲方</w:t>
      </w:r>
      <w:r>
        <w:rPr>
          <w:sz w:val="21"/>
          <w:color w:val="000000"/>
        </w:rPr>
        <w:t>依据招标文件、投标文件及《需求规格说明书》，在真实生产环境中对系统所有功能模块进行测试。</w:t>
      </w:r>
    </w:p>
    <w:p>
      <w:pPr>
        <w:pStyle w:val="null3"/>
        <w:ind w:left="15" w:firstLine="410"/>
      </w:pPr>
      <w:r>
        <w:rPr>
          <w:sz w:val="21"/>
          <w:color w:val="000000"/>
        </w:rPr>
        <w:t>4.</w:t>
      </w:r>
      <w:r>
        <w:rPr>
          <w:sz w:val="21"/>
          <w:color w:val="000000"/>
        </w:rPr>
        <w:t>验收标准：系统功能、性能及用户体验满足采购要求，无阻断性缺陷。</w:t>
      </w:r>
    </w:p>
    <w:p>
      <w:pPr>
        <w:pStyle w:val="null3"/>
        <w:ind w:left="15" w:firstLine="410"/>
      </w:pPr>
      <w:r>
        <w:rPr>
          <w:sz w:val="21"/>
          <w:color w:val="000000"/>
        </w:rPr>
        <w:t>5.</w:t>
      </w:r>
      <w:r>
        <w:rPr>
          <w:sz w:val="21"/>
          <w:color w:val="000000"/>
        </w:rPr>
        <w:t>履约验收程序、验收标准：由</w:t>
      </w:r>
      <w:r>
        <w:rPr>
          <w:sz w:val="21"/>
          <w:color w:val="000000"/>
        </w:rPr>
        <w:t>甲方</w:t>
      </w:r>
      <w:r>
        <w:rPr>
          <w:sz w:val="21"/>
          <w:color w:val="000000"/>
        </w:rPr>
        <w:t>组织项目阶段性验收，项目验收依次序对照执行标准为：</w:t>
      </w:r>
      <w:r>
        <w:rPr>
          <w:sz w:val="21"/>
          <w:color w:val="000000"/>
        </w:rPr>
        <w:t>①符合中华人民共和国国家和履约地相关安全质量标准、行业技术规范标准；②符合采购文件和投标承诺中各方共同认可的各项要求；③双方约定的其他验收标准。项目生产业务试运行阶段</w:t>
      </w:r>
      <w:r>
        <w:rPr>
          <w:sz w:val="21"/>
          <w:color w:val="000000"/>
        </w:rPr>
        <w:t>乙方</w:t>
      </w:r>
      <w:r>
        <w:rPr>
          <w:sz w:val="21"/>
          <w:color w:val="000000"/>
        </w:rPr>
        <w:t>向</w:t>
      </w:r>
      <w:r>
        <w:rPr>
          <w:sz w:val="21"/>
          <w:color w:val="000000"/>
        </w:rPr>
        <w:t>甲方</w:t>
      </w:r>
      <w:r>
        <w:rPr>
          <w:sz w:val="21"/>
          <w:color w:val="000000"/>
        </w:rPr>
        <w:t>提供项目期间的各种文档，</w:t>
      </w:r>
      <w:r>
        <w:rPr>
          <w:sz w:val="21"/>
          <w:color w:val="000000"/>
        </w:rPr>
        <w:t>乙方</w:t>
      </w:r>
      <w:r>
        <w:rPr>
          <w:sz w:val="21"/>
          <w:color w:val="000000"/>
        </w:rPr>
        <w:t>需为验收提供：（</w:t>
      </w:r>
      <w:r>
        <w:rPr>
          <w:sz w:val="21"/>
          <w:color w:val="000000"/>
        </w:rPr>
        <w:t>1）完成本项目建设内容开发工作； （2）提供初步成果，包括软件成果、文档成果（需求说明书、系统设计文档、测试文档等）和其他成果等条件。（3）由</w:t>
      </w:r>
      <w:r>
        <w:rPr>
          <w:sz w:val="21"/>
          <w:color w:val="000000"/>
        </w:rPr>
        <w:t>甲方</w:t>
      </w:r>
      <w:r>
        <w:rPr>
          <w:sz w:val="21"/>
          <w:color w:val="000000"/>
        </w:rPr>
        <w:t>出具《用户验收测试</w:t>
      </w:r>
      <w:r>
        <w:rPr>
          <w:sz w:val="21"/>
          <w:color w:val="000000"/>
        </w:rPr>
        <w:t>(UAT)通过确认书》。</w:t>
      </w:r>
    </w:p>
    <w:p>
      <w:pPr>
        <w:pStyle w:val="null3"/>
      </w:pPr>
      <w:r>
        <w:rPr>
          <w:sz w:val="21"/>
          <w:color w:val="000000"/>
        </w:rPr>
        <w:t>2期：项目最终验收：</w:t>
      </w:r>
    </w:p>
    <w:p>
      <w:pPr>
        <w:pStyle w:val="null3"/>
        <w:ind w:left="15" w:firstLine="410"/>
      </w:pPr>
      <w:r>
        <w:rPr>
          <w:sz w:val="21"/>
          <w:color w:val="000000"/>
        </w:rPr>
        <w:t>1.</w:t>
      </w:r>
      <w:r>
        <w:rPr>
          <w:sz w:val="21"/>
          <w:color w:val="000000"/>
        </w:rPr>
        <w:t>履约验收主体：由</w:t>
      </w:r>
      <w:r>
        <w:rPr>
          <w:sz w:val="21"/>
          <w:color w:val="000000"/>
        </w:rPr>
        <w:t>甲方</w:t>
      </w:r>
      <w:r>
        <w:rPr>
          <w:sz w:val="21"/>
          <w:color w:val="000000"/>
        </w:rPr>
        <w:t>组织专家或第三方机构、</w:t>
      </w:r>
      <w:r>
        <w:rPr>
          <w:sz w:val="21"/>
          <w:color w:val="000000"/>
        </w:rPr>
        <w:t>乙方</w:t>
      </w:r>
      <w:r>
        <w:rPr>
          <w:sz w:val="21"/>
          <w:color w:val="000000"/>
        </w:rPr>
        <w:t>统一对项目进行验收。</w:t>
      </w:r>
    </w:p>
    <w:p>
      <w:pPr>
        <w:pStyle w:val="null3"/>
        <w:ind w:left="15" w:firstLine="410"/>
      </w:pPr>
      <w:r>
        <w:rPr>
          <w:sz w:val="21"/>
          <w:color w:val="000000"/>
        </w:rPr>
        <w:t>2.</w:t>
      </w:r>
      <w:r>
        <w:rPr>
          <w:sz w:val="21"/>
          <w:color w:val="000000"/>
        </w:rPr>
        <w:t>履约验收时间：在试运行期满且</w:t>
      </w:r>
      <w:r>
        <w:rPr>
          <w:sz w:val="21"/>
          <w:color w:val="000000"/>
        </w:rPr>
        <w:t>UAT通过后，</w:t>
      </w:r>
      <w:r>
        <w:rPr>
          <w:sz w:val="21"/>
          <w:color w:val="000000"/>
        </w:rPr>
        <w:t>甲方</w:t>
      </w:r>
      <w:r>
        <w:rPr>
          <w:sz w:val="21"/>
          <w:color w:val="000000"/>
        </w:rPr>
        <w:t>在收到</w:t>
      </w:r>
      <w:r>
        <w:rPr>
          <w:sz w:val="21"/>
          <w:color w:val="000000"/>
        </w:rPr>
        <w:t>乙方</w:t>
      </w:r>
      <w:r>
        <w:rPr>
          <w:sz w:val="21"/>
          <w:color w:val="000000"/>
        </w:rPr>
        <w:t>项目验收建议之日起</w:t>
      </w:r>
      <w:r>
        <w:rPr>
          <w:sz w:val="21"/>
          <w:color w:val="000000"/>
        </w:rPr>
        <w:t>7个工作日内按本单位的项目验收相关工作要求和流程组织验收。</w:t>
      </w:r>
    </w:p>
    <w:p>
      <w:pPr>
        <w:pStyle w:val="null3"/>
        <w:ind w:left="15" w:firstLine="410"/>
      </w:pPr>
      <w:r>
        <w:rPr>
          <w:sz w:val="21"/>
          <w:color w:val="000000"/>
        </w:rPr>
        <w:t>3.</w:t>
      </w:r>
      <w:r>
        <w:rPr>
          <w:sz w:val="21"/>
          <w:color w:val="000000"/>
        </w:rPr>
        <w:t>履约验收方式：按招标文件、投标文件、合同文件标准进行验收。</w:t>
      </w:r>
    </w:p>
    <w:p>
      <w:pPr>
        <w:pStyle w:val="null3"/>
        <w:ind w:left="15" w:firstLine="410"/>
      </w:pPr>
      <w:r>
        <w:rPr>
          <w:sz w:val="21"/>
          <w:color w:val="000000"/>
        </w:rPr>
        <w:t>4.</w:t>
      </w:r>
      <w:r>
        <w:rPr>
          <w:sz w:val="21"/>
          <w:color w:val="000000"/>
        </w:rPr>
        <w:t>履约验收内容：对应</w:t>
      </w:r>
      <w:r>
        <w:rPr>
          <w:sz w:val="21"/>
          <w:color w:val="000000"/>
        </w:rPr>
        <w:t>乙方</w:t>
      </w:r>
      <w:r>
        <w:rPr>
          <w:sz w:val="21"/>
          <w:color w:val="000000"/>
        </w:rPr>
        <w:t>的投标文件的技术和商务、人员要求等，结合</w:t>
      </w:r>
      <w:r>
        <w:rPr>
          <w:sz w:val="21"/>
          <w:color w:val="000000"/>
        </w:rPr>
        <w:t>甲方</w:t>
      </w:r>
      <w:r>
        <w:rPr>
          <w:sz w:val="21"/>
          <w:color w:val="000000"/>
        </w:rPr>
        <w:t>招标文件要求的标准为准则。</w:t>
      </w:r>
    </w:p>
    <w:p>
      <w:pPr>
        <w:pStyle w:val="null3"/>
        <w:ind w:left="15" w:firstLine="410"/>
      </w:pPr>
      <w:r>
        <w:rPr>
          <w:sz w:val="21"/>
          <w:color w:val="000000"/>
        </w:rPr>
        <w:t>5.</w:t>
      </w:r>
      <w:r>
        <w:rPr>
          <w:sz w:val="21"/>
          <w:color w:val="000000"/>
        </w:rPr>
        <w:t>履约验收程序、验收标准：</w:t>
      </w:r>
      <w:r>
        <w:rPr>
          <w:sz w:val="21"/>
          <w:color w:val="000000"/>
        </w:rPr>
        <w:t>①系统稳定运行，完成全部合同规定的建设内容；②已通过用户验收测试并取得确认书；③已通过国家网络安全等级保护二级测评；④已按照“文档管理要求”提交全部合同约定的技术文档与交付物；⑤已完成对所有最终用户的培训。项目所有工作内容完成以后，由</w:t>
      </w:r>
      <w:r>
        <w:rPr>
          <w:sz w:val="21"/>
          <w:color w:val="000000"/>
        </w:rPr>
        <w:t>甲方</w:t>
      </w:r>
      <w:r>
        <w:rPr>
          <w:sz w:val="21"/>
          <w:color w:val="000000"/>
        </w:rPr>
        <w:t>组织专家或第三方机构统一对项目进行验收，项目验收依次序对照执行标准为：</w:t>
      </w:r>
      <w:r>
        <w:rPr>
          <w:sz w:val="21"/>
          <w:color w:val="000000"/>
        </w:rPr>
        <w:t>①符合中华人民共和国国家和履约地相关安全质量标准、行业技术规范标准；②符合采购文件和投标承诺中各方共同认可的各项要求；③双方约定的其他验收标准。④输出成果：形成《项目最终验收报告》。</w:t>
      </w:r>
    </w:p>
    <w:p>
      <w:pPr>
        <w:pStyle w:val="null3"/>
        <w:ind w:left="15" w:firstLine="410"/>
      </w:pPr>
      <w:r>
        <w:rPr>
          <w:sz w:val="21"/>
          <w:color w:val="000000"/>
        </w:rPr>
        <w:t>2.其他验收要求：（补充内容不得对采购文件和投标/</w:t>
      </w:r>
      <w:r>
        <w:rPr>
          <w:sz w:val="21"/>
          <w:color w:val="000000"/>
        </w:rPr>
        <w:t>投标文件</w:t>
      </w:r>
      <w:r>
        <w:rPr>
          <w:sz w:val="21"/>
          <w:color w:val="000000"/>
        </w:rPr>
        <w:t>作实质性修改）</w:t>
      </w:r>
    </w:p>
    <w:p>
      <w:pPr>
        <w:pStyle w:val="null3"/>
        <w:ind w:left="15"/>
      </w:pPr>
      <w:r>
        <w:rPr>
          <w:u w:val="single"/>
        </w:rPr>
        <w:t xml:space="preserve">                                                                </w:t>
      </w:r>
      <w:r>
        <w:rPr>
          <w:sz w:val="21"/>
          <w:color w:val="000000"/>
        </w:rPr>
        <w:t>。</w:t>
      </w:r>
    </w:p>
    <w:p>
      <w:pPr>
        <w:pStyle w:val="null3"/>
        <w:ind w:left="15"/>
      </w:pPr>
      <w:r>
        <w:rPr>
          <w:sz w:val="21"/>
          <w:b/>
          <w:color w:val="000000"/>
        </w:rPr>
        <w:t>八、</w:t>
      </w:r>
      <w:r>
        <w:rPr>
          <w:sz w:val="21"/>
          <w:b/>
          <w:color w:val="000000"/>
        </w:rPr>
        <w:t>知识产权要求</w:t>
      </w:r>
    </w:p>
    <w:p>
      <w:pPr>
        <w:pStyle w:val="null3"/>
        <w:ind w:left="15" w:firstLine="410"/>
      </w:pPr>
      <w:r>
        <w:rPr>
          <w:sz w:val="21"/>
          <w:color w:val="000000"/>
        </w:rPr>
        <w:t>1.</w:t>
      </w:r>
      <w:r>
        <w:rPr>
          <w:sz w:val="21"/>
          <w:color w:val="000000"/>
        </w:rPr>
        <w:t>本项目实施中所产生的所有服务成果（包括但不限于发明、发现及相关技术资料、文档等）的知识产权归</w:t>
      </w:r>
      <w:r>
        <w:rPr>
          <w:sz w:val="21"/>
          <w:color w:val="000000"/>
        </w:rPr>
        <w:t>甲方</w:t>
      </w:r>
      <w:r>
        <w:rPr>
          <w:sz w:val="21"/>
          <w:color w:val="000000"/>
        </w:rPr>
        <w:t>所有。</w:t>
      </w:r>
      <w:r>
        <w:rPr>
          <w:sz w:val="21"/>
          <w:color w:val="000000"/>
        </w:rPr>
        <w:t>乙方</w:t>
      </w:r>
      <w:r>
        <w:rPr>
          <w:sz w:val="21"/>
          <w:color w:val="000000"/>
        </w:rPr>
        <w:t>保证所提供的服务没有侵害任何第三方的知识产权或其他正当权益。如有第三方指控</w:t>
      </w:r>
      <w:r>
        <w:rPr>
          <w:sz w:val="21"/>
          <w:color w:val="000000"/>
        </w:rPr>
        <w:t>乙方</w:t>
      </w:r>
      <w:r>
        <w:rPr>
          <w:sz w:val="21"/>
          <w:color w:val="000000"/>
        </w:rPr>
        <w:t>提供给</w:t>
      </w:r>
      <w:r>
        <w:rPr>
          <w:sz w:val="21"/>
          <w:color w:val="000000"/>
        </w:rPr>
        <w:t>甲方</w:t>
      </w:r>
      <w:r>
        <w:rPr>
          <w:sz w:val="21"/>
          <w:color w:val="000000"/>
        </w:rPr>
        <w:t>的服务侵犯了该方的知识产权或其他权利，</w:t>
      </w:r>
      <w:r>
        <w:rPr>
          <w:sz w:val="21"/>
          <w:color w:val="000000"/>
        </w:rPr>
        <w:t>乙方</w:t>
      </w:r>
      <w:r>
        <w:rPr>
          <w:sz w:val="21"/>
          <w:color w:val="000000"/>
        </w:rPr>
        <w:t>应自费就上述指控为</w:t>
      </w:r>
      <w:r>
        <w:rPr>
          <w:sz w:val="21"/>
          <w:color w:val="000000"/>
        </w:rPr>
        <w:t>甲方</w:t>
      </w:r>
      <w:r>
        <w:rPr>
          <w:sz w:val="21"/>
          <w:color w:val="000000"/>
        </w:rPr>
        <w:t>辩护或进行妥善处理，并承担给</w:t>
      </w:r>
      <w:r>
        <w:rPr>
          <w:sz w:val="21"/>
          <w:color w:val="000000"/>
        </w:rPr>
        <w:t>甲方</w:t>
      </w:r>
      <w:r>
        <w:rPr>
          <w:sz w:val="21"/>
          <w:color w:val="000000"/>
        </w:rPr>
        <w:t>及第三方造成的一切损失（包括但不限于赔偿金、律师费等）。如</w:t>
      </w:r>
      <w:r>
        <w:rPr>
          <w:sz w:val="21"/>
          <w:color w:val="000000"/>
        </w:rPr>
        <w:t>乙方</w:t>
      </w:r>
      <w:r>
        <w:rPr>
          <w:sz w:val="21"/>
          <w:color w:val="000000"/>
        </w:rPr>
        <w:t>不为</w:t>
      </w:r>
      <w:r>
        <w:rPr>
          <w:sz w:val="21"/>
          <w:color w:val="000000"/>
        </w:rPr>
        <w:t>甲方</w:t>
      </w:r>
      <w:r>
        <w:rPr>
          <w:sz w:val="21"/>
          <w:color w:val="000000"/>
        </w:rPr>
        <w:t>辩护或不进行妥善处理，</w:t>
      </w:r>
      <w:r>
        <w:rPr>
          <w:sz w:val="21"/>
          <w:color w:val="000000"/>
        </w:rPr>
        <w:t>甲方</w:t>
      </w:r>
      <w:r>
        <w:rPr>
          <w:sz w:val="21"/>
          <w:color w:val="000000"/>
        </w:rPr>
        <w:t>可自行处理，</w:t>
      </w:r>
      <w:r>
        <w:rPr>
          <w:sz w:val="21"/>
          <w:color w:val="000000"/>
        </w:rPr>
        <w:t>甲方</w:t>
      </w:r>
      <w:r>
        <w:rPr>
          <w:sz w:val="21"/>
          <w:color w:val="000000"/>
        </w:rPr>
        <w:t>与第三方达成的和解协议或法院生效判决由</w:t>
      </w:r>
      <w:r>
        <w:rPr>
          <w:sz w:val="21"/>
          <w:color w:val="000000"/>
        </w:rPr>
        <w:t>甲方</w:t>
      </w:r>
      <w:r>
        <w:rPr>
          <w:sz w:val="21"/>
          <w:color w:val="000000"/>
        </w:rPr>
        <w:t>承担的责任，及</w:t>
      </w:r>
      <w:r>
        <w:rPr>
          <w:sz w:val="21"/>
          <w:color w:val="000000"/>
        </w:rPr>
        <w:t>甲方</w:t>
      </w:r>
      <w:r>
        <w:rPr>
          <w:sz w:val="21"/>
          <w:color w:val="000000"/>
        </w:rPr>
        <w:t>自行处理所支出的费用（包括但不限于律师费、案件受理费、执行费、差旅费等）由</w:t>
      </w:r>
      <w:r>
        <w:rPr>
          <w:sz w:val="21"/>
          <w:color w:val="000000"/>
        </w:rPr>
        <w:t>乙方</w:t>
      </w:r>
      <w:r>
        <w:rPr>
          <w:sz w:val="21"/>
          <w:color w:val="000000"/>
        </w:rPr>
        <w:t>承担。</w:t>
      </w:r>
    </w:p>
    <w:p>
      <w:pPr>
        <w:pStyle w:val="null3"/>
        <w:ind w:left="15" w:firstLine="410"/>
      </w:pPr>
      <w:r>
        <w:rPr>
          <w:sz w:val="21"/>
          <w:color w:val="000000"/>
        </w:rPr>
        <w:t>2.</w:t>
      </w:r>
      <w:r>
        <w:rPr>
          <w:sz w:val="21"/>
          <w:color w:val="000000"/>
        </w:rPr>
        <w:t>本采购包形成的所有服务成果（包括但不限于软件、文档、设计、算法、数据），以及供应商利用</w:t>
      </w:r>
      <w:r>
        <w:rPr>
          <w:sz w:val="21"/>
          <w:color w:val="000000"/>
        </w:rPr>
        <w:t>甲方</w:t>
      </w:r>
      <w:r>
        <w:rPr>
          <w:sz w:val="21"/>
          <w:color w:val="000000"/>
        </w:rPr>
        <w:t>提供的资料和工作条件完成的新成果，其知识产权（包括但不限于著作权、专利权等权利）及衍生权利均归</w:t>
      </w:r>
      <w:r>
        <w:rPr>
          <w:sz w:val="21"/>
          <w:color w:val="000000"/>
        </w:rPr>
        <w:t>甲方</w:t>
      </w:r>
      <w:r>
        <w:rPr>
          <w:sz w:val="21"/>
          <w:color w:val="000000"/>
        </w:rPr>
        <w:t>独有。协助</w:t>
      </w:r>
      <w:r>
        <w:rPr>
          <w:sz w:val="21"/>
          <w:color w:val="000000"/>
        </w:rPr>
        <w:t>甲方</w:t>
      </w:r>
      <w:r>
        <w:rPr>
          <w:sz w:val="21"/>
          <w:color w:val="000000"/>
        </w:rPr>
        <w:t>完成知识产权申报。</w:t>
      </w:r>
      <w:r>
        <w:rPr>
          <w:sz w:val="21"/>
          <w:color w:val="000000"/>
        </w:rPr>
        <w:t>关于源代码</w:t>
      </w:r>
      <w:r>
        <w:rPr>
          <w:sz w:val="21"/>
          <w:color w:val="000000"/>
        </w:rPr>
        <w:t>:供应商须交付全部可编译的源代码（含注释、开发文档、API接口说明）、数据库结构设计及第三方组件授权文件。交付即视为权利转让。</w:t>
      </w:r>
    </w:p>
    <w:p>
      <w:pPr>
        <w:pStyle w:val="null3"/>
        <w:ind w:left="15" w:firstLine="410"/>
      </w:pPr>
      <w:r>
        <w:rPr>
          <w:sz w:val="21"/>
          <w:color w:val="000000"/>
        </w:rPr>
        <w:t>3.</w:t>
      </w:r>
      <w:r>
        <w:rPr>
          <w:sz w:val="21"/>
          <w:color w:val="000000"/>
        </w:rPr>
        <w:t>本项目完成后，软件著作权归属</w:t>
      </w:r>
      <w:r>
        <w:rPr>
          <w:sz w:val="21"/>
          <w:color w:val="000000"/>
        </w:rPr>
        <w:t>甲方</w:t>
      </w:r>
      <w:r>
        <w:rPr>
          <w:sz w:val="21"/>
          <w:color w:val="000000"/>
        </w:rPr>
        <w:t>所有。</w:t>
      </w:r>
    </w:p>
    <w:p>
      <w:pPr>
        <w:pStyle w:val="null3"/>
        <w:ind w:left="15"/>
      </w:pPr>
      <w:r>
        <w:rPr>
          <w:sz w:val="21"/>
          <w:b/>
          <w:color w:val="000000"/>
        </w:rPr>
        <w:t>九、保密要求：</w:t>
      </w:r>
    </w:p>
    <w:p>
      <w:pPr>
        <w:pStyle w:val="null3"/>
        <w:ind w:left="15" w:firstLine="410"/>
      </w:pPr>
      <w:r>
        <w:rPr>
          <w:sz w:val="21"/>
          <w:color w:val="000000"/>
        </w:rPr>
        <w:t>1</w:t>
      </w:r>
      <w:r>
        <w:rPr>
          <w:sz w:val="21"/>
          <w:color w:val="000000"/>
        </w:rPr>
        <w:t>.</w:t>
      </w:r>
      <w:r>
        <w:rPr>
          <w:sz w:val="21"/>
          <w:color w:val="000000"/>
        </w:rPr>
        <w:t>在服务期间，</w:t>
      </w:r>
      <w:r>
        <w:rPr>
          <w:sz w:val="21"/>
          <w:color w:val="000000"/>
        </w:rPr>
        <w:t>乙方</w:t>
      </w:r>
      <w:r>
        <w:rPr>
          <w:sz w:val="21"/>
          <w:color w:val="000000"/>
        </w:rPr>
        <w:t>派驻服务团队须严格遵守</w:t>
      </w:r>
      <w:r>
        <w:rPr>
          <w:sz w:val="21"/>
          <w:color w:val="000000"/>
        </w:rPr>
        <w:t>甲方</w:t>
      </w:r>
      <w:r>
        <w:rPr>
          <w:sz w:val="21"/>
          <w:color w:val="000000"/>
        </w:rPr>
        <w:t>制定的各项规章制度、管理流程以及操作规范。如有违反，将追究服务商责任。</w:t>
      </w:r>
    </w:p>
    <w:p>
      <w:pPr>
        <w:pStyle w:val="null3"/>
        <w:ind w:left="15" w:firstLine="410"/>
      </w:pPr>
      <w:r>
        <w:rPr>
          <w:sz w:val="21"/>
          <w:color w:val="000000"/>
        </w:rPr>
        <w:t>2</w:t>
      </w:r>
      <w:r>
        <w:rPr>
          <w:sz w:val="21"/>
          <w:color w:val="000000"/>
        </w:rPr>
        <w:t>.</w:t>
      </w:r>
      <w:r>
        <w:rPr>
          <w:sz w:val="21"/>
          <w:color w:val="000000"/>
        </w:rPr>
        <w:t>不论何时（服务期间或服务期结束后），</w:t>
      </w:r>
      <w:r>
        <w:rPr>
          <w:sz w:val="21"/>
          <w:color w:val="000000"/>
        </w:rPr>
        <w:t>乙方</w:t>
      </w:r>
      <w:r>
        <w:rPr>
          <w:sz w:val="21"/>
          <w:color w:val="000000"/>
        </w:rPr>
        <w:t>须对安全服务过程中接触的</w:t>
      </w:r>
      <w:r>
        <w:rPr>
          <w:sz w:val="21"/>
          <w:color w:val="000000"/>
        </w:rPr>
        <w:t>甲方</w:t>
      </w:r>
      <w:r>
        <w:rPr>
          <w:sz w:val="21"/>
          <w:color w:val="000000"/>
        </w:rPr>
        <w:t>所有信息和数据保密。未经允许不得以任何方式向外界传递或泄露</w:t>
      </w:r>
      <w:r>
        <w:rPr>
          <w:sz w:val="21"/>
          <w:color w:val="000000"/>
        </w:rPr>
        <w:t>甲方</w:t>
      </w:r>
      <w:r>
        <w:rPr>
          <w:sz w:val="21"/>
          <w:color w:val="000000"/>
        </w:rPr>
        <w:t>的任何信息或数据，一旦发现，将追究</w:t>
      </w:r>
      <w:r>
        <w:rPr>
          <w:sz w:val="21"/>
          <w:color w:val="000000"/>
        </w:rPr>
        <w:t>乙方</w:t>
      </w:r>
      <w:r>
        <w:rPr>
          <w:sz w:val="21"/>
          <w:color w:val="000000"/>
        </w:rPr>
        <w:t>法律责任。</w:t>
      </w:r>
    </w:p>
    <w:p>
      <w:pPr>
        <w:pStyle w:val="null3"/>
        <w:ind w:left="15" w:firstLine="410"/>
      </w:pPr>
      <w:r>
        <w:rPr>
          <w:sz w:val="21"/>
          <w:color w:val="000000"/>
        </w:rPr>
        <w:t>3.</w:t>
      </w:r>
      <w:r>
        <w:rPr>
          <w:sz w:val="21"/>
          <w:color w:val="000000"/>
        </w:rPr>
        <w:t>对</w:t>
      </w:r>
      <w:r>
        <w:rPr>
          <w:sz w:val="21"/>
          <w:color w:val="000000"/>
        </w:rPr>
        <w:t>甲方</w:t>
      </w:r>
      <w:r>
        <w:rPr>
          <w:sz w:val="21"/>
          <w:color w:val="000000"/>
        </w:rPr>
        <w:t>的全部资产（包括全部设备、线路、软件、配套设施、系统产生的各类数据信息及相关文档资料等），</w:t>
      </w:r>
      <w:r>
        <w:rPr>
          <w:sz w:val="21"/>
          <w:color w:val="000000"/>
        </w:rPr>
        <w:t>乙方</w:t>
      </w:r>
      <w:r>
        <w:rPr>
          <w:sz w:val="21"/>
          <w:color w:val="000000"/>
        </w:rPr>
        <w:t>不得以任何方式对其进行出售、抵押或转移；且在服务期间，</w:t>
      </w:r>
      <w:r>
        <w:rPr>
          <w:sz w:val="21"/>
          <w:color w:val="000000"/>
        </w:rPr>
        <w:t>乙方</w:t>
      </w:r>
      <w:r>
        <w:rPr>
          <w:sz w:val="21"/>
          <w:color w:val="000000"/>
        </w:rPr>
        <w:t>有责任保证上述资产的完整、安全并处于良好状态，因</w:t>
      </w:r>
      <w:r>
        <w:rPr>
          <w:sz w:val="21"/>
          <w:color w:val="000000"/>
        </w:rPr>
        <w:t>乙方</w:t>
      </w:r>
      <w:r>
        <w:rPr>
          <w:sz w:val="21"/>
          <w:color w:val="000000"/>
        </w:rPr>
        <w:t>责任而导致的设备损坏或资产损失，由</w:t>
      </w:r>
      <w:r>
        <w:rPr>
          <w:sz w:val="21"/>
          <w:color w:val="000000"/>
        </w:rPr>
        <w:t>乙方</w:t>
      </w:r>
      <w:r>
        <w:rPr>
          <w:sz w:val="21"/>
          <w:color w:val="000000"/>
        </w:rPr>
        <w:t>承担责任。</w:t>
      </w:r>
    </w:p>
    <w:p>
      <w:pPr>
        <w:pStyle w:val="null3"/>
        <w:ind w:left="15"/>
      </w:pPr>
      <w:r>
        <w:rPr>
          <w:sz w:val="21"/>
          <w:b/>
          <w:color w:val="000000"/>
        </w:rPr>
        <w:t>十、违约责任：</w:t>
      </w:r>
    </w:p>
    <w:p>
      <w:pPr>
        <w:pStyle w:val="null3"/>
        <w:ind w:left="15" w:firstLine="410"/>
      </w:pPr>
      <w:r>
        <w:rPr>
          <w:sz w:val="21"/>
          <w:color w:val="000000"/>
        </w:rPr>
        <w:t>1.</w:t>
      </w:r>
      <w:r>
        <w:rPr>
          <w:sz w:val="21"/>
          <w:color w:val="000000"/>
        </w:rPr>
        <w:t>乙方未按要求履行合同义务时，须从违约之日起每日按合同总额的</w:t>
      </w:r>
      <w:r>
        <w:rPr>
          <w:sz w:val="21"/>
          <w:color w:val="000000"/>
        </w:rPr>
        <w:t>2‰ 比例向甲方支付违约金；逾期 7 日以上时，甲方有权终止合同，若乙方未实际开展工作的，乙方应当自收到甲方发出的解除通知后3日内向甲方返还甲方实际支付的全部费用，且还须另行向甲方支付合同总价10%的违约金；若乙方实际开展工作的，甲方除支付验收合格的工作量费用外，甲方无须支付其他费用，且还须另行向甲方支付合同总价10%的违约金。违约金不足以弥补损失的，乙方应按全额赔偿。</w:t>
      </w:r>
    </w:p>
    <w:p>
      <w:pPr>
        <w:pStyle w:val="null3"/>
        <w:ind w:left="15" w:firstLine="410"/>
      </w:pPr>
      <w:r>
        <w:rPr>
          <w:sz w:val="21"/>
          <w:color w:val="000000"/>
        </w:rPr>
        <w:t>2.</w:t>
      </w:r>
      <w:r>
        <w:rPr>
          <w:sz w:val="21"/>
          <w:color w:val="000000"/>
        </w:rPr>
        <w:t>甲方未按要求付款时，甲方须向乙方支付滞纳金，标准为每日按逾期应付款总额的</w:t>
      </w:r>
      <w:r>
        <w:rPr>
          <w:sz w:val="21"/>
          <w:color w:val="000000"/>
        </w:rPr>
        <w:t>2‰ 累计。</w:t>
      </w:r>
    </w:p>
    <w:p>
      <w:pPr>
        <w:pStyle w:val="null3"/>
        <w:ind w:left="15" w:firstLine="410"/>
      </w:pPr>
      <w:r>
        <w:rPr>
          <w:sz w:val="21"/>
          <w:color w:val="000000"/>
        </w:rPr>
        <w:t>3.</w:t>
      </w:r>
      <w:r>
        <w:rPr>
          <w:sz w:val="21"/>
          <w:color w:val="000000"/>
        </w:rPr>
        <w:t>因乙方其他违约行为导致甲方行使解除权的，乙方须按本条约定承担违约责任</w:t>
      </w:r>
      <w:r>
        <w:rPr>
          <w:sz w:val="21"/>
          <w:color w:val="000000"/>
        </w:rPr>
        <w:t>。</w:t>
      </w:r>
    </w:p>
    <w:p>
      <w:pPr>
        <w:pStyle w:val="null3"/>
        <w:ind w:left="15"/>
      </w:pPr>
      <w:r>
        <w:rPr>
          <w:sz w:val="21"/>
          <w:b/>
          <w:color w:val="000000"/>
        </w:rPr>
        <w:t>十一、提出异议的时间和方法：</w:t>
      </w:r>
    </w:p>
    <w:p>
      <w:pPr>
        <w:pStyle w:val="null3"/>
        <w:ind w:left="15" w:firstLine="410"/>
      </w:pPr>
      <w:r>
        <w:rPr>
          <w:sz w:val="21"/>
          <w:color w:val="000000"/>
        </w:rPr>
        <w:t>1.甲方有异议时，应</w:t>
      </w:r>
      <w:r>
        <w:rPr>
          <w:u w:val="single"/>
        </w:rPr>
        <w:t xml:space="preserve"> </w:t>
      </w:r>
      <w:r>
        <w:rPr>
          <w:sz w:val="21"/>
          <w:color w:val="000000"/>
          <w:u w:val="single"/>
        </w:rPr>
        <w:t>7</w:t>
      </w:r>
      <w:r>
        <w:rPr>
          <w:sz w:val="21"/>
          <w:color w:val="000000"/>
        </w:rPr>
        <w:t>天内向乙方提出书面异议。</w:t>
      </w:r>
    </w:p>
    <w:p>
      <w:pPr>
        <w:pStyle w:val="null3"/>
        <w:ind w:left="15" w:firstLine="410"/>
      </w:pPr>
      <w:r>
        <w:rPr>
          <w:sz w:val="21"/>
          <w:color w:val="000000"/>
        </w:rPr>
        <w:t>2.乙方在接到甲方书面异议后，应在3天内负责处理并函复甲方处理情况，否则，即视为默认甲方提出的异议和处理意见。</w:t>
      </w:r>
    </w:p>
    <w:p>
      <w:pPr>
        <w:pStyle w:val="null3"/>
        <w:ind w:left="15" w:firstLine="410"/>
      </w:pPr>
      <w:r>
        <w:rPr>
          <w:sz w:val="21"/>
          <w:color w:val="000000"/>
        </w:rPr>
        <w:t>3.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ind w:left="15"/>
      </w:pPr>
      <w:r>
        <w:rPr>
          <w:sz w:val="21"/>
          <w:b/>
          <w:color w:val="000000"/>
        </w:rPr>
        <w:t>十二、争议的解决：</w:t>
      </w:r>
    </w:p>
    <w:p>
      <w:pPr>
        <w:pStyle w:val="null3"/>
        <w:ind w:left="15" w:firstLine="410"/>
      </w:pPr>
      <w:r>
        <w:rPr>
          <w:sz w:val="21"/>
          <w:color w:val="000000"/>
        </w:rPr>
        <w:t>1.合同履行过程中发生的任何争议，如双方未能通过友好协商解决，应向佛山市有管辖权的人民法院提起诉讼。</w:t>
      </w:r>
    </w:p>
    <w:p>
      <w:pPr>
        <w:pStyle w:val="null3"/>
        <w:ind w:left="15" w:firstLine="410"/>
      </w:pPr>
      <w:r>
        <w:rPr>
          <w:sz w:val="21"/>
          <w:color w:val="000000"/>
        </w:rPr>
        <w:t>2.法院审理期间，除提交法院审理的事项外，其它无争议的事项和条款仍应继续履行。</w:t>
      </w:r>
    </w:p>
    <w:p>
      <w:pPr>
        <w:pStyle w:val="null3"/>
        <w:ind w:left="15"/>
      </w:pPr>
      <w:r>
        <w:rPr>
          <w:sz w:val="21"/>
          <w:b/>
          <w:color w:val="000000"/>
        </w:rPr>
        <w:t>十三、不可抗力：</w:t>
      </w:r>
    </w:p>
    <w:p>
      <w:pPr>
        <w:pStyle w:val="null3"/>
        <w:ind w:left="15" w:firstLine="410"/>
      </w:pPr>
      <w:r>
        <w:rPr>
          <w:sz w:val="21"/>
          <w:color w:val="000000"/>
        </w:rPr>
        <w:t>任何一方由于不可抗力原因不能履行合同时，应在不可抗力事件结束后</w:t>
      </w:r>
      <w:r>
        <w:rPr>
          <w:sz w:val="21"/>
          <w:color w:val="000000"/>
        </w:rPr>
        <w:t>48小时内向对方通报，以减轻可能给对方造成的损失，在取得有关机构的不可抗力证明或双方谅解确认后，允许延期履行或修订合同，并根据情况可部分或全部免于承担违约责任。</w:t>
      </w:r>
    </w:p>
    <w:p>
      <w:pPr>
        <w:pStyle w:val="null3"/>
        <w:ind w:left="15"/>
      </w:pPr>
      <w:r>
        <w:rPr>
          <w:sz w:val="21"/>
          <w:b/>
          <w:color w:val="000000"/>
        </w:rPr>
        <w:t>十四、税费：</w:t>
      </w:r>
    </w:p>
    <w:p>
      <w:pPr>
        <w:pStyle w:val="null3"/>
        <w:ind w:left="15" w:firstLine="410"/>
      </w:pPr>
      <w:r>
        <w:rPr>
          <w:sz w:val="21"/>
          <w:color w:val="000000"/>
        </w:rPr>
        <w:t>1.本合同实施过程中所发生的一切税费及不可预见费均由乙方承担。</w:t>
      </w:r>
    </w:p>
    <w:p>
      <w:pPr>
        <w:pStyle w:val="null3"/>
        <w:ind w:left="15" w:firstLine="410"/>
      </w:pPr>
      <w:r>
        <w:rPr>
          <w:sz w:val="21"/>
          <w:color w:val="000000"/>
        </w:rPr>
        <w:t>2.乙方依照税务规章优先在合同履约地开具发票及纳税，咨询：0757-12366。</w:t>
      </w:r>
    </w:p>
    <w:p>
      <w:pPr>
        <w:pStyle w:val="null3"/>
        <w:ind w:left="15"/>
      </w:pPr>
      <w:r>
        <w:rPr>
          <w:sz w:val="21"/>
          <w:b/>
          <w:color w:val="000000"/>
        </w:rPr>
        <w:t>十五、合同生效：</w:t>
      </w:r>
    </w:p>
    <w:p>
      <w:pPr>
        <w:pStyle w:val="null3"/>
        <w:ind w:left="15" w:firstLine="410"/>
      </w:pPr>
      <w:r>
        <w:rPr>
          <w:sz w:val="21"/>
          <w:color w:val="000000"/>
        </w:rPr>
        <w:t>1.本合同在甲乙双方法人代表或其授权代表签字盖章后生效。</w:t>
      </w:r>
    </w:p>
    <w:p>
      <w:pPr>
        <w:pStyle w:val="null3"/>
        <w:ind w:left="15"/>
      </w:pPr>
      <w:r>
        <w:rPr>
          <w:sz w:val="21"/>
          <w:b/>
          <w:color w:val="000000"/>
        </w:rPr>
        <w:t>十六、乙方应提供的资料内容：</w:t>
      </w:r>
    </w:p>
    <w:p>
      <w:pPr>
        <w:pStyle w:val="null3"/>
        <w:ind w:left="15"/>
      </w:pPr>
      <w:r>
        <w:rPr>
          <w:u w:val="single"/>
        </w:rPr>
        <w:t xml:space="preserve">                                                            </w:t>
      </w:r>
      <w:r>
        <w:rPr>
          <w:sz w:val="21"/>
          <w:color w:val="000000"/>
        </w:rPr>
        <w:t>。</w:t>
      </w:r>
    </w:p>
    <w:p>
      <w:pPr>
        <w:pStyle w:val="null3"/>
        <w:ind w:left="15"/>
      </w:pPr>
      <w:r>
        <w:rPr>
          <w:sz w:val="21"/>
          <w:b/>
          <w:color w:val="000000"/>
        </w:rPr>
        <w:t>十七、关于政府采购合同融资</w:t>
      </w:r>
    </w:p>
    <w:p>
      <w:pPr>
        <w:pStyle w:val="null3"/>
        <w:ind w:left="15" w:firstLine="410"/>
      </w:pPr>
      <w:r>
        <w:rPr>
          <w:sz w:val="21"/>
          <w:color w:val="000000"/>
        </w:rPr>
        <w:t>1.乙方是否已申请政府采购合同融资：</w:t>
      </w:r>
      <w:r>
        <w:rPr>
          <w:sz w:val="21"/>
          <w:color w:val="000000"/>
          <w:u w:val="single"/>
        </w:rPr>
        <w:t xml:space="preserve">  </w:t>
      </w:r>
      <w:r>
        <w:rPr>
          <w:sz w:val="21"/>
          <w:color w:val="000000"/>
          <w:u w:val="single"/>
        </w:rPr>
        <w:t>是</w:t>
      </w:r>
      <w:r>
        <w:rPr>
          <w:sz w:val="21"/>
          <w:color w:val="000000"/>
          <w:u w:val="single"/>
        </w:rPr>
        <w:t xml:space="preserve">  </w:t>
      </w:r>
      <w:r>
        <w:rPr>
          <w:sz w:val="21"/>
          <w:color w:val="000000"/>
          <w:u w:val="single"/>
        </w:rPr>
        <w:t xml:space="preserve">/ 否  </w:t>
      </w:r>
      <w:r>
        <w:rPr>
          <w:sz w:val="21"/>
          <w:color w:val="000000"/>
        </w:rPr>
        <w:t>；</w:t>
      </w:r>
    </w:p>
    <w:p>
      <w:pPr>
        <w:pStyle w:val="null3"/>
        <w:ind w:left="15" w:firstLine="410"/>
      </w:pPr>
      <w:r>
        <w:rPr>
          <w:sz w:val="21"/>
          <w:color w:val="000000"/>
        </w:rPr>
        <w:t>2.融资银行及联系方式：</w:t>
      </w:r>
      <w:r>
        <w:rPr>
          <w:u w:val="single"/>
        </w:rPr>
        <w:t xml:space="preserve">                                                </w:t>
      </w:r>
      <w:r>
        <w:rPr>
          <w:sz w:val="21"/>
          <w:color w:val="000000"/>
        </w:rPr>
        <w:t>。</w:t>
      </w:r>
    </w:p>
    <w:p>
      <w:pPr>
        <w:pStyle w:val="null3"/>
        <w:ind w:left="15" w:firstLine="410"/>
      </w:pPr>
      <w:r>
        <w:rPr>
          <w:sz w:val="21"/>
          <w:color w:val="000000"/>
        </w:rPr>
        <w:t>3.若乙方已申请政府采购合同融资，其在本合同中登记的银行账号应与金融机构签订融资协议中约定的融资回款账户一致，此账户作为政府采购融资合同资金回款的唯一账户，未获得融资银行同意，乙方不得随意变更</w:t>
      </w:r>
      <w:r>
        <w:rPr>
          <w:sz w:val="21"/>
          <w:b/>
          <w:color w:val="000000"/>
        </w:rPr>
        <w:t>。</w:t>
      </w:r>
    </w:p>
    <w:p>
      <w:pPr>
        <w:pStyle w:val="null3"/>
        <w:ind w:left="15"/>
      </w:pPr>
      <w:r>
        <w:rPr>
          <w:sz w:val="21"/>
          <w:b/>
          <w:color w:val="000000"/>
        </w:rPr>
        <w:t>十八、其它：</w:t>
      </w:r>
    </w:p>
    <w:p>
      <w:pPr>
        <w:pStyle w:val="null3"/>
        <w:ind w:left="15" w:firstLine="410"/>
      </w:pPr>
      <w:r>
        <w:rPr>
          <w:sz w:val="21"/>
          <w:color w:val="000000"/>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left="15" w:firstLine="410"/>
      </w:pPr>
      <w:r>
        <w:rPr>
          <w:sz w:val="21"/>
          <w:color w:val="000000"/>
        </w:rPr>
        <w:t>2.如一方（包括联系人）地址、电话、传真号码有变更，应在变更后3个工作日内书面通知对方联系人或负责人，否则，因此造成的损失由未履行通知义务方承担相应责任。</w:t>
      </w:r>
    </w:p>
    <w:p>
      <w:pPr>
        <w:pStyle w:val="null3"/>
        <w:ind w:left="15" w:firstLine="410"/>
      </w:pPr>
      <w:r>
        <w:rPr>
          <w:sz w:val="21"/>
          <w:color w:val="000000"/>
        </w:rPr>
        <w:t>3.未经甲方书面同意，乙方不得擅自向第三方转让其主体性和关键性合同义务。</w:t>
      </w:r>
    </w:p>
    <w:p>
      <w:pPr>
        <w:pStyle w:val="null3"/>
        <w:ind w:left="15" w:firstLine="410"/>
      </w:pPr>
      <w:r>
        <w:rPr>
          <w:sz w:val="21"/>
          <w:color w:val="000000"/>
        </w:rPr>
        <w:t>4.本合同一式</w:t>
      </w:r>
      <w:r>
        <w:rPr>
          <w:u w:val="single"/>
        </w:rPr>
        <w:t xml:space="preserve">    </w:t>
      </w:r>
      <w:r>
        <w:rPr>
          <w:sz w:val="21"/>
          <w:color w:val="000000"/>
        </w:rPr>
        <w:t>份，甲方执</w:t>
      </w:r>
      <w:r>
        <w:rPr>
          <w:u w:val="single"/>
        </w:rPr>
        <w:t xml:space="preserve">   </w:t>
      </w:r>
      <w:r>
        <w:rPr>
          <w:sz w:val="21"/>
          <w:color w:val="000000"/>
        </w:rPr>
        <w:t>份，乙方执</w:t>
      </w:r>
      <w:r>
        <w:rPr>
          <w:u w:val="single"/>
        </w:rPr>
        <w:t xml:space="preserve">   </w:t>
      </w:r>
      <w:r>
        <w:rPr>
          <w:sz w:val="21"/>
          <w:color w:val="000000"/>
        </w:rPr>
        <w:t>份。</w:t>
      </w:r>
    </w:p>
    <w:p>
      <w:pPr>
        <w:pStyle w:val="null3"/>
        <w:ind w:left="15" w:firstLine="410"/>
      </w:pPr>
      <w:r>
        <w:rPr>
          <w:sz w:val="21"/>
          <w:color w:val="000000"/>
        </w:rPr>
        <w:t>5.本合同（含附件）共计</w:t>
      </w:r>
      <w:r>
        <w:rPr>
          <w:u w:val="single"/>
        </w:rPr>
        <w:t xml:space="preserve">    </w:t>
      </w:r>
      <w:r>
        <w:rPr>
          <w:sz w:val="21"/>
          <w:color w:val="000000"/>
        </w:rPr>
        <w:t>页，缺页之合同为无效合同。</w:t>
      </w:r>
    </w:p>
    <w:p>
      <w:pPr>
        <w:pStyle w:val="null3"/>
        <w:ind w:left="15" w:firstLine="410"/>
      </w:pPr>
      <w:r>
        <w:rPr>
          <w:sz w:val="21"/>
          <w:color w:val="000000"/>
        </w:rPr>
        <w:t>6.本合同签约履约地点：广东省佛山市。</w:t>
      </w:r>
    </w:p>
    <w:p>
      <w:pPr>
        <w:pStyle w:val="null3"/>
        <w:ind w:left="15" w:firstLine="410"/>
      </w:pPr>
      <w:r>
        <w:rPr>
          <w:sz w:val="21"/>
          <w:color w:val="000000"/>
        </w:rPr>
        <w:t>7.本合同所指“书面通知”包括但不限于短信、电子邮件等数据电文的通知形式，到达时间以民事诉讼法的规定为准，但进行书面通知前后，通知方均有义务电话确认通知事项。</w:t>
      </w:r>
    </w:p>
    <w:p>
      <w:pPr>
        <w:pStyle w:val="null3"/>
        <w:ind w:left="15" w:firstLine="410"/>
      </w:pPr>
      <w:r>
        <w:rPr>
          <w:sz w:val="21"/>
          <w:color w:val="000000"/>
        </w:rPr>
        <w:t>8.双方均已对以上各条款及附件作充分了解，并明确理解由此而产生的相关权责。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21"/>
        <w:gridCol w:w="3949"/>
        <w:gridCol w:w="136"/>
      </w:tblGrid>
      <w:tr>
        <w:tc>
          <w:tcPr>
            <w:tcW w:type="dxa" w:w="4221"/>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rPr>
              <w:t>甲方（盖章）：</w:t>
            </w:r>
          </w:p>
          <w:p>
            <w:pPr>
              <w:pStyle w:val="null3"/>
            </w:pPr>
            <w:r>
              <w:rPr>
                <w:sz w:val="21"/>
                <w:color w:val="000000"/>
              </w:rPr>
              <w:t>代表：</w:t>
            </w:r>
            <w:r>
              <w:rPr>
                <w:sz w:val="19"/>
                <w:u w:val="single"/>
              </w:rPr>
              <w:t xml:space="preserve">                              </w:t>
            </w:r>
            <w:r>
              <w:rPr>
                <w:sz w:val="19"/>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c>
          <w:tcPr>
            <w:tcW w:type="dxa" w:w="39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乙方（盖章）：</w:t>
            </w:r>
          </w:p>
          <w:p>
            <w:pPr>
              <w:pStyle w:val="null3"/>
            </w:pPr>
            <w:r>
              <w:rPr>
                <w:sz w:val="21"/>
                <w:color w:val="000000"/>
              </w:rPr>
              <w:t>代表：</w:t>
            </w:r>
            <w:r>
              <w:rPr>
                <w:sz w:val="19"/>
                <w:u w:val="single"/>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c>
          <w:tcPr>
            <w:tcW w:type="dxa" w:w="13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4221"/>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85"/>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rPr>
              <w:t>收款方、开票方须与乙方一致，专户为：</w:t>
            </w:r>
          </w:p>
          <w:p>
            <w:pPr>
              <w:pStyle w:val="null3"/>
            </w:pPr>
            <w:r>
              <w:rPr>
                <w:sz w:val="21"/>
                <w:color w:val="000000"/>
              </w:rPr>
              <w:t>开户名称：</w:t>
            </w:r>
          </w:p>
          <w:p>
            <w:pPr>
              <w:pStyle w:val="null3"/>
            </w:pPr>
            <w:r>
              <w:rPr>
                <w:sz w:val="21"/>
                <w:color w:val="000000"/>
              </w:rPr>
              <w:t>银行账号：</w:t>
            </w:r>
          </w:p>
          <w:p>
            <w:pPr>
              <w:pStyle w:val="null3"/>
            </w:pPr>
            <w:r>
              <w:rPr>
                <w:sz w:val="21"/>
                <w:color w:val="000000"/>
              </w:rPr>
              <w:t>开户行：</w:t>
            </w:r>
          </w:p>
        </w:tc>
      </w:tr>
    </w:tbl>
    <w:p>
      <w:pPr>
        <w:pStyle w:val="null3"/>
      </w:pPr>
      <w:r>
        <w:rPr>
          <w:sz w:val="21"/>
          <w:b/>
          <w:color w:val="000000"/>
        </w:rPr>
        <w:t>合同附件清单：</w:t>
      </w:r>
    </w:p>
    <w:p>
      <w:pPr>
        <w:pStyle w:val="null3"/>
        <w:jc w:val="both"/>
      </w:pPr>
      <w:r>
        <w:rPr>
          <w:sz w:val="21"/>
          <w:b/>
          <w:color w:val="000000"/>
        </w:rPr>
        <w:t>附件一、《报价清单明细表》</w:t>
      </w:r>
    </w:p>
    <w:p>
      <w:pPr>
        <w:pStyle w:val="null3"/>
        <w:jc w:val="both"/>
      </w:pPr>
      <w:r>
        <w:rPr>
          <w:sz w:val="21"/>
          <w:b/>
          <w:color w:val="000000"/>
        </w:rPr>
        <w:t>附件二、《技术要求》</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440601-2026-00077</w:t>
      </w:r>
    </w:p>
    <w:p>
      <w:pPr>
        <w:pStyle w:val="null3"/>
        <w:jc w:val="center"/>
        <w:outlineLvl w:val="3"/>
      </w:pPr>
      <w:r>
        <w:rPr>
          <w:sz w:val="24"/>
          <w:b/>
        </w:rPr>
        <w:t>采购项目编号：</w:t>
      </w:r>
      <w:r>
        <w:rPr>
          <w:sz w:val="24"/>
          <w:b/>
        </w:rPr>
        <w:t>GDZC-25GZ178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佛山国创院联合培养开放平台信息管理系统项目</w:t>
      </w:r>
      <w:r>
        <w:rPr>
          <w:u w:val="single"/>
        </w:rPr>
        <w:t>”</w:t>
      </w:r>
      <w:r>
        <w:rPr/>
        <w:t>项目的招标[采购项目编号为：</w:t>
      </w:r>
      <w:r>
        <w:rPr>
          <w:u w:val="single"/>
        </w:rPr>
        <w:t>GDZC-25GZ178</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佛山国创院联合培养开放平台信息管理系统项目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佛山国创院联合培养开放平台信息管理系统项目</w:t>
      </w:r>
      <w:r>
        <w:rPr/>
        <w:t>”项目采购[采购项目编号为</w:t>
      </w:r>
      <w:r>
        <w:rPr/>
        <w:t>GDZC-25GZ178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粤港澳大湾区(佛山)先进制造业国家卓越工程师创新研究院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佛山国创院联合培养开放平台信息管理系统项目</w:t>
      </w:r>
      <w:r>
        <w:rPr/>
        <w:t>招标中获中标（采购项目编号：</w:t>
      </w:r>
      <w:r>
        <w:rPr/>
        <w:t>GDZC-25GZ178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佛山国创院联合培养开放平台信息管理系统项目</w:t>
      </w:r>
      <w:r>
        <w:rPr/>
        <w:t>”项目（采购项目编号：</w:t>
      </w:r>
      <w:r>
        <w:rPr/>
        <w:t>GDZC-25GZ178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