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项目需求书</w:t>
      </w:r>
    </w:p>
    <w:p>
      <w:r>
        <w:t>采购包1（仪器设备计量检定、校准服务（一））</w:t>
      </w:r>
      <w:r>
        <w:rPr>
          <w:b/>
        </w:rPr>
        <w:t>1.主要商务要求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40"/>
        <w:gridCol w:w="49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0" w:type="dxa"/>
          </w:tcPr>
          <w:p>
            <w:r>
              <w:t>标的提供的时间</w:t>
            </w:r>
          </w:p>
        </w:tc>
        <w:tc>
          <w:tcPr>
            <w:tcW w:w="4966" w:type="dxa"/>
          </w:tcPr>
          <w:p>
            <w:r>
              <w:rPr>
                <w:rFonts w:hint="eastAsia"/>
              </w:rPr>
              <w:t>自合同生效之日起一年</w:t>
            </w:r>
            <w:r>
              <w:t>或累计达到采购预算金额后结束。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0" w:type="dxa"/>
          </w:tcPr>
          <w:p>
            <w:r>
              <w:t>标的提供的地点</w:t>
            </w:r>
          </w:p>
        </w:tc>
        <w:tc>
          <w:tcPr>
            <w:tcW w:w="4966" w:type="dxa"/>
          </w:tcPr>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0" w:type="dxa"/>
          </w:tcPr>
          <w:p>
            <w:r>
              <w:t>付款方式</w:t>
            </w:r>
          </w:p>
        </w:tc>
        <w:tc>
          <w:tcPr>
            <w:tcW w:w="4966" w:type="dxa"/>
          </w:tcPr>
          <w:p>
            <w:r>
              <w:t>1期：支付比例100%,合同签订完成后，采购人根据中标人完成的数量，按实际结算总价，采用月结向中标人支付计量服务费用，服务期内支付总费用不得超过本项目总预算金额。 支付款项时，中标人同时向采购人提供如下资料： （1）中标人开具相应金额的正式发票； （2）结算周期内经双方确认的《技术服务结算清单》。 具体支付方式和时间如下： （1）中标人按月累计，将《技术服务结算清单》发给采购人核对无误后，采购人通知中标人按清单结算金额进行结算。 （2）经双方确认《技术服务结算清单》，中标人开具发票给采购人。采购人须在十五个工作日内将检定/校准费总额，通过银行转账、可异地使用的支票、现金等方式汇至中标人账户。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0" w:type="dxa"/>
          </w:tcPr>
          <w:p>
            <w:r>
              <w:t>验收要求</w:t>
            </w:r>
          </w:p>
        </w:tc>
        <w:tc>
          <w:tcPr>
            <w:tcW w:w="4966" w:type="dxa"/>
          </w:tcPr>
          <w:p>
            <w:r>
              <w:t>1期：验收标准：（1）正式颁布实施并有效的国家、行业、地方计量检定规程、校准规范等标准方法文件；获计量行政部门授权或CNAS认可的中标人自编技术规范和校准检测能力范围；仪器设备的技术说明书的技术要求。 （2）中标人接收仪器时要检查仪器外观是否完好，检测时检查仪器性能是否正常，如有问题应及时联系采购人报告情况。 （3）采购人对已完检的仪器及证书按验收标准进行验收，根据中标人出具的计量检定/校准证书，由仪器使用部门对计量结果进行确认，并将《仪器检定/校准证书、测试报告确认表》上传到设备管理系统作为验收合格的依据。 （4）验收方式详见：合同附件2《履约验收方案》。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0" w:type="dxa"/>
          </w:tcPr>
          <w:p>
            <w:r>
              <w:t>履约保证金</w:t>
            </w:r>
          </w:p>
        </w:tc>
        <w:tc>
          <w:tcPr>
            <w:tcW w:w="4966" w:type="dxa"/>
          </w:tcPr>
          <w:p>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0" w:type="dxa"/>
          </w:tcPr>
          <w:p>
            <w:r>
              <w:t>其他</w:t>
            </w:r>
          </w:p>
        </w:tc>
        <w:tc>
          <w:tcPr>
            <w:tcW w:w="4966" w:type="dxa"/>
          </w:tcPr>
          <w:p/>
        </w:tc>
      </w:tr>
    </w:tbl>
    <w:p>
      <w:r>
        <w:rPr>
          <w:b/>
        </w:rPr>
        <w:t>2.技术标准与要求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46"/>
        <w:gridCol w:w="831"/>
        <w:gridCol w:w="831"/>
        <w:gridCol w:w="846"/>
        <w:gridCol w:w="846"/>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jc w:val="center"/>
            </w:pPr>
            <w:r>
              <w:t>序号</w:t>
            </w:r>
          </w:p>
        </w:tc>
        <w:tc>
          <w:tcPr>
            <w:tcW w:w="831" w:type="dxa"/>
          </w:tcPr>
          <w:p>
            <w:pPr>
              <w:jc w:val="center"/>
            </w:pPr>
            <w:r>
              <w:t>品目名称</w:t>
            </w:r>
          </w:p>
        </w:tc>
        <w:tc>
          <w:tcPr>
            <w:tcW w:w="831" w:type="dxa"/>
          </w:tcPr>
          <w:p>
            <w:pPr>
              <w:jc w:val="center"/>
            </w:pPr>
            <w:r>
              <w:t>标的名称</w:t>
            </w:r>
          </w:p>
        </w:tc>
        <w:tc>
          <w:tcPr>
            <w:tcW w:w="831" w:type="dxa"/>
          </w:tcPr>
          <w:p>
            <w:pPr>
              <w:jc w:val="center"/>
            </w:pPr>
            <w:r>
              <w:t>单位</w:t>
            </w:r>
          </w:p>
        </w:tc>
        <w:tc>
          <w:tcPr>
            <w:tcW w:w="831" w:type="dxa"/>
          </w:tcPr>
          <w:p>
            <w:pPr>
              <w:jc w:val="center"/>
            </w:pPr>
            <w:r>
              <w:t>数量</w:t>
            </w:r>
          </w:p>
        </w:tc>
        <w:tc>
          <w:tcPr>
            <w:tcW w:w="831" w:type="dxa"/>
          </w:tcPr>
          <w:p>
            <w:pPr>
              <w:jc w:val="center"/>
            </w:pPr>
            <w:r>
              <w:t>分项预算单价（元）</w:t>
            </w:r>
          </w:p>
        </w:tc>
        <w:tc>
          <w:tcPr>
            <w:tcW w:w="831" w:type="dxa"/>
          </w:tcPr>
          <w:p>
            <w:pPr>
              <w:jc w:val="center"/>
            </w:pPr>
            <w:r>
              <w:t>分项预算总价（元）</w:t>
            </w:r>
          </w:p>
        </w:tc>
        <w:tc>
          <w:tcPr>
            <w:tcW w:w="831" w:type="dxa"/>
          </w:tcPr>
          <w:p>
            <w:pPr>
              <w:jc w:val="center"/>
            </w:pPr>
            <w:r>
              <w:t>权重%</w:t>
            </w:r>
          </w:p>
        </w:tc>
        <w:tc>
          <w:tcPr>
            <w:tcW w:w="831" w:type="dxa"/>
          </w:tcPr>
          <w:p>
            <w:r>
              <w:t>所属行业</w:t>
            </w:r>
          </w:p>
        </w:tc>
        <w:tc>
          <w:tcPr>
            <w:tcW w:w="831" w:type="dxa"/>
          </w:tcPr>
          <w:p>
            <w:pPr>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pPr>
            <w:r>
              <w:t>1</w:t>
            </w:r>
          </w:p>
        </w:tc>
        <w:tc>
          <w:tcPr>
            <w:tcW w:w="831" w:type="dxa"/>
          </w:tcPr>
          <w:p>
            <w:pPr>
              <w:jc w:val="left"/>
            </w:pPr>
            <w:r>
              <w:t>技术测试和分析服务</w:t>
            </w:r>
          </w:p>
        </w:tc>
        <w:tc>
          <w:tcPr>
            <w:tcW w:w="831" w:type="dxa"/>
          </w:tcPr>
          <w:p>
            <w:pPr>
              <w:jc w:val="left"/>
            </w:pPr>
            <w:r>
              <w:t>仪器设备计量检定、校准服务（一）</w:t>
            </w:r>
          </w:p>
        </w:tc>
        <w:tc>
          <w:tcPr>
            <w:tcW w:w="831" w:type="dxa"/>
          </w:tcPr>
          <w:p>
            <w:pPr>
              <w:jc w:val="left"/>
            </w:pPr>
            <w:r>
              <w:t>项</w:t>
            </w:r>
          </w:p>
        </w:tc>
        <w:tc>
          <w:tcPr>
            <w:tcW w:w="831" w:type="dxa"/>
          </w:tcPr>
          <w:p>
            <w:pPr>
              <w:jc w:val="right"/>
            </w:pPr>
            <w:r>
              <w:t>1.00</w:t>
            </w:r>
          </w:p>
        </w:tc>
        <w:tc>
          <w:tcPr>
            <w:tcW w:w="831" w:type="dxa"/>
          </w:tcPr>
          <w:p>
            <w:pPr>
              <w:jc w:val="right"/>
            </w:pPr>
          </w:p>
        </w:tc>
        <w:tc>
          <w:tcPr>
            <w:tcW w:w="831" w:type="dxa"/>
          </w:tcPr>
          <w:p>
            <w:pPr>
              <w:jc w:val="right"/>
            </w:pPr>
          </w:p>
        </w:tc>
        <w:tc>
          <w:tcPr>
            <w:tcW w:w="831" w:type="dxa"/>
          </w:tcPr>
          <w:p>
            <w:r>
              <w:t>100.0</w:t>
            </w:r>
          </w:p>
        </w:tc>
        <w:tc>
          <w:tcPr>
            <w:tcW w:w="831" w:type="dxa"/>
          </w:tcPr>
          <w:p>
            <w:r>
              <w:t>其他未列明行业</w:t>
            </w:r>
          </w:p>
        </w:tc>
        <w:tc>
          <w:tcPr>
            <w:tcW w:w="831" w:type="dxa"/>
          </w:tcPr>
          <w:p>
            <w:r>
              <w:t>详见附表一</w:t>
            </w:r>
          </w:p>
        </w:tc>
      </w:tr>
    </w:tbl>
    <w:p>
      <w:r>
        <w:t>备注：最终综合总报价=（各产品报价×各项产品权重）的相加值</w:t>
      </w:r>
    </w:p>
    <w:p/>
    <w:p>
      <w:r>
        <w:rPr>
          <w:b/>
        </w:rPr>
        <w:t>附表一：仪器设备计量检定、校准服务（一）</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pPr>
              <w:jc w:val="both"/>
            </w:pPr>
            <w:r>
              <w:rPr>
                <w:b/>
                <w:sz w:val="24"/>
              </w:rPr>
              <w:t>一、项目采购内容及清单</w:t>
            </w:r>
          </w:p>
          <w:p>
            <w:pPr>
              <w:ind w:firstLine="422"/>
              <w:jc w:val="both"/>
            </w:pPr>
            <w:r>
              <w:rPr>
                <w:b/>
                <w:sz w:val="24"/>
              </w:rPr>
              <w:t>（一）采购项目一览表</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04"/>
              <w:gridCol w:w="318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6" w:type="dxa"/>
                  <w:tcBorders>
                    <w:top w:val="single" w:color="000000" w:sz="4" w:space="0"/>
                    <w:left w:val="single" w:color="000000" w:sz="4" w:space="0"/>
                    <w:bottom w:val="single" w:color="000000" w:sz="4" w:space="0"/>
                    <w:right w:val="single" w:color="000000" w:sz="4" w:space="0"/>
                  </w:tcBorders>
                  <w:vAlign w:val="top"/>
                </w:tcPr>
                <w:p>
                  <w:pPr>
                    <w:jc w:val="center"/>
                  </w:pPr>
                  <w:r>
                    <w:rPr>
                      <w:b/>
                      <w:sz w:val="24"/>
                    </w:rPr>
                    <w:t>项目内容</w:t>
                  </w:r>
                </w:p>
              </w:tc>
              <w:tc>
                <w:tcPr>
                  <w:tcW w:w="3192" w:type="dxa"/>
                  <w:tcBorders>
                    <w:top w:val="single" w:color="000000" w:sz="4" w:space="0"/>
                    <w:left w:val="nil"/>
                    <w:bottom w:val="single" w:color="000000" w:sz="4" w:space="0"/>
                    <w:right w:val="single" w:color="000000" w:sz="4" w:space="0"/>
                  </w:tcBorders>
                  <w:vAlign w:val="top"/>
                </w:tcPr>
                <w:p>
                  <w:pPr>
                    <w:jc w:val="center"/>
                  </w:pPr>
                  <w:r>
                    <w:rPr>
                      <w:b/>
                      <w:sz w:val="24"/>
                    </w:rPr>
                    <w:t>服务期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06" w:type="dxa"/>
                  <w:tcBorders>
                    <w:top w:val="nil"/>
                    <w:left w:val="single" w:color="000000" w:sz="4" w:space="0"/>
                    <w:bottom w:val="single" w:color="000000" w:sz="4" w:space="0"/>
                    <w:right w:val="single" w:color="000000" w:sz="4" w:space="0"/>
                  </w:tcBorders>
                </w:tcPr>
                <w:p>
                  <w:pPr>
                    <w:jc w:val="center"/>
                  </w:pPr>
                  <w:r>
                    <w:rPr>
                      <w:sz w:val="24"/>
                    </w:rPr>
                    <w:t>仪器设备计量检定、校准服务</w:t>
                  </w:r>
                </w:p>
              </w:tc>
              <w:tc>
                <w:tcPr>
                  <w:tcW w:w="3192" w:type="dxa"/>
                  <w:tcBorders>
                    <w:top w:val="nil"/>
                    <w:left w:val="nil"/>
                    <w:bottom w:val="single" w:color="000000" w:sz="4" w:space="0"/>
                    <w:right w:val="single" w:color="000000" w:sz="4" w:space="0"/>
                  </w:tcBorders>
                </w:tcPr>
                <w:p>
                  <w:pPr>
                    <w:jc w:val="center"/>
                  </w:pPr>
                  <w:r>
                    <w:rPr>
                      <w:rFonts w:hint="eastAsia"/>
                    </w:rPr>
                    <w:t>自合同生效之日起一年或累计达到采购预算金额后结束</w:t>
                  </w:r>
                </w:p>
              </w:tc>
            </w:tr>
          </w:tbl>
          <w:p>
            <w:pPr>
              <w:ind w:firstLine="422"/>
              <w:jc w:val="both"/>
            </w:pPr>
            <w:r>
              <w:rPr>
                <w:b/>
                <w:sz w:val="24"/>
              </w:rPr>
              <w:t>（二）采购清单一览表</w:t>
            </w:r>
          </w:p>
          <w:p>
            <w:pPr>
              <w:ind w:firstLine="422"/>
              <w:jc w:val="both"/>
            </w:pPr>
            <w:r>
              <w:rPr>
                <w:b/>
                <w:sz w:val="24"/>
              </w:rPr>
              <w:t>详见附件1-采购清单。</w:t>
            </w:r>
          </w:p>
          <w:p>
            <w:pPr>
              <w:ind w:firstLine="422"/>
              <w:jc w:val="both"/>
            </w:pPr>
            <w:r>
              <w:rPr>
                <w:b/>
                <w:sz w:val="24"/>
              </w:rPr>
              <w:t>（三）其它要求</w:t>
            </w:r>
          </w:p>
          <w:p>
            <w:pPr>
              <w:ind w:firstLine="420"/>
              <w:jc w:val="both"/>
            </w:pPr>
            <w:r>
              <w:rPr>
                <w:sz w:val="24"/>
              </w:rPr>
              <w:t>1.中标资格的取得并不意味服务期内清单所有产品均需计量、最终下单数量按采购人的要求，投标人应充分考虑存在的风险。</w:t>
            </w:r>
          </w:p>
          <w:p>
            <w:pPr>
              <w:ind w:firstLine="420"/>
              <w:jc w:val="both"/>
            </w:pPr>
            <w:r>
              <w:rPr>
                <w:sz w:val="24"/>
              </w:rPr>
              <w:t>2.服务期内中标包组的清单产品仅代表采购人现阶段所需计量的仪器，如以后有调整增加或新购的仪器也须按此招标文件的标准执行。</w:t>
            </w:r>
          </w:p>
          <w:p>
            <w:pPr>
              <w:jc w:val="both"/>
            </w:pPr>
            <w:r>
              <w:rPr>
                <w:b/>
                <w:sz w:val="24"/>
              </w:rPr>
              <w:t>二、项目概述</w:t>
            </w:r>
          </w:p>
          <w:p>
            <w:pPr>
              <w:ind w:firstLine="420"/>
              <w:jc w:val="both"/>
            </w:pPr>
            <w:r>
              <w:rPr>
                <w:sz w:val="24"/>
              </w:rPr>
              <w:t>1.项目地点：计量服务方（以下称“中标人”）按采购人指定地点（广州质量监督检测研究院各院区）上门收取仪器设备至中标人所在地进行检测或按采购人指定地点上门检测。</w:t>
            </w:r>
          </w:p>
          <w:p>
            <w:pPr>
              <w:ind w:firstLine="420"/>
              <w:jc w:val="both"/>
            </w:pPr>
            <w:r>
              <w:rPr>
                <w:sz w:val="24"/>
              </w:rPr>
              <w:t>2.项目内容：本项目是对采购人的实验室及现场检验检测用仪器设备实施委外计量。</w:t>
            </w:r>
          </w:p>
          <w:p>
            <w:pPr>
              <w:ind w:firstLine="420"/>
              <w:jc w:val="both"/>
            </w:pPr>
            <w:r>
              <w:rPr>
                <w:sz w:val="24"/>
              </w:rPr>
              <w:t>3.本项目为交钥匙承包项目，中标人承包及负责招标文件对中标人要求的一切事宜及责任。</w:t>
            </w:r>
          </w:p>
          <w:p>
            <w:pPr>
              <w:ind w:firstLine="420"/>
              <w:jc w:val="both"/>
            </w:pPr>
            <w:r>
              <w:rPr>
                <w:sz w:val="24"/>
              </w:rPr>
              <w:t>4.一般情况下中标人不得以任何方式转包或分包本项目，如有特殊情况中标人经采购人同意方可将计量服务委托给具备相应计量资质的单位计量，所有费用由中标人承担。</w:t>
            </w:r>
          </w:p>
          <w:p>
            <w:pPr>
              <w:jc w:val="both"/>
            </w:pPr>
            <w:r>
              <w:rPr>
                <w:b/>
                <w:sz w:val="24"/>
              </w:rPr>
              <w:t>三、技术服务要求</w:t>
            </w:r>
          </w:p>
          <w:p>
            <w:pPr>
              <w:ind w:firstLine="420"/>
              <w:jc w:val="both"/>
            </w:pPr>
            <w:r>
              <w:rPr>
                <w:b/>
                <w:sz w:val="24"/>
              </w:rPr>
              <w:t>★1.通用技术条款</w:t>
            </w:r>
          </w:p>
          <w:p>
            <w:pPr>
              <w:ind w:firstLine="480"/>
              <w:jc w:val="both"/>
            </w:pPr>
            <w:r>
              <w:rPr>
                <w:sz w:val="24"/>
              </w:rPr>
              <w:t>1.1采用标准及规范：按本项目相应的送检清单、依据现行有效的国家检定规程、国家校准规范、行业标准以及采购人特定要求对仪器设备进行计量, 确保仪器设备检测数据结论的准确、可靠，并可溯源至国家计量基准。</w:t>
            </w:r>
          </w:p>
          <w:p>
            <w:pPr>
              <w:ind w:firstLine="522"/>
              <w:jc w:val="both"/>
            </w:pPr>
            <w:r>
              <w:rPr>
                <w:b/>
                <w:sz w:val="24"/>
              </w:rPr>
              <w:t>2.技术服务的目标</w:t>
            </w:r>
          </w:p>
          <w:p>
            <w:pPr>
              <w:ind w:firstLine="520"/>
              <w:jc w:val="both"/>
            </w:pPr>
            <w:r>
              <w:rPr>
                <w:sz w:val="24"/>
              </w:rPr>
              <w:t>对采购人所送检的计量器具/设备进行检定或校准/检测或于采购人所在地开展现场检定/校准,并对检定或校准的仪器/设备出具检定证书或校准证书/检测报告。</w:t>
            </w:r>
          </w:p>
          <w:p>
            <w:pPr>
              <w:ind w:firstLine="522"/>
              <w:jc w:val="both"/>
            </w:pPr>
            <w:r>
              <w:rPr>
                <w:b/>
                <w:sz w:val="24"/>
              </w:rPr>
              <w:t>3.技术服务的内容</w:t>
            </w:r>
          </w:p>
          <w:p>
            <w:pPr>
              <w:ind w:firstLine="480"/>
              <w:jc w:val="both"/>
            </w:pPr>
            <w:r>
              <w:rPr>
                <w:sz w:val="24"/>
              </w:rPr>
              <w:t>3.1根据国家计量技术规范以及采购人特定技术要求，对压力表（要求压力测量范围(0～0.4)MPa，扩展不确定度U不优于0.002MPa）等仪器设备进行量值溯源技术服务。优先采用正式颁布实施并有效的计量检定规程、技术规范等标准方法，开展已取得计量行政部门授权的计量检定服务和CNAS（中国实验室认可委员会）认可资质的校准检测服务，优先出具相关检定证书、校准证书或检测报告；同时存在多个标准方法文件时，按国家、行业、地方的顺序选择。</w:t>
            </w:r>
          </w:p>
          <w:p>
            <w:pPr>
              <w:ind w:firstLine="480"/>
              <w:jc w:val="both"/>
            </w:pPr>
            <w:r>
              <w:rPr>
                <w:sz w:val="24"/>
              </w:rPr>
              <w:t>3.2缺少相关标准方法文件的，应用受托方完成的量值溯源方法或量值溯源装置/系统研究成果，对相应仪器设备开展校准，对具有CNAS认可资质的校准出具CNAS认可校准报告,未经CNAS认可的出具非认可校准报告。</w:t>
            </w:r>
          </w:p>
          <w:p>
            <w:pPr>
              <w:ind w:firstLine="480"/>
              <w:jc w:val="both"/>
            </w:pPr>
            <w:r>
              <w:rPr>
                <w:sz w:val="24"/>
              </w:rPr>
              <w:t>3.3当采购人指定的方法文件适用时，优先采用采购人指定的方法文件。</w:t>
            </w:r>
          </w:p>
          <w:p>
            <w:pPr>
              <w:ind w:firstLine="480"/>
              <w:jc w:val="both"/>
            </w:pPr>
            <w:r>
              <w:rPr>
                <w:sz w:val="24"/>
              </w:rPr>
              <w:t>3.4中标人对采购人送检的仪器设备计量完毕后需粘贴计量标识，或根据采购人的需求将计量标识交由采购人粘贴。</w:t>
            </w:r>
          </w:p>
          <w:p>
            <w:pPr>
              <w:ind w:firstLine="482"/>
              <w:jc w:val="both"/>
            </w:pPr>
            <w:r>
              <w:rPr>
                <w:b/>
                <w:sz w:val="24"/>
              </w:rPr>
              <w:t>4.技术服务的方式和地点</w:t>
            </w:r>
          </w:p>
          <w:p>
            <w:pPr>
              <w:ind w:firstLine="480"/>
              <w:jc w:val="both"/>
            </w:pPr>
            <w:r>
              <w:rPr>
                <w:sz w:val="24"/>
              </w:rPr>
              <w:t>4.1技术服务的方式：采购人将需要检定/校准/检测的计量器具或设备送至中标人进行检定/校准/检测或中标人到采购人所在地开展现场检定/校准/检测。</w:t>
            </w:r>
          </w:p>
          <w:p>
            <w:pPr>
              <w:ind w:firstLine="480"/>
              <w:jc w:val="both"/>
            </w:pPr>
            <w:r>
              <w:rPr>
                <w:sz w:val="24"/>
              </w:rPr>
              <w:t>4.2技术服务地点：视被检仪器设备情况选择在采购人现场或中标人实验室</w:t>
            </w:r>
          </w:p>
          <w:p>
            <w:pPr>
              <w:ind w:firstLine="482"/>
              <w:jc w:val="both"/>
            </w:pPr>
            <w:r>
              <w:rPr>
                <w:b/>
                <w:sz w:val="24"/>
              </w:rPr>
              <w:t>5.技术服务响应要求</w:t>
            </w:r>
          </w:p>
          <w:p>
            <w:pPr>
              <w:ind w:firstLine="480"/>
              <w:jc w:val="both"/>
            </w:pPr>
            <w:r>
              <w:rPr>
                <w:sz w:val="24"/>
              </w:rPr>
              <w:t>5.1中标人在采购人要求上门取送仪器设备时24小时内响应（必须完全响应采购人要求上门取送或现场计量的要求）。</w:t>
            </w:r>
          </w:p>
          <w:p>
            <w:pPr>
              <w:ind w:firstLine="480"/>
              <w:jc w:val="both"/>
            </w:pPr>
            <w:r>
              <w:rPr>
                <w:sz w:val="24"/>
              </w:rPr>
              <w:t>5.2采购人现场检测的，中标人按约定时间到采购人指定的现场对需要检测的仪器进行检测，检测完毕后 10 个工作日内出具证书。</w:t>
            </w:r>
          </w:p>
          <w:p>
            <w:pPr>
              <w:ind w:firstLine="480"/>
              <w:jc w:val="both"/>
            </w:pPr>
            <w:r>
              <w:rPr>
                <w:sz w:val="24"/>
              </w:rPr>
              <w:t>5.3中标人实验室检测的，正常情况下，送检后的仪器设备7个工作日内计量完毕并送回采购人，10 个工作日内出具相应证书（如有特殊仪器或中标人标准器外送等特殊情况,中标人需在接收仪器时将情况告知采购人）。</w:t>
            </w:r>
          </w:p>
          <w:p>
            <w:pPr>
              <w:ind w:firstLine="480"/>
              <w:jc w:val="both"/>
            </w:pPr>
            <w:r>
              <w:rPr>
                <w:sz w:val="24"/>
              </w:rPr>
              <w:t>5.4加急仪器设备的计量从收到计量通知后3个工作日内完成计量并送回。</w:t>
            </w:r>
          </w:p>
          <w:p>
            <w:pPr>
              <w:ind w:firstLine="482"/>
              <w:jc w:val="both"/>
            </w:pPr>
            <w:r>
              <w:rPr>
                <w:b/>
                <w:sz w:val="24"/>
              </w:rPr>
              <w:t>6.需配备的专用仪器仪表及工器具</w:t>
            </w:r>
          </w:p>
          <w:p>
            <w:pPr>
              <w:ind w:firstLine="420"/>
              <w:jc w:val="both"/>
            </w:pPr>
            <w:r>
              <w:rPr>
                <w:sz w:val="24"/>
              </w:rPr>
              <w:t>▲6.1具有履行合同所必需的量值溯源传递的标准器具和专业技术资质能力（须提供书面声明并加盖公章）。</w:t>
            </w:r>
          </w:p>
          <w:p>
            <w:pPr>
              <w:ind w:firstLine="420"/>
              <w:jc w:val="both"/>
            </w:pPr>
            <w:r>
              <w:rPr>
                <w:sz w:val="24"/>
              </w:rPr>
              <w:t>6.2中标人配置的标准器具需满足计量检测需要，投入使用的计量标准设备经过溯源。</w:t>
            </w:r>
          </w:p>
          <w:p>
            <w:pPr>
              <w:ind w:firstLine="420"/>
              <w:jc w:val="both"/>
            </w:pPr>
            <w:r>
              <w:rPr>
                <w:sz w:val="24"/>
              </w:rPr>
              <w:t>▲7.具有独立承担检定、校准并出具相对应证书的能力。</w:t>
            </w:r>
          </w:p>
          <w:p>
            <w:pPr>
              <w:ind w:firstLine="422"/>
              <w:jc w:val="both"/>
            </w:pPr>
            <w:r>
              <w:rPr>
                <w:b/>
                <w:sz w:val="24"/>
              </w:rPr>
              <w:t>★8.如有特殊情况且经采购人同意后，中标人可委托外包计量的仪器设备项数不得超过本采购项目总数量的5%。（提供承诺函并加盖公章）</w:t>
            </w:r>
          </w:p>
          <w:p>
            <w:pPr>
              <w:ind w:firstLine="422"/>
              <w:jc w:val="both"/>
            </w:pPr>
            <w:r>
              <w:rPr>
                <w:b/>
                <w:sz w:val="24"/>
              </w:rPr>
              <w:t>9.技术文件要求</w:t>
            </w:r>
          </w:p>
          <w:p>
            <w:pPr>
              <w:ind w:firstLine="420"/>
              <w:jc w:val="both"/>
            </w:pPr>
            <w:r>
              <w:rPr>
                <w:sz w:val="24"/>
              </w:rPr>
              <w:t>9.1中标人应在规定的时间内送回已经计量完毕的仪器设备，并同时提交相应的检测数据的书面及电子版计量报告原件（除因现场检测、当日领取等特殊原因外），报告内容中的仪器设备名称及设备编号等设备信息应与采购人提供的信息一致。</w:t>
            </w:r>
          </w:p>
          <w:p>
            <w:pPr>
              <w:ind w:firstLine="420"/>
              <w:jc w:val="both"/>
            </w:pPr>
            <w:r>
              <w:rPr>
                <w:sz w:val="24"/>
              </w:rPr>
              <w:t>9.2中标人对采购人送检的仪器设备计量完毕后需粘贴计量标识，或根据采购人的需求将计量标识交由采购人粘贴。</w:t>
            </w:r>
          </w:p>
          <w:p>
            <w:pPr>
              <w:ind w:firstLine="422"/>
              <w:jc w:val="both"/>
            </w:pPr>
            <w:r>
              <w:rPr>
                <w:b/>
                <w:sz w:val="24"/>
              </w:rPr>
              <w:t>10.项目执行过程的响应要求</w:t>
            </w:r>
          </w:p>
          <w:p>
            <w:pPr>
              <w:ind w:firstLine="420"/>
              <w:jc w:val="both"/>
            </w:pPr>
            <w:r>
              <w:rPr>
                <w:sz w:val="24"/>
              </w:rPr>
              <w:t>10.1中标人在采购人要求上门取送仪器设备时24小时内响应（必须完全响应采购人要求上门取送或现场计量的要求），送检后的仪器设备如无特殊原因7个工作日内计量完毕并送回采购人，若需延长计量时间须经采购人同意。</w:t>
            </w:r>
          </w:p>
          <w:p>
            <w:pPr>
              <w:ind w:firstLine="420"/>
              <w:jc w:val="both"/>
            </w:pPr>
            <w:r>
              <w:rPr>
                <w:sz w:val="24"/>
              </w:rPr>
              <w:t>10.2加急仪器设备的计量从收到计量通知后3个工作日内完成计量并送回。</w:t>
            </w:r>
          </w:p>
          <w:p>
            <w:pPr>
              <w:ind w:firstLine="420"/>
              <w:jc w:val="both"/>
            </w:pPr>
            <w:r>
              <w:rPr>
                <w:b/>
                <w:sz w:val="24"/>
              </w:rPr>
              <w:t>11.投标人需具有检定结论、CNAS认可的校准（不含检测）能力。</w:t>
            </w:r>
          </w:p>
          <w:p>
            <w:pPr>
              <w:jc w:val="both"/>
            </w:pPr>
            <w:r>
              <w:rPr>
                <w:b/>
                <w:sz w:val="24"/>
              </w:rPr>
              <w:t>四、质量保证</w:t>
            </w:r>
          </w:p>
          <w:p>
            <w:pPr>
              <w:ind w:firstLine="420"/>
              <w:jc w:val="both"/>
            </w:pPr>
            <w:r>
              <w:rPr>
                <w:sz w:val="24"/>
              </w:rPr>
              <w:t>1.中标人保</w:t>
            </w:r>
            <w:bookmarkStart w:id="0" w:name="_GoBack"/>
            <w:bookmarkEnd w:id="0"/>
            <w:r>
              <w:rPr>
                <w:sz w:val="24"/>
              </w:rPr>
              <w:t>证合同项下计量完毕后的仪器设备必须完全符合上述计量规范及专业技术要求，不得提供虚假数据，如有提供虚假数据，一经发现，采购人有权解除本合同，且因此而产生的一切费用、损失（包括间接的损失、名誉的受损等）和责任由中标人承担。</w:t>
            </w:r>
          </w:p>
          <w:p>
            <w:pPr>
              <w:ind w:firstLine="420"/>
              <w:jc w:val="both"/>
            </w:pPr>
            <w:r>
              <w:rPr>
                <w:sz w:val="24"/>
              </w:rPr>
              <w:t>2.合同项下的仪器设备在采购人验收合格之日起7个工作日内如对计量数据有疑问，中标人应就采购人的疑问负责做出解释，如需重新计量，中标人负责重新计量3个工作日完成（重新计量费用包含在报价中）。采购人收到返回的仪器设备当日起为验收日期。</w:t>
            </w:r>
          </w:p>
          <w:p>
            <w:pPr>
              <w:jc w:val="both"/>
            </w:pPr>
            <w:r>
              <w:rPr>
                <w:b/>
                <w:sz w:val="24"/>
              </w:rPr>
              <w:t>五、投标报价要求</w:t>
            </w:r>
          </w:p>
          <w:p>
            <w:pPr>
              <w:ind w:firstLine="420"/>
              <w:jc w:val="both"/>
            </w:pPr>
            <w:r>
              <w:rPr>
                <w:sz w:val="24"/>
              </w:rPr>
              <w:t>1.本项目报价以送检货物清单“单价基准价”为基准，采用投标折扣率的方式报价，本项目不接受有选择性的投标报价，只允许整体报一个折扣率，且所报的折扣率应当适用于所有送检货物单品。如投标人没有采用投标折扣率的方式报价，则被视为无效投标。</w:t>
            </w:r>
          </w:p>
          <w:p>
            <w:pPr>
              <w:ind w:firstLine="420"/>
              <w:jc w:val="both"/>
            </w:pPr>
            <w:r>
              <w:rPr>
                <w:sz w:val="24"/>
              </w:rPr>
              <w:t>投标折扣率＝（结算价格÷单价基准价）×100％。投标折扣率在0%-100%范围内取值，若报价超出此范围则投标无效。投标折扣率必须为固定报价，不接受区间报价。</w:t>
            </w:r>
          </w:p>
          <w:p>
            <w:pPr>
              <w:ind w:firstLine="420"/>
              <w:jc w:val="both"/>
            </w:pPr>
            <w:r>
              <w:rPr>
                <w:sz w:val="24"/>
              </w:rPr>
              <w:t>例如：某货物的单价基准价为100元，投标拟优惠20元，结算价格为80元，则投标折扣率为：（80.00/100.00）*100%=80.00%。</w:t>
            </w:r>
          </w:p>
          <w:p>
            <w:pPr>
              <w:ind w:firstLine="420"/>
              <w:jc w:val="both"/>
            </w:pPr>
            <w:r>
              <w:rPr>
                <w:sz w:val="24"/>
              </w:rPr>
              <w:t>2.实际结算总价=“送检货物清单”中规定的单价基准价×中标折扣率×实际采购数量。</w:t>
            </w:r>
          </w:p>
          <w:p>
            <w:pPr>
              <w:ind w:firstLine="420"/>
              <w:jc w:val="both"/>
            </w:pPr>
            <w:r>
              <w:rPr>
                <w:sz w:val="24"/>
              </w:rPr>
              <w:t>3.评标委员会认为投标人的报价明显低于其他通过符合性审查投标人的报价，有可能影响产品质量或者不能诚信履约的，应当要求其在评标现场合理的时间内提供加盖投标产品生产厂家公章的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415" w:type="dxa"/>
          </w:tcPr>
          <w:p>
            <w:r>
              <w:t>2</w:t>
            </w:r>
          </w:p>
        </w:tc>
        <w:tc>
          <w:tcPr>
            <w:tcW w:w="5814" w:type="dxa"/>
          </w:tcPr>
          <w:p>
            <w:pPr>
              <w:ind w:firstLine="420"/>
              <w:jc w:val="both"/>
            </w:pPr>
            <w:r>
              <w:rPr>
                <w:b/>
                <w:sz w:val="24"/>
              </w:rPr>
              <w:t>★1.通用技术条款</w:t>
            </w:r>
          </w:p>
          <w:p>
            <w:pPr>
              <w:ind w:firstLine="480"/>
              <w:jc w:val="both"/>
            </w:pPr>
            <w:r>
              <w:rPr>
                <w:sz w:val="24"/>
              </w:rPr>
              <w:t>1.1采用标准及规范：按本项目相应的送检清单、依据现行有效的国家检定规程、国家校准规范、行业标准以及采购人特定要求对仪器设备进行计量, 确保仪器设备检测数据结论的准确、可靠，并可溯源至国家计量基准。</w:t>
            </w:r>
          </w:p>
          <w:p>
            <w:pPr>
              <w:ind w:firstLine="480"/>
              <w:jc w:val="both"/>
            </w:pPr>
            <w:r>
              <w:rPr>
                <w:b/>
                <w:sz w:val="24"/>
              </w:rPr>
              <w:t>★8.如有特殊情况且经采购人同意后，中标人可委托外包计量的仪器设备项数不得超过本采购项目总数量的5%。（提供承诺函并加盖公章）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w:t>
            </w:r>
          </w:p>
        </w:tc>
        <w:tc>
          <w:tcPr>
            <w:tcW w:w="415" w:type="dxa"/>
          </w:tcPr>
          <w:p>
            <w:r>
              <w:t>3</w:t>
            </w:r>
          </w:p>
        </w:tc>
        <w:tc>
          <w:tcPr>
            <w:tcW w:w="5814" w:type="dxa"/>
          </w:tcPr>
          <w:p>
            <w:pPr>
              <w:ind w:firstLine="420"/>
              <w:jc w:val="both"/>
            </w:pPr>
            <w:r>
              <w:rPr>
                <w:sz w:val="24"/>
              </w:rPr>
              <w:t>▲6.1具有履行合同所必需的量值溯源传递的标准器具和专业技术资质能力（须提供书面声明并加盖公章）。</w:t>
            </w:r>
          </w:p>
          <w:p>
            <w:pPr>
              <w:ind w:firstLine="420"/>
              <w:jc w:val="both"/>
            </w:pPr>
            <w:r>
              <w:rPr>
                <w:sz w:val="24"/>
              </w:rPr>
              <w:t>▲7.具有独立承担检定、校准并出具相对应证书的能力。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Pr>
        <w:pStyle w:val="21"/>
        <w:ind w:firstLine="210"/>
      </w:pP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56389"/>
    </w:sdtPr>
    <w:sdtContent>
      <w:p>
        <w:pPr>
          <w:pStyle w:val="17"/>
          <w:jc w:val="center"/>
        </w:pPr>
        <w:r>
          <w:fldChar w:fldCharType="begin"/>
        </w:r>
        <w:r>
          <w:instrText xml:space="preserve">PAGE   \* MERGEFORMAT</w:instrText>
        </w:r>
        <w:r>
          <w:fldChar w:fldCharType="separate"/>
        </w:r>
        <w:r>
          <w:rPr>
            <w:lang w:val="zh-CN"/>
          </w:rPr>
          <w:t>186</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8BFDD"/>
    <w:multiLevelType w:val="multilevel"/>
    <w:tmpl w:val="F4C8BFDD"/>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b w:val="0"/>
        <w:bCs w:val="0"/>
      </w:rPr>
    </w:lvl>
    <w:lvl w:ilvl="2" w:tentative="0">
      <w:start w:val="1"/>
      <w:numFmt w:val="decimal"/>
      <w:isLgl/>
      <w:lvlText w:val="%1.%2.%3."/>
      <w:lvlJc w:val="left"/>
      <w:pPr>
        <w:ind w:left="720" w:hanging="720"/>
      </w:pPr>
      <w:rPr>
        <w:rFonts w:hint="eastAsia"/>
        <w:sz w:val="32"/>
        <w:szCs w:val="32"/>
      </w:rPr>
    </w:lvl>
    <w:lvl w:ilvl="3" w:tentative="0">
      <w:start w:val="1"/>
      <w:numFmt w:val="decimal"/>
      <w:isLgl/>
      <w:lvlText w:val="%1.%2.%3.%4."/>
      <w:lvlJc w:val="left"/>
      <w:pPr>
        <w:ind w:left="110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MGRlYmFhMDY4ZGFlY2M5MDRlY2I2ZGEwNGJhYzgifQ=="/>
  </w:docVars>
  <w:rsids>
    <w:rsidRoot w:val="00D76248"/>
    <w:rsid w:val="00014E01"/>
    <w:rsid w:val="000265BE"/>
    <w:rsid w:val="00037CEE"/>
    <w:rsid w:val="00085B0A"/>
    <w:rsid w:val="000C7607"/>
    <w:rsid w:val="000F14E7"/>
    <w:rsid w:val="00124C50"/>
    <w:rsid w:val="001647F9"/>
    <w:rsid w:val="00165146"/>
    <w:rsid w:val="00181678"/>
    <w:rsid w:val="001A72F7"/>
    <w:rsid w:val="001C7ACD"/>
    <w:rsid w:val="001F2B40"/>
    <w:rsid w:val="00217A2E"/>
    <w:rsid w:val="00265E75"/>
    <w:rsid w:val="002A2432"/>
    <w:rsid w:val="002A26F7"/>
    <w:rsid w:val="002A3CE9"/>
    <w:rsid w:val="00352F46"/>
    <w:rsid w:val="00355039"/>
    <w:rsid w:val="003A43BF"/>
    <w:rsid w:val="003C622A"/>
    <w:rsid w:val="003F7F18"/>
    <w:rsid w:val="00402BB4"/>
    <w:rsid w:val="0040730A"/>
    <w:rsid w:val="00441BBE"/>
    <w:rsid w:val="00451FFC"/>
    <w:rsid w:val="004647E8"/>
    <w:rsid w:val="00465451"/>
    <w:rsid w:val="00466500"/>
    <w:rsid w:val="004A0FAC"/>
    <w:rsid w:val="00550B5D"/>
    <w:rsid w:val="005840F8"/>
    <w:rsid w:val="005C08BB"/>
    <w:rsid w:val="005F1373"/>
    <w:rsid w:val="005F5FB8"/>
    <w:rsid w:val="00610488"/>
    <w:rsid w:val="006558A6"/>
    <w:rsid w:val="00687CAB"/>
    <w:rsid w:val="006A10F6"/>
    <w:rsid w:val="006B11D4"/>
    <w:rsid w:val="006C638D"/>
    <w:rsid w:val="00702DE4"/>
    <w:rsid w:val="00702FAA"/>
    <w:rsid w:val="0070618C"/>
    <w:rsid w:val="007107A1"/>
    <w:rsid w:val="00716293"/>
    <w:rsid w:val="00735530"/>
    <w:rsid w:val="00762C3F"/>
    <w:rsid w:val="00771036"/>
    <w:rsid w:val="007901E4"/>
    <w:rsid w:val="007910AC"/>
    <w:rsid w:val="0079652A"/>
    <w:rsid w:val="007C423D"/>
    <w:rsid w:val="008225BF"/>
    <w:rsid w:val="008255FF"/>
    <w:rsid w:val="0084219E"/>
    <w:rsid w:val="00862EBC"/>
    <w:rsid w:val="00873DCC"/>
    <w:rsid w:val="008B6A8B"/>
    <w:rsid w:val="008B6E4A"/>
    <w:rsid w:val="008E5075"/>
    <w:rsid w:val="009072B6"/>
    <w:rsid w:val="0098512F"/>
    <w:rsid w:val="00986CE3"/>
    <w:rsid w:val="009E378E"/>
    <w:rsid w:val="009F023C"/>
    <w:rsid w:val="009F4A7A"/>
    <w:rsid w:val="009F54A9"/>
    <w:rsid w:val="00A1535E"/>
    <w:rsid w:val="00A1657F"/>
    <w:rsid w:val="00A75343"/>
    <w:rsid w:val="00AA6D51"/>
    <w:rsid w:val="00AC1468"/>
    <w:rsid w:val="00AC22CF"/>
    <w:rsid w:val="00AF1688"/>
    <w:rsid w:val="00AF5D52"/>
    <w:rsid w:val="00B02B6D"/>
    <w:rsid w:val="00B36823"/>
    <w:rsid w:val="00B524F8"/>
    <w:rsid w:val="00B5454C"/>
    <w:rsid w:val="00B5598E"/>
    <w:rsid w:val="00B6536F"/>
    <w:rsid w:val="00B86CEB"/>
    <w:rsid w:val="00B91A08"/>
    <w:rsid w:val="00BA5398"/>
    <w:rsid w:val="00BC6506"/>
    <w:rsid w:val="00BF151F"/>
    <w:rsid w:val="00C13675"/>
    <w:rsid w:val="00C347D6"/>
    <w:rsid w:val="00C560DE"/>
    <w:rsid w:val="00C57147"/>
    <w:rsid w:val="00C60EF6"/>
    <w:rsid w:val="00C641AE"/>
    <w:rsid w:val="00C66B02"/>
    <w:rsid w:val="00C84852"/>
    <w:rsid w:val="00C95E8D"/>
    <w:rsid w:val="00CA3001"/>
    <w:rsid w:val="00CA3BF8"/>
    <w:rsid w:val="00CB4154"/>
    <w:rsid w:val="00CB46E3"/>
    <w:rsid w:val="00CB4E68"/>
    <w:rsid w:val="00CE30F6"/>
    <w:rsid w:val="00D12C38"/>
    <w:rsid w:val="00D12C82"/>
    <w:rsid w:val="00D15AF7"/>
    <w:rsid w:val="00D32731"/>
    <w:rsid w:val="00D447BF"/>
    <w:rsid w:val="00D76248"/>
    <w:rsid w:val="00DF4A12"/>
    <w:rsid w:val="00E37029"/>
    <w:rsid w:val="00E5390F"/>
    <w:rsid w:val="00E77D02"/>
    <w:rsid w:val="00EA3C03"/>
    <w:rsid w:val="00EC49E9"/>
    <w:rsid w:val="00EE6A21"/>
    <w:rsid w:val="00F34831"/>
    <w:rsid w:val="00F91C5F"/>
    <w:rsid w:val="00FA2F05"/>
    <w:rsid w:val="00FA73B9"/>
    <w:rsid w:val="00FC675D"/>
    <w:rsid w:val="00FC762E"/>
    <w:rsid w:val="00FD272E"/>
    <w:rsid w:val="00FE0221"/>
    <w:rsid w:val="00FE2711"/>
    <w:rsid w:val="00FF7C64"/>
    <w:rsid w:val="01782C45"/>
    <w:rsid w:val="01D61136"/>
    <w:rsid w:val="02075377"/>
    <w:rsid w:val="020C44BB"/>
    <w:rsid w:val="027D6579"/>
    <w:rsid w:val="02D71101"/>
    <w:rsid w:val="03241876"/>
    <w:rsid w:val="042277B0"/>
    <w:rsid w:val="04C856CF"/>
    <w:rsid w:val="04F2751D"/>
    <w:rsid w:val="0516342C"/>
    <w:rsid w:val="05867A3A"/>
    <w:rsid w:val="05CC12E2"/>
    <w:rsid w:val="05CE06E8"/>
    <w:rsid w:val="073A38EF"/>
    <w:rsid w:val="0759513E"/>
    <w:rsid w:val="07710560"/>
    <w:rsid w:val="07A0768E"/>
    <w:rsid w:val="089E193E"/>
    <w:rsid w:val="08E30F28"/>
    <w:rsid w:val="095A6680"/>
    <w:rsid w:val="0A763C4D"/>
    <w:rsid w:val="0B09418A"/>
    <w:rsid w:val="0BB66F9D"/>
    <w:rsid w:val="0C64074E"/>
    <w:rsid w:val="0D29243C"/>
    <w:rsid w:val="0E810BF1"/>
    <w:rsid w:val="0F84395A"/>
    <w:rsid w:val="0FAD6CFB"/>
    <w:rsid w:val="100640C6"/>
    <w:rsid w:val="10C6786D"/>
    <w:rsid w:val="10E40044"/>
    <w:rsid w:val="11497DFD"/>
    <w:rsid w:val="11AE10A0"/>
    <w:rsid w:val="1216528C"/>
    <w:rsid w:val="12BB7813"/>
    <w:rsid w:val="139F6FB4"/>
    <w:rsid w:val="14887A48"/>
    <w:rsid w:val="14B3630E"/>
    <w:rsid w:val="14DC7B1F"/>
    <w:rsid w:val="14E15C34"/>
    <w:rsid w:val="155A34EB"/>
    <w:rsid w:val="156E7814"/>
    <w:rsid w:val="161D370A"/>
    <w:rsid w:val="162645DF"/>
    <w:rsid w:val="166448CD"/>
    <w:rsid w:val="169F1E1F"/>
    <w:rsid w:val="18494F29"/>
    <w:rsid w:val="19B825C0"/>
    <w:rsid w:val="1A302B5B"/>
    <w:rsid w:val="1AAA1F45"/>
    <w:rsid w:val="1BA57132"/>
    <w:rsid w:val="1C1B6428"/>
    <w:rsid w:val="1C477673"/>
    <w:rsid w:val="1C821D21"/>
    <w:rsid w:val="1CD759A8"/>
    <w:rsid w:val="1CD75A11"/>
    <w:rsid w:val="1E264941"/>
    <w:rsid w:val="1E58492F"/>
    <w:rsid w:val="1F1D5B17"/>
    <w:rsid w:val="1FA37E2C"/>
    <w:rsid w:val="1FF13E14"/>
    <w:rsid w:val="200F7270"/>
    <w:rsid w:val="204D1B46"/>
    <w:rsid w:val="206A71CC"/>
    <w:rsid w:val="207B3859"/>
    <w:rsid w:val="209634ED"/>
    <w:rsid w:val="20E9518E"/>
    <w:rsid w:val="21693A14"/>
    <w:rsid w:val="21D52EDF"/>
    <w:rsid w:val="227C4BFC"/>
    <w:rsid w:val="23A83C63"/>
    <w:rsid w:val="23E62CF0"/>
    <w:rsid w:val="24443213"/>
    <w:rsid w:val="24C34ACD"/>
    <w:rsid w:val="25AB1F63"/>
    <w:rsid w:val="25F628FE"/>
    <w:rsid w:val="26467763"/>
    <w:rsid w:val="27484115"/>
    <w:rsid w:val="279D4D50"/>
    <w:rsid w:val="27C052F3"/>
    <w:rsid w:val="280A3758"/>
    <w:rsid w:val="28123A6A"/>
    <w:rsid w:val="2A0C2A72"/>
    <w:rsid w:val="2A4A2EC0"/>
    <w:rsid w:val="2AC35EDE"/>
    <w:rsid w:val="2AD51A4C"/>
    <w:rsid w:val="2BAC38E2"/>
    <w:rsid w:val="2C932FD6"/>
    <w:rsid w:val="2D2568F7"/>
    <w:rsid w:val="2E346FDA"/>
    <w:rsid w:val="2E41718E"/>
    <w:rsid w:val="2E612427"/>
    <w:rsid w:val="2EB93809"/>
    <w:rsid w:val="2EBE24C5"/>
    <w:rsid w:val="2F00322A"/>
    <w:rsid w:val="2F123F46"/>
    <w:rsid w:val="2F8813FA"/>
    <w:rsid w:val="300967C8"/>
    <w:rsid w:val="307A6139"/>
    <w:rsid w:val="30C85944"/>
    <w:rsid w:val="312C6390"/>
    <w:rsid w:val="31644100"/>
    <w:rsid w:val="3204466B"/>
    <w:rsid w:val="324B208A"/>
    <w:rsid w:val="32CC5CB8"/>
    <w:rsid w:val="32D0288E"/>
    <w:rsid w:val="32F823E5"/>
    <w:rsid w:val="334659D7"/>
    <w:rsid w:val="336244FF"/>
    <w:rsid w:val="33642C0C"/>
    <w:rsid w:val="347B4A7C"/>
    <w:rsid w:val="34980AC4"/>
    <w:rsid w:val="351B0B66"/>
    <w:rsid w:val="35584DBD"/>
    <w:rsid w:val="3566192B"/>
    <w:rsid w:val="359E23A5"/>
    <w:rsid w:val="37022B4C"/>
    <w:rsid w:val="37C07296"/>
    <w:rsid w:val="37DF3574"/>
    <w:rsid w:val="38F607BE"/>
    <w:rsid w:val="3A046550"/>
    <w:rsid w:val="3A2940F7"/>
    <w:rsid w:val="3A4233A8"/>
    <w:rsid w:val="3A557B1D"/>
    <w:rsid w:val="3ABA43F9"/>
    <w:rsid w:val="3B27770B"/>
    <w:rsid w:val="3BFB37CF"/>
    <w:rsid w:val="3C515F6B"/>
    <w:rsid w:val="3C787A30"/>
    <w:rsid w:val="3D024169"/>
    <w:rsid w:val="3D9A0A0F"/>
    <w:rsid w:val="3EF23B8C"/>
    <w:rsid w:val="3EFB3DF1"/>
    <w:rsid w:val="3F9A01DD"/>
    <w:rsid w:val="3FF2305A"/>
    <w:rsid w:val="3FFD010D"/>
    <w:rsid w:val="40D554EA"/>
    <w:rsid w:val="40F579D2"/>
    <w:rsid w:val="41175B2C"/>
    <w:rsid w:val="4161523E"/>
    <w:rsid w:val="41A24424"/>
    <w:rsid w:val="41E719A3"/>
    <w:rsid w:val="42460C12"/>
    <w:rsid w:val="42B702D9"/>
    <w:rsid w:val="43D804C6"/>
    <w:rsid w:val="43F679EB"/>
    <w:rsid w:val="44C164DB"/>
    <w:rsid w:val="44E17603"/>
    <w:rsid w:val="45BC4EF4"/>
    <w:rsid w:val="45F11042"/>
    <w:rsid w:val="464529FA"/>
    <w:rsid w:val="468D3CAA"/>
    <w:rsid w:val="46FC5E48"/>
    <w:rsid w:val="4764152B"/>
    <w:rsid w:val="47B57E4D"/>
    <w:rsid w:val="48741AB6"/>
    <w:rsid w:val="488900F6"/>
    <w:rsid w:val="48EE6F7C"/>
    <w:rsid w:val="49FC1D3A"/>
    <w:rsid w:val="4A97553B"/>
    <w:rsid w:val="4B9E69C3"/>
    <w:rsid w:val="4BCD4058"/>
    <w:rsid w:val="4DEE4078"/>
    <w:rsid w:val="4F6F0BB5"/>
    <w:rsid w:val="50611571"/>
    <w:rsid w:val="50CD4459"/>
    <w:rsid w:val="51136310"/>
    <w:rsid w:val="51320F8C"/>
    <w:rsid w:val="51742F1D"/>
    <w:rsid w:val="51A62257"/>
    <w:rsid w:val="52A5743C"/>
    <w:rsid w:val="52F8283D"/>
    <w:rsid w:val="54574766"/>
    <w:rsid w:val="54CF2CCC"/>
    <w:rsid w:val="55414C10"/>
    <w:rsid w:val="55CC1F95"/>
    <w:rsid w:val="56707EE0"/>
    <w:rsid w:val="57AE0B6B"/>
    <w:rsid w:val="582F6E12"/>
    <w:rsid w:val="58460A32"/>
    <w:rsid w:val="584E40D2"/>
    <w:rsid w:val="5A5874C6"/>
    <w:rsid w:val="5ACB4E94"/>
    <w:rsid w:val="5AE623A0"/>
    <w:rsid w:val="5AEB51CD"/>
    <w:rsid w:val="5AF41CC7"/>
    <w:rsid w:val="5D0607CD"/>
    <w:rsid w:val="5D352CFB"/>
    <w:rsid w:val="5DAE4240"/>
    <w:rsid w:val="5DBC7EFC"/>
    <w:rsid w:val="5E224DE3"/>
    <w:rsid w:val="5E4775F9"/>
    <w:rsid w:val="5EDE3506"/>
    <w:rsid w:val="5F1E295A"/>
    <w:rsid w:val="5F3F29C6"/>
    <w:rsid w:val="5F6662FF"/>
    <w:rsid w:val="5FA62A45"/>
    <w:rsid w:val="5FB2049C"/>
    <w:rsid w:val="603A20E8"/>
    <w:rsid w:val="60664036"/>
    <w:rsid w:val="61963666"/>
    <w:rsid w:val="61F74F7D"/>
    <w:rsid w:val="61FF01EB"/>
    <w:rsid w:val="622D4D58"/>
    <w:rsid w:val="623E6F65"/>
    <w:rsid w:val="62FF1DE8"/>
    <w:rsid w:val="63B219B9"/>
    <w:rsid w:val="63C254FE"/>
    <w:rsid w:val="64A47AAA"/>
    <w:rsid w:val="65172A3D"/>
    <w:rsid w:val="65217654"/>
    <w:rsid w:val="65357458"/>
    <w:rsid w:val="65956E9C"/>
    <w:rsid w:val="660E0C4E"/>
    <w:rsid w:val="66B83AE4"/>
    <w:rsid w:val="66C537B1"/>
    <w:rsid w:val="66F347C2"/>
    <w:rsid w:val="67184229"/>
    <w:rsid w:val="676F7060"/>
    <w:rsid w:val="677668F5"/>
    <w:rsid w:val="681A3FD0"/>
    <w:rsid w:val="684C7F51"/>
    <w:rsid w:val="6B735ED1"/>
    <w:rsid w:val="6B785296"/>
    <w:rsid w:val="6BF30DC0"/>
    <w:rsid w:val="6CC94E87"/>
    <w:rsid w:val="6CEF1588"/>
    <w:rsid w:val="6D9F521E"/>
    <w:rsid w:val="6DC8031A"/>
    <w:rsid w:val="6DD95E87"/>
    <w:rsid w:val="6E39049D"/>
    <w:rsid w:val="6F810491"/>
    <w:rsid w:val="71502811"/>
    <w:rsid w:val="722A2AFC"/>
    <w:rsid w:val="72723CF6"/>
    <w:rsid w:val="72A746B3"/>
    <w:rsid w:val="72F571CC"/>
    <w:rsid w:val="738448F4"/>
    <w:rsid w:val="73892FCE"/>
    <w:rsid w:val="739A51B5"/>
    <w:rsid w:val="73C54FAE"/>
    <w:rsid w:val="73E57FB4"/>
    <w:rsid w:val="74864AE5"/>
    <w:rsid w:val="74B3391D"/>
    <w:rsid w:val="75082832"/>
    <w:rsid w:val="75963E34"/>
    <w:rsid w:val="75A52113"/>
    <w:rsid w:val="75F1698E"/>
    <w:rsid w:val="75F337DE"/>
    <w:rsid w:val="75F80517"/>
    <w:rsid w:val="77E141C3"/>
    <w:rsid w:val="77E72B75"/>
    <w:rsid w:val="780610DF"/>
    <w:rsid w:val="782B13DC"/>
    <w:rsid w:val="78F910FB"/>
    <w:rsid w:val="792409F5"/>
    <w:rsid w:val="7992190A"/>
    <w:rsid w:val="79CC534E"/>
    <w:rsid w:val="7AC7547F"/>
    <w:rsid w:val="7AF97A75"/>
    <w:rsid w:val="7B5A6766"/>
    <w:rsid w:val="7C2B6866"/>
    <w:rsid w:val="7C5F1B5A"/>
    <w:rsid w:val="7C6D5FE6"/>
    <w:rsid w:val="7D2A2168"/>
    <w:rsid w:val="7D9B4E14"/>
    <w:rsid w:val="7E803CC8"/>
    <w:rsid w:val="7EE04732"/>
    <w:rsid w:val="7F6D2127"/>
    <w:rsid w:val="7F720FD4"/>
    <w:rsid w:val="7FF6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140" w:after="140" w:line="416" w:lineRule="auto"/>
      <w:jc w:val="left"/>
      <w:outlineLvl w:val="1"/>
    </w:pPr>
    <w:rPr>
      <w:rFonts w:eastAsia="宋体" w:asciiTheme="minorEastAsia" w:hAnsiTheme="minorEastAsia" w:cstheme="minorEastAsia"/>
      <w:b/>
      <w:bCs/>
      <w:sz w:val="24"/>
      <w:szCs w:val="21"/>
    </w:rPr>
  </w:style>
  <w:style w:type="paragraph" w:styleId="4">
    <w:name w:val="heading 3"/>
    <w:basedOn w:val="1"/>
    <w:next w:val="1"/>
    <w:link w:val="33"/>
    <w:semiHidden/>
    <w:unhideWhenUsed/>
    <w:qFormat/>
    <w:uiPriority w:val="0"/>
    <w:pPr>
      <w:keepNext/>
      <w:keepLines/>
      <w:spacing w:before="140" w:after="140" w:line="416" w:lineRule="auto"/>
      <w:outlineLvl w:val="2"/>
    </w:pPr>
    <w:rPr>
      <w:rFonts w:ascii="Calibri" w:hAnsi="Calibri" w:eastAsia="宋体"/>
      <w:b/>
      <w:bCs/>
      <w:sz w:val="24"/>
      <w:szCs w:val="32"/>
    </w:rPr>
  </w:style>
  <w:style w:type="paragraph" w:styleId="5">
    <w:name w:val="heading 4"/>
    <w:basedOn w:val="1"/>
    <w:next w:val="1"/>
    <w:link w:val="32"/>
    <w:semiHidden/>
    <w:unhideWhenUsed/>
    <w:qFormat/>
    <w:uiPriority w:val="0"/>
    <w:pPr>
      <w:keepNext/>
      <w:keepLines/>
      <w:spacing w:before="40" w:after="50" w:line="376" w:lineRule="auto"/>
      <w:jc w:val="left"/>
      <w:outlineLvl w:val="3"/>
    </w:pPr>
    <w:rPr>
      <w:rFonts w:ascii="Arial" w:hAnsi="Arial" w:eastAsia="黑体"/>
      <w:b/>
      <w:bCs/>
      <w:sz w:val="24"/>
      <w:szCs w:val="28"/>
    </w:rPr>
  </w:style>
  <w:style w:type="paragraph" w:styleId="6">
    <w:name w:val="heading 5"/>
    <w:basedOn w:val="1"/>
    <w:next w:val="1"/>
    <w:link w:val="36"/>
    <w:semiHidden/>
    <w:unhideWhenUsed/>
    <w:qFormat/>
    <w:uiPriority w:val="0"/>
    <w:pPr>
      <w:keepNext/>
      <w:keepLines/>
      <w:numPr>
        <w:ilvl w:val="4"/>
        <w:numId w:val="1"/>
      </w:numPr>
      <w:spacing w:before="280" w:after="290" w:line="372" w:lineRule="auto"/>
      <w:outlineLvl w:val="4"/>
    </w:pPr>
    <w:rPr>
      <w:rFonts w:ascii="Times New Roman" w:hAnsi="Times New Roman" w:eastAsia="宋体" w:cs="Times New Roman"/>
      <w:b/>
      <w:kern w:val="0"/>
      <w:sz w:val="28"/>
      <w:szCs w:val="20"/>
    </w:rPr>
  </w:style>
  <w:style w:type="paragraph" w:styleId="7">
    <w:name w:val="heading 6"/>
    <w:basedOn w:val="1"/>
    <w:next w:val="1"/>
    <w:link w:val="37"/>
    <w:semiHidden/>
    <w:unhideWhenUsed/>
    <w:qFormat/>
    <w:uiPriority w:val="0"/>
    <w:pPr>
      <w:keepNext/>
      <w:keepLines/>
      <w:numPr>
        <w:ilvl w:val="5"/>
        <w:numId w:val="1"/>
      </w:numPr>
      <w:spacing w:before="240" w:after="64" w:line="317" w:lineRule="auto"/>
      <w:outlineLvl w:val="5"/>
    </w:pPr>
    <w:rPr>
      <w:rFonts w:ascii="Arial" w:hAnsi="Arial" w:eastAsia="黑体"/>
      <w:b/>
      <w:sz w:val="24"/>
      <w:szCs w:val="24"/>
    </w:rPr>
  </w:style>
  <w:style w:type="paragraph" w:styleId="8">
    <w:name w:val="heading 7"/>
    <w:basedOn w:val="1"/>
    <w:next w:val="1"/>
    <w:link w:val="38"/>
    <w:semiHidden/>
    <w:unhideWhenUsed/>
    <w:qFormat/>
    <w:uiPriority w:val="0"/>
    <w:pPr>
      <w:keepNext/>
      <w:keepLines/>
      <w:numPr>
        <w:ilvl w:val="6"/>
        <w:numId w:val="1"/>
      </w:numPr>
      <w:spacing w:before="240" w:after="64" w:line="317" w:lineRule="auto"/>
      <w:outlineLvl w:val="6"/>
    </w:pPr>
    <w:rPr>
      <w:b/>
      <w:sz w:val="24"/>
      <w:szCs w:val="24"/>
    </w:rPr>
  </w:style>
  <w:style w:type="paragraph" w:styleId="9">
    <w:name w:val="heading 8"/>
    <w:basedOn w:val="1"/>
    <w:next w:val="1"/>
    <w:link w:val="39"/>
    <w:semiHidden/>
    <w:unhideWhenUsed/>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link w:val="40"/>
    <w:semiHidden/>
    <w:unhideWhenUsed/>
    <w:qFormat/>
    <w:uiPriority w:val="0"/>
    <w:pPr>
      <w:keepNext/>
      <w:keepLines/>
      <w:numPr>
        <w:ilvl w:val="8"/>
        <w:numId w:val="1"/>
      </w:numPr>
      <w:spacing w:before="240" w:after="64" w:line="317" w:lineRule="auto"/>
      <w:outlineLvl w:val="8"/>
    </w:pPr>
    <w:rPr>
      <w:rFonts w:ascii="Arial" w:hAnsi="Arial" w:eastAsia="黑体"/>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szCs w:val="21"/>
    </w:rPr>
  </w:style>
  <w:style w:type="paragraph" w:styleId="12">
    <w:name w:val="annotation text"/>
    <w:basedOn w:val="1"/>
    <w:link w:val="72"/>
    <w:qFormat/>
    <w:uiPriority w:val="0"/>
    <w:pPr>
      <w:jc w:val="left"/>
    </w:pPr>
  </w:style>
  <w:style w:type="paragraph" w:styleId="13">
    <w:name w:val="Body Text"/>
    <w:basedOn w:val="1"/>
    <w:next w:val="14"/>
    <w:link w:val="41"/>
    <w:qFormat/>
    <w:uiPriority w:val="0"/>
    <w:pPr>
      <w:spacing w:after="120"/>
    </w:pPr>
    <w:rPr>
      <w:szCs w:val="24"/>
    </w:rPr>
  </w:style>
  <w:style w:type="paragraph" w:styleId="14">
    <w:name w:val="Body Text 2"/>
    <w:basedOn w:val="1"/>
    <w:qFormat/>
    <w:uiPriority w:val="0"/>
    <w:pPr>
      <w:jc w:val="center"/>
    </w:pPr>
    <w:rPr>
      <w:szCs w:val="21"/>
    </w:rPr>
  </w:style>
  <w:style w:type="paragraph" w:styleId="15">
    <w:name w:val="Body Text Indent"/>
    <w:basedOn w:val="1"/>
    <w:link w:val="60"/>
    <w:semiHidden/>
    <w:unhideWhenUsed/>
    <w:qFormat/>
    <w:uiPriority w:val="99"/>
    <w:pPr>
      <w:spacing w:after="120"/>
      <w:ind w:left="420" w:leftChars="200"/>
    </w:pPr>
  </w:style>
  <w:style w:type="paragraph" w:styleId="16">
    <w:name w:val="Balloon Text"/>
    <w:basedOn w:val="1"/>
    <w:link w:val="7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annotation subject"/>
    <w:basedOn w:val="12"/>
    <w:next w:val="12"/>
    <w:link w:val="73"/>
    <w:semiHidden/>
    <w:unhideWhenUsed/>
    <w:qFormat/>
    <w:uiPriority w:val="99"/>
    <w:rPr>
      <w:b/>
      <w:bCs/>
    </w:rPr>
  </w:style>
  <w:style w:type="paragraph" w:styleId="21">
    <w:name w:val="Body Text First Indent"/>
    <w:basedOn w:val="13"/>
    <w:qFormat/>
    <w:uiPriority w:val="0"/>
    <w:pPr>
      <w:ind w:firstLine="420" w:firstLineChars="100"/>
    </w:pPr>
  </w:style>
  <w:style w:type="paragraph" w:styleId="22">
    <w:name w:val="Body Text First Indent 2"/>
    <w:basedOn w:val="15"/>
    <w:link w:val="61"/>
    <w:semiHidden/>
    <w:unhideWhenUsed/>
    <w:qFormat/>
    <w:uiPriority w:val="99"/>
    <w:pPr>
      <w:ind w:firstLine="420" w:firstLineChars="200"/>
    </w:pPr>
  </w:style>
  <w:style w:type="character" w:styleId="25">
    <w:name w:val="Strong"/>
    <w:basedOn w:val="24"/>
    <w:qFormat/>
    <w:uiPriority w:val="0"/>
    <w:rPr>
      <w:b/>
    </w:rPr>
  </w:style>
  <w:style w:type="character" w:styleId="26">
    <w:name w:val="Emphasis"/>
    <w:basedOn w:val="24"/>
    <w:qFormat/>
    <w:uiPriority w:val="20"/>
    <w:rPr>
      <w:i/>
    </w:rPr>
  </w:style>
  <w:style w:type="character" w:styleId="27">
    <w:name w:val="Hyperlink"/>
    <w:basedOn w:val="24"/>
    <w:qFormat/>
    <w:uiPriority w:val="0"/>
    <w:rPr>
      <w:color w:val="0000FF"/>
      <w:u w:val="single"/>
    </w:rPr>
  </w:style>
  <w:style w:type="character" w:styleId="28">
    <w:name w:val="HTML Code"/>
    <w:basedOn w:val="24"/>
    <w:semiHidden/>
    <w:unhideWhenUsed/>
    <w:qFormat/>
    <w:uiPriority w:val="99"/>
    <w:rPr>
      <w:rFonts w:ascii="Courier New" w:hAnsi="Courier New"/>
      <w:sz w:val="20"/>
    </w:rPr>
  </w:style>
  <w:style w:type="character" w:styleId="29">
    <w:name w:val="annotation reference"/>
    <w:basedOn w:val="24"/>
    <w:semiHidden/>
    <w:unhideWhenUsed/>
    <w:qFormat/>
    <w:uiPriority w:val="99"/>
    <w:rPr>
      <w:sz w:val="21"/>
      <w:szCs w:val="21"/>
    </w:rPr>
  </w:style>
  <w:style w:type="character" w:customStyle="1" w:styleId="30">
    <w:name w:val="标题 2 Char"/>
    <w:basedOn w:val="24"/>
    <w:link w:val="3"/>
    <w:semiHidden/>
    <w:qFormat/>
    <w:uiPriority w:val="0"/>
    <w:rPr>
      <w:rFonts w:eastAsia="宋体" w:asciiTheme="minorEastAsia" w:hAnsiTheme="minorEastAsia" w:cstheme="minorEastAsia"/>
      <w:b/>
      <w:bCs/>
      <w:sz w:val="24"/>
      <w:szCs w:val="21"/>
    </w:rPr>
  </w:style>
  <w:style w:type="character" w:customStyle="1" w:styleId="31">
    <w:name w:val="标题 1 Char"/>
    <w:basedOn w:val="24"/>
    <w:link w:val="2"/>
    <w:qFormat/>
    <w:uiPriority w:val="0"/>
    <w:rPr>
      <w:b/>
      <w:bCs/>
      <w:kern w:val="44"/>
      <w:sz w:val="44"/>
      <w:szCs w:val="44"/>
    </w:rPr>
  </w:style>
  <w:style w:type="character" w:customStyle="1" w:styleId="32">
    <w:name w:val="标题 4 Char"/>
    <w:basedOn w:val="24"/>
    <w:link w:val="5"/>
    <w:semiHidden/>
    <w:qFormat/>
    <w:uiPriority w:val="0"/>
    <w:rPr>
      <w:rFonts w:ascii="Arial" w:hAnsi="Arial" w:eastAsia="黑体"/>
      <w:b/>
      <w:bCs/>
      <w:sz w:val="24"/>
      <w:szCs w:val="28"/>
    </w:rPr>
  </w:style>
  <w:style w:type="character" w:customStyle="1" w:styleId="33">
    <w:name w:val="标题 3 Char"/>
    <w:basedOn w:val="24"/>
    <w:link w:val="4"/>
    <w:semiHidden/>
    <w:qFormat/>
    <w:uiPriority w:val="0"/>
    <w:rPr>
      <w:rFonts w:ascii="Calibri" w:hAnsi="Calibri" w:eastAsia="宋体"/>
      <w:b/>
      <w:bCs/>
      <w:sz w:val="24"/>
      <w:szCs w:val="32"/>
    </w:rPr>
  </w:style>
  <w:style w:type="character" w:customStyle="1" w:styleId="34">
    <w:name w:val="页眉 Char"/>
    <w:basedOn w:val="24"/>
    <w:link w:val="18"/>
    <w:qFormat/>
    <w:uiPriority w:val="0"/>
    <w:rPr>
      <w:sz w:val="18"/>
      <w:szCs w:val="18"/>
    </w:rPr>
  </w:style>
  <w:style w:type="character" w:customStyle="1" w:styleId="35">
    <w:name w:val="页脚 Char"/>
    <w:basedOn w:val="24"/>
    <w:link w:val="17"/>
    <w:qFormat/>
    <w:uiPriority w:val="99"/>
    <w:rPr>
      <w:sz w:val="18"/>
      <w:szCs w:val="18"/>
    </w:rPr>
  </w:style>
  <w:style w:type="character" w:customStyle="1" w:styleId="36">
    <w:name w:val="标题 5 Char"/>
    <w:basedOn w:val="24"/>
    <w:link w:val="6"/>
    <w:semiHidden/>
    <w:qFormat/>
    <w:uiPriority w:val="0"/>
    <w:rPr>
      <w:rFonts w:ascii="Times New Roman" w:hAnsi="Times New Roman" w:eastAsia="宋体" w:cs="Times New Roman"/>
      <w:b/>
      <w:kern w:val="0"/>
      <w:sz w:val="28"/>
      <w:szCs w:val="20"/>
    </w:rPr>
  </w:style>
  <w:style w:type="character" w:customStyle="1" w:styleId="37">
    <w:name w:val="标题 6 Char"/>
    <w:basedOn w:val="24"/>
    <w:link w:val="7"/>
    <w:semiHidden/>
    <w:qFormat/>
    <w:uiPriority w:val="0"/>
    <w:rPr>
      <w:rFonts w:ascii="Arial" w:hAnsi="Arial" w:eastAsia="黑体"/>
      <w:b/>
      <w:sz w:val="24"/>
      <w:szCs w:val="24"/>
    </w:rPr>
  </w:style>
  <w:style w:type="character" w:customStyle="1" w:styleId="38">
    <w:name w:val="标题 7 Char"/>
    <w:basedOn w:val="24"/>
    <w:link w:val="8"/>
    <w:semiHidden/>
    <w:qFormat/>
    <w:uiPriority w:val="0"/>
    <w:rPr>
      <w:b/>
      <w:sz w:val="24"/>
      <w:szCs w:val="24"/>
    </w:rPr>
  </w:style>
  <w:style w:type="character" w:customStyle="1" w:styleId="39">
    <w:name w:val="标题 8 Char"/>
    <w:basedOn w:val="24"/>
    <w:link w:val="9"/>
    <w:semiHidden/>
    <w:qFormat/>
    <w:uiPriority w:val="0"/>
    <w:rPr>
      <w:rFonts w:ascii="Arial" w:hAnsi="Arial" w:eastAsia="黑体"/>
      <w:sz w:val="24"/>
      <w:szCs w:val="24"/>
    </w:rPr>
  </w:style>
  <w:style w:type="character" w:customStyle="1" w:styleId="40">
    <w:name w:val="标题 9 Char"/>
    <w:basedOn w:val="24"/>
    <w:link w:val="10"/>
    <w:semiHidden/>
    <w:qFormat/>
    <w:uiPriority w:val="0"/>
    <w:rPr>
      <w:rFonts w:ascii="Arial" w:hAnsi="Arial" w:eastAsia="黑体"/>
      <w:szCs w:val="24"/>
    </w:rPr>
  </w:style>
  <w:style w:type="character" w:customStyle="1" w:styleId="41">
    <w:name w:val="正文文本 Char"/>
    <w:basedOn w:val="24"/>
    <w:link w:val="13"/>
    <w:qFormat/>
    <w:uiPriority w:val="0"/>
    <w:rPr>
      <w:szCs w:val="24"/>
    </w:rPr>
  </w:style>
  <w:style w:type="character" w:customStyle="1" w:styleId="42">
    <w:name w:val="font11"/>
    <w:basedOn w:val="24"/>
    <w:qFormat/>
    <w:uiPriority w:val="0"/>
    <w:rPr>
      <w:rFonts w:hint="eastAsia" w:ascii="宋体" w:hAnsi="宋体" w:eastAsia="宋体" w:cs="宋体"/>
      <w:color w:val="000000"/>
      <w:sz w:val="20"/>
      <w:szCs w:val="20"/>
      <w:u w:val="none"/>
    </w:rPr>
  </w:style>
  <w:style w:type="character" w:customStyle="1" w:styleId="43">
    <w:name w:val="font101"/>
    <w:basedOn w:val="24"/>
    <w:qFormat/>
    <w:uiPriority w:val="0"/>
    <w:rPr>
      <w:rFonts w:hint="eastAsia" w:ascii="宋体" w:hAnsi="宋体" w:eastAsia="宋体" w:cs="宋体"/>
      <w:color w:val="000000"/>
      <w:sz w:val="20"/>
      <w:szCs w:val="20"/>
      <w:u w:val="none"/>
      <w:vertAlign w:val="superscript"/>
    </w:rPr>
  </w:style>
  <w:style w:type="character" w:customStyle="1" w:styleId="44">
    <w:name w:val="font31"/>
    <w:basedOn w:val="24"/>
    <w:qFormat/>
    <w:uiPriority w:val="0"/>
    <w:rPr>
      <w:rFonts w:hint="eastAsia" w:ascii="宋体" w:hAnsi="宋体" w:eastAsia="宋体" w:cs="宋体"/>
      <w:color w:val="000000"/>
      <w:sz w:val="20"/>
      <w:szCs w:val="20"/>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font91"/>
    <w:basedOn w:val="24"/>
    <w:qFormat/>
    <w:uiPriority w:val="0"/>
    <w:rPr>
      <w:rFonts w:hint="eastAsia" w:ascii="宋体" w:hAnsi="宋体" w:eastAsia="宋体" w:cs="宋体"/>
      <w:color w:val="000000"/>
      <w:sz w:val="20"/>
      <w:szCs w:val="20"/>
      <w:u w:val="none"/>
    </w:rPr>
  </w:style>
  <w:style w:type="character" w:customStyle="1" w:styleId="47">
    <w:name w:val="font81"/>
    <w:basedOn w:val="24"/>
    <w:qFormat/>
    <w:uiPriority w:val="0"/>
    <w:rPr>
      <w:rFonts w:hint="default" w:ascii="Arial" w:hAnsi="Arial" w:cs="Arial"/>
      <w:color w:val="000000"/>
      <w:sz w:val="20"/>
      <w:szCs w:val="20"/>
      <w:u w:val="none"/>
    </w:rPr>
  </w:style>
  <w:style w:type="character" w:customStyle="1" w:styleId="48">
    <w:name w:val="font61"/>
    <w:basedOn w:val="24"/>
    <w:qFormat/>
    <w:uiPriority w:val="0"/>
    <w:rPr>
      <w:rFonts w:hint="eastAsia" w:ascii="宋体" w:hAnsi="宋体" w:eastAsia="宋体" w:cs="宋体"/>
      <w:color w:val="000000"/>
      <w:sz w:val="20"/>
      <w:szCs w:val="20"/>
      <w:u w:val="none"/>
    </w:rPr>
  </w:style>
  <w:style w:type="character" w:customStyle="1" w:styleId="49">
    <w:name w:val="font122"/>
    <w:basedOn w:val="24"/>
    <w:qFormat/>
    <w:uiPriority w:val="0"/>
    <w:rPr>
      <w:rFonts w:hint="default" w:ascii="Calibri" w:hAnsi="Calibri" w:cs="Calibri"/>
      <w:color w:val="000000"/>
      <w:sz w:val="20"/>
      <w:szCs w:val="20"/>
      <w:u w:val="none"/>
    </w:rPr>
  </w:style>
  <w:style w:type="character" w:customStyle="1" w:styleId="50">
    <w:name w:val="font171"/>
    <w:basedOn w:val="24"/>
    <w:qFormat/>
    <w:uiPriority w:val="0"/>
    <w:rPr>
      <w:rFonts w:ascii="Arial" w:hAnsi="Arial" w:cs="Arial"/>
      <w:color w:val="000000"/>
      <w:sz w:val="20"/>
      <w:szCs w:val="20"/>
      <w:u w:val="none"/>
    </w:rPr>
  </w:style>
  <w:style w:type="character" w:customStyle="1" w:styleId="51">
    <w:name w:val="font21"/>
    <w:basedOn w:val="24"/>
    <w:qFormat/>
    <w:uiPriority w:val="0"/>
    <w:rPr>
      <w:rFonts w:hint="eastAsia" w:ascii="宋体" w:hAnsi="宋体" w:eastAsia="宋体" w:cs="宋体"/>
      <w:b/>
      <w:bCs/>
      <w:color w:val="000000"/>
      <w:sz w:val="20"/>
      <w:szCs w:val="20"/>
      <w:u w:val="none"/>
    </w:rPr>
  </w:style>
  <w:style w:type="character" w:customStyle="1" w:styleId="52">
    <w:name w:val="font12"/>
    <w:basedOn w:val="24"/>
    <w:qFormat/>
    <w:uiPriority w:val="0"/>
    <w:rPr>
      <w:rFonts w:hint="eastAsia" w:ascii="宋体" w:hAnsi="宋体" w:eastAsia="宋体" w:cs="宋体"/>
      <w:color w:val="000000"/>
      <w:sz w:val="20"/>
      <w:szCs w:val="20"/>
      <w:u w:val="none"/>
    </w:rPr>
  </w:style>
  <w:style w:type="character" w:customStyle="1" w:styleId="53">
    <w:name w:val="font141"/>
    <w:basedOn w:val="24"/>
    <w:qFormat/>
    <w:uiPriority w:val="0"/>
    <w:rPr>
      <w:rFonts w:hint="eastAsia" w:ascii="宋体" w:hAnsi="宋体" w:eastAsia="宋体" w:cs="宋体"/>
      <w:b/>
      <w:bCs/>
      <w:color w:val="000000"/>
      <w:sz w:val="22"/>
      <w:szCs w:val="22"/>
      <w:u w:val="none"/>
    </w:rPr>
  </w:style>
  <w:style w:type="character" w:customStyle="1" w:styleId="54">
    <w:name w:val="font151"/>
    <w:basedOn w:val="24"/>
    <w:qFormat/>
    <w:uiPriority w:val="0"/>
    <w:rPr>
      <w:rFonts w:ascii="Arial" w:hAnsi="Arial" w:cs="Arial"/>
      <w:color w:val="000000"/>
      <w:sz w:val="20"/>
      <w:szCs w:val="20"/>
      <w:u w:val="none"/>
    </w:rPr>
  </w:style>
  <w:style w:type="character" w:customStyle="1" w:styleId="55">
    <w:name w:val="font71"/>
    <w:basedOn w:val="24"/>
    <w:qFormat/>
    <w:uiPriority w:val="0"/>
    <w:rPr>
      <w:rFonts w:hint="eastAsia" w:ascii="宋体" w:hAnsi="宋体" w:eastAsia="宋体" w:cs="宋体"/>
      <w:b/>
      <w:bCs/>
      <w:color w:val="000000"/>
      <w:sz w:val="28"/>
      <w:szCs w:val="28"/>
      <w:u w:val="none"/>
    </w:rPr>
  </w:style>
  <w:style w:type="character" w:customStyle="1" w:styleId="56">
    <w:name w:val="font161"/>
    <w:basedOn w:val="24"/>
    <w:qFormat/>
    <w:uiPriority w:val="0"/>
    <w:rPr>
      <w:rFonts w:ascii="等线" w:hAnsi="等线" w:eastAsia="等线" w:cs="等线"/>
      <w:b/>
      <w:bCs/>
      <w:color w:val="000000"/>
      <w:sz w:val="22"/>
      <w:szCs w:val="22"/>
      <w:u w:val="none"/>
    </w:rPr>
  </w:style>
  <w:style w:type="character" w:customStyle="1" w:styleId="57">
    <w:name w:val="font51"/>
    <w:basedOn w:val="24"/>
    <w:qFormat/>
    <w:uiPriority w:val="0"/>
    <w:rPr>
      <w:rFonts w:hint="eastAsia" w:ascii="宋体" w:hAnsi="宋体" w:eastAsia="宋体" w:cs="宋体"/>
      <w:color w:val="000000"/>
      <w:sz w:val="20"/>
      <w:szCs w:val="20"/>
      <w:u w:val="none"/>
    </w:rPr>
  </w:style>
  <w:style w:type="character" w:customStyle="1" w:styleId="58">
    <w:name w:val="font201"/>
    <w:basedOn w:val="24"/>
    <w:qFormat/>
    <w:uiPriority w:val="0"/>
    <w:rPr>
      <w:rFonts w:ascii="Arial" w:hAnsi="Arial" w:cs="Arial"/>
      <w:color w:val="000000"/>
      <w:sz w:val="20"/>
      <w:szCs w:val="20"/>
      <w:u w:val="none"/>
    </w:rPr>
  </w:style>
  <w:style w:type="character" w:customStyle="1" w:styleId="59">
    <w:name w:val="font131"/>
    <w:basedOn w:val="24"/>
    <w:qFormat/>
    <w:uiPriority w:val="0"/>
    <w:rPr>
      <w:rFonts w:hint="eastAsia" w:ascii="宋体" w:hAnsi="宋体" w:eastAsia="宋体" w:cs="宋体"/>
      <w:color w:val="000000"/>
      <w:sz w:val="20"/>
      <w:szCs w:val="20"/>
      <w:u w:val="none"/>
      <w:vertAlign w:val="superscript"/>
    </w:rPr>
  </w:style>
  <w:style w:type="character" w:customStyle="1" w:styleId="60">
    <w:name w:val="正文文本缩进 Char"/>
    <w:basedOn w:val="24"/>
    <w:link w:val="15"/>
    <w:semiHidden/>
    <w:qFormat/>
    <w:uiPriority w:val="99"/>
  </w:style>
  <w:style w:type="character" w:customStyle="1" w:styleId="61">
    <w:name w:val="正文首行缩进 2 Char"/>
    <w:basedOn w:val="60"/>
    <w:link w:val="22"/>
    <w:semiHidden/>
    <w:qFormat/>
    <w:uiPriority w:val="99"/>
  </w:style>
  <w:style w:type="paragraph" w:customStyle="1" w:styleId="62">
    <w:name w:val="表格文字"/>
    <w:basedOn w:val="63"/>
    <w:next w:val="13"/>
    <w:qFormat/>
    <w:uiPriority w:val="0"/>
    <w:pPr>
      <w:spacing w:before="25" w:after="25"/>
      <w:jc w:val="left"/>
    </w:pPr>
    <w:rPr>
      <w:bCs/>
      <w:spacing w:val="10"/>
      <w:kern w:val="0"/>
      <w:sz w:val="24"/>
      <w:szCs w:val="20"/>
    </w:rPr>
  </w:style>
  <w:style w:type="paragraph" w:customStyle="1" w:styleId="63">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64">
    <w:name w:val="font121"/>
    <w:basedOn w:val="24"/>
    <w:qFormat/>
    <w:uiPriority w:val="0"/>
    <w:rPr>
      <w:rFonts w:hint="eastAsia" w:ascii="宋体" w:hAnsi="宋体" w:eastAsia="宋体" w:cs="宋体"/>
      <w:color w:val="000000"/>
      <w:sz w:val="20"/>
      <w:szCs w:val="20"/>
      <w:u w:val="none"/>
    </w:rPr>
  </w:style>
  <w:style w:type="character" w:customStyle="1" w:styleId="65">
    <w:name w:val="font191"/>
    <w:basedOn w:val="24"/>
    <w:qFormat/>
    <w:uiPriority w:val="0"/>
    <w:rPr>
      <w:rFonts w:hint="eastAsia" w:ascii="宋体" w:hAnsi="宋体" w:eastAsia="宋体" w:cs="宋体"/>
      <w:color w:val="FF0000"/>
      <w:sz w:val="20"/>
      <w:szCs w:val="20"/>
      <w:u w:val="none"/>
    </w:rPr>
  </w:style>
  <w:style w:type="character" w:customStyle="1" w:styleId="66">
    <w:name w:val="font112"/>
    <w:basedOn w:val="24"/>
    <w:qFormat/>
    <w:uiPriority w:val="0"/>
    <w:rPr>
      <w:rFonts w:hint="eastAsia" w:ascii="宋体" w:hAnsi="宋体" w:eastAsia="宋体" w:cs="宋体"/>
      <w:color w:val="000000"/>
      <w:sz w:val="20"/>
      <w:szCs w:val="20"/>
      <w:u w:val="none"/>
    </w:rPr>
  </w:style>
  <w:style w:type="character" w:customStyle="1" w:styleId="67">
    <w:name w:val="font212"/>
    <w:basedOn w:val="24"/>
    <w:qFormat/>
    <w:uiPriority w:val="0"/>
    <w:rPr>
      <w:rFonts w:ascii="Arial" w:hAnsi="Arial" w:cs="Arial"/>
      <w:color w:val="000000"/>
      <w:sz w:val="20"/>
      <w:szCs w:val="20"/>
      <w:u w:val="none"/>
    </w:rPr>
  </w:style>
  <w:style w:type="character" w:customStyle="1" w:styleId="68">
    <w:name w:val="font181"/>
    <w:basedOn w:val="24"/>
    <w:qFormat/>
    <w:uiPriority w:val="0"/>
    <w:rPr>
      <w:rFonts w:ascii="等线" w:hAnsi="等线" w:eastAsia="等线" w:cs="等线"/>
      <w:b/>
      <w:bCs/>
      <w:color w:val="000000"/>
      <w:sz w:val="22"/>
      <w:szCs w:val="22"/>
      <w:u w:val="none"/>
    </w:rPr>
  </w:style>
  <w:style w:type="character" w:customStyle="1" w:styleId="69">
    <w:name w:val="font111"/>
    <w:basedOn w:val="24"/>
    <w:qFormat/>
    <w:uiPriority w:val="0"/>
    <w:rPr>
      <w:rFonts w:ascii="微软雅黑" w:hAnsi="微软雅黑" w:eastAsia="微软雅黑" w:cs="微软雅黑"/>
      <w:color w:val="000000"/>
      <w:sz w:val="18"/>
      <w:szCs w:val="18"/>
      <w:u w:val="none"/>
    </w:rPr>
  </w:style>
  <w:style w:type="character" w:customStyle="1" w:styleId="70">
    <w:name w:val="font251"/>
    <w:basedOn w:val="24"/>
    <w:qFormat/>
    <w:uiPriority w:val="0"/>
    <w:rPr>
      <w:rFonts w:ascii="Arial" w:hAnsi="Arial" w:cs="Arial"/>
      <w:color w:val="000000"/>
      <w:sz w:val="20"/>
      <w:szCs w:val="20"/>
      <w:u w:val="none"/>
    </w:rPr>
  </w:style>
  <w:style w:type="character" w:customStyle="1" w:styleId="71">
    <w:name w:val="批注框文本 Char"/>
    <w:basedOn w:val="24"/>
    <w:link w:val="16"/>
    <w:semiHidden/>
    <w:qFormat/>
    <w:uiPriority w:val="99"/>
    <w:rPr>
      <w:rFonts w:asciiTheme="minorHAnsi" w:hAnsiTheme="minorHAnsi" w:eastAsiaTheme="minorEastAsia" w:cstheme="minorBidi"/>
      <w:kern w:val="2"/>
      <w:sz w:val="18"/>
      <w:szCs w:val="18"/>
    </w:rPr>
  </w:style>
  <w:style w:type="character" w:customStyle="1" w:styleId="72">
    <w:name w:val="批注文字 Char"/>
    <w:basedOn w:val="24"/>
    <w:link w:val="12"/>
    <w:qFormat/>
    <w:uiPriority w:val="0"/>
    <w:rPr>
      <w:rFonts w:asciiTheme="minorHAnsi" w:hAnsiTheme="minorHAnsi" w:eastAsiaTheme="minorEastAsia" w:cstheme="minorBidi"/>
      <w:kern w:val="2"/>
      <w:sz w:val="21"/>
      <w:szCs w:val="22"/>
    </w:rPr>
  </w:style>
  <w:style w:type="character" w:customStyle="1" w:styleId="73">
    <w:name w:val="批注主题 Char"/>
    <w:basedOn w:val="72"/>
    <w:link w:val="20"/>
    <w:semiHidden/>
    <w:qFormat/>
    <w:uiPriority w:val="99"/>
    <w:rPr>
      <w:rFonts w:asciiTheme="minorHAnsi" w:hAnsiTheme="minorHAnsi" w:eastAsiaTheme="minorEastAsia" w:cstheme="minorBidi"/>
      <w:b/>
      <w:bCs/>
      <w:kern w:val="2"/>
      <w:sz w:val="21"/>
      <w:szCs w:val="22"/>
    </w:rPr>
  </w:style>
  <w:style w:type="paragraph" w:customStyle="1" w:styleId="7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D369-9C64-4B5D-9770-634A92054304}">
  <ds:schemaRefs/>
</ds:datastoreItem>
</file>

<file path=docProps/app.xml><?xml version="1.0" encoding="utf-8"?>
<Properties xmlns="http://schemas.openxmlformats.org/officeDocument/2006/extended-properties" xmlns:vt="http://schemas.openxmlformats.org/officeDocument/2006/docPropsVTypes">
  <Template>Normal</Template>
  <Pages>19</Pages>
  <Words>5789</Words>
  <Characters>7194</Characters>
  <Lines>1094</Lines>
  <Paragraphs>308</Paragraphs>
  <TotalTime>2</TotalTime>
  <ScaleCrop>false</ScaleCrop>
  <LinksUpToDate>false</LinksUpToDate>
  <CharactersWithSpaces>7245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2026-03-17T01:00:00Z</dcterms:created>
  <dc:creator>User</dc:creator>
  <cp:lastModifiedBy>admin</cp:lastModifiedBy>
  <dcterms:modified xsi:type="dcterms:W3CDTF">2026-04-14T09:08:34Z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eyJoZGlkIjoiODlhZmY3NzdhYWI1Y2Q3YmYyYzJlZThjODg5ODI0YzYiLCJ1c2VySWQiOiI5MTQwODUyOTQifQ==</vt:lpwstr>
  </property>
  <property fmtid="{D5CDD505-2E9C-101B-9397-08002B2CF9AE}" pid="3" name="KSOProductBuildVer">
    <vt:lpwstr>2052-12.1.0.15712</vt:lpwstr>
  </property>
  <property fmtid="{D5CDD505-2E9C-101B-9397-08002B2CF9AE}" pid="4" name="ICV">
    <vt:lpwstr>F2F3B23C4B6E44CDA88CBF2C9351BFFC_13</vt:lpwstr>
  </property>
</Properties>
</file>