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项目需求书</w:t>
      </w:r>
    </w:p>
    <w:p>
      <w:pPr>
        <w:pStyle w:val="74"/>
        <w:outlineLvl w:val="2"/>
      </w:pPr>
      <w:r>
        <w:rPr>
          <w:b/>
          <w:sz w:val="28"/>
        </w:rPr>
        <w:t>一、项目概况：</w:t>
      </w:r>
    </w:p>
    <w:p>
      <w:pPr>
        <w:pStyle w:val="74"/>
        <w:ind w:firstLine="0"/>
        <w:jc w:val="left"/>
      </w:pPr>
      <w:r>
        <w:rPr>
          <w:rFonts w:hint="eastAsia"/>
          <w:color w:val="000000"/>
          <w:sz w:val="21"/>
          <w:lang w:val="en-US" w:eastAsia="zh-CN"/>
        </w:rPr>
        <w:t xml:space="preserve">  </w:t>
      </w:r>
      <w:r>
        <w:rPr>
          <w:color w:val="000000"/>
          <w:sz w:val="21"/>
        </w:rPr>
        <w:t>为了规范采购人机关食堂以及日常食品供应工作，确保食品安全、卫生，提升食堂服务水平，加强食堂的管理，促进廉政建设，本项目采用</w:t>
      </w:r>
      <w:r>
        <w:rPr>
          <w:rFonts w:hint="eastAsia"/>
          <w:color w:val="000000"/>
          <w:sz w:val="21"/>
          <w:lang w:val="en-US" w:eastAsia="zh-CN"/>
        </w:rPr>
        <w:t>公开招标</w:t>
      </w:r>
      <w:r>
        <w:rPr>
          <w:color w:val="000000"/>
          <w:sz w:val="21"/>
        </w:rPr>
        <w:t>的采购方式进行采购，确定中标人负责供应。</w:t>
      </w:r>
      <w:r>
        <w:rPr>
          <w:sz w:val="21"/>
        </w:rPr>
        <w:t>每日就餐人数：约</w:t>
      </w:r>
      <w:r>
        <w:rPr>
          <w:rFonts w:hint="eastAsia"/>
          <w:sz w:val="21"/>
          <w:lang w:val="en-US" w:eastAsia="zh-CN"/>
        </w:rPr>
        <w:t>270</w:t>
      </w:r>
      <w:r>
        <w:rPr>
          <w:sz w:val="21"/>
        </w:rPr>
        <w:t>人次（具体数量，以当</w:t>
      </w:r>
      <w:bookmarkStart w:id="0" w:name="_GoBack"/>
      <w:bookmarkEnd w:id="0"/>
      <w:r>
        <w:rPr>
          <w:sz w:val="21"/>
        </w:rPr>
        <w:t>月实际需求为准）</w:t>
      </w:r>
    </w:p>
    <w:p>
      <w:pPr>
        <w:pStyle w:val="74"/>
      </w:pPr>
      <w:r>
        <w:t>采购包1（</w:t>
      </w:r>
      <w:r>
        <w:rPr>
          <w:rFonts w:hint="eastAsia"/>
          <w:lang w:eastAsia="zh-CN"/>
        </w:rPr>
        <w:t>江湾派出所饭堂食材采购配送服务项目</w:t>
      </w:r>
      <w:r>
        <w:t>）</w:t>
      </w:r>
      <w:r>
        <w:rPr>
          <w:b/>
        </w:rPr>
        <w:t>1.主要商务要求</w:t>
      </w:r>
    </w:p>
    <w:tbl>
      <w:tblPr>
        <w:tblStyle w:val="23"/>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7"/>
        <w:gridCol w:w="66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4" w:type="pct"/>
          </w:tcPr>
          <w:p>
            <w:pPr>
              <w:pStyle w:val="74"/>
            </w:pPr>
            <w:r>
              <w:t>标的提供的时间</w:t>
            </w:r>
          </w:p>
        </w:tc>
        <w:tc>
          <w:tcPr>
            <w:tcW w:w="3915" w:type="pct"/>
          </w:tcPr>
          <w:p>
            <w:pPr>
              <w:pStyle w:val="74"/>
            </w:pPr>
            <w:r>
              <w:t>★</w:t>
            </w:r>
            <w:r>
              <w:rPr>
                <w:rFonts w:hint="eastAsia"/>
                <w:lang w:eastAsia="zh-CN"/>
              </w:rPr>
              <w:t>本项目服务期限原则上为3年（如出现预算等政策变化采购人有权调整）。首次签订合同期限为1年，合同采取一年一续签的方式签订，每年合同期结束后，采购人对中标人服务质量考核合格且未出现预算等政策变化调整可续签，最长不超过3年。合同履行期限届满或实际结算金额达到本采购包预算上限的，合同自然终止（以先到达为准）</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4" w:type="pct"/>
          </w:tcPr>
          <w:p>
            <w:pPr>
              <w:pStyle w:val="74"/>
            </w:pPr>
            <w:r>
              <w:t>标的提供的地点</w:t>
            </w:r>
          </w:p>
        </w:tc>
        <w:tc>
          <w:tcPr>
            <w:tcW w:w="3915" w:type="pct"/>
          </w:tcPr>
          <w:p>
            <w:pPr>
              <w:pStyle w:val="74"/>
            </w:pPr>
            <w:r>
              <w:t>★采购人指定地址（地址：佛山市内）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4" w:type="pct"/>
          </w:tcPr>
          <w:p>
            <w:pPr>
              <w:pStyle w:val="74"/>
            </w:pPr>
            <w:r>
              <w:t>付款方式</w:t>
            </w:r>
          </w:p>
        </w:tc>
        <w:tc>
          <w:tcPr>
            <w:tcW w:w="3915" w:type="pct"/>
          </w:tcPr>
          <w:p>
            <w:pPr>
              <w:pStyle w:val="74"/>
              <w:numPr>
                <w:ilvl w:val="-1"/>
                <w:numId w:val="0"/>
              </w:numPr>
            </w:pPr>
            <w:r>
              <w:t>1期：支付比例100%,1、</w:t>
            </w:r>
            <w:r>
              <w:rPr>
                <w:rFonts w:hint="eastAsia"/>
                <w:lang w:eastAsia="zh-CN"/>
              </w:rPr>
              <w:t>中标人</w:t>
            </w:r>
            <w:r>
              <w:t>货款按月度进行结算，在次月的20日前采购人以支票或转账方式缴付上月结算货款给</w:t>
            </w:r>
            <w:r>
              <w:rPr>
                <w:rFonts w:hint="eastAsia"/>
                <w:lang w:eastAsia="zh-CN"/>
              </w:rPr>
              <w:t>中标人</w:t>
            </w:r>
            <w:r>
              <w:t>（遇节假日顺延），结算价=采购人核定的供货价×月度实际供货数量×成交折扣率-扣罚（如有）。 2.每期货款的结算，需由</w:t>
            </w:r>
            <w:r>
              <w:rPr>
                <w:rFonts w:hint="eastAsia"/>
                <w:lang w:eastAsia="zh-CN"/>
              </w:rPr>
              <w:t>中标人</w:t>
            </w:r>
            <w:r>
              <w:t>提出书面申请并提供该期货款相应金额的发票及该期货物确认收货确认清单（加盖采购人公章），采购人方办理支付手续；收款方、出具发票方、合同乙方均必须与</w:t>
            </w:r>
            <w:r>
              <w:rPr>
                <w:rFonts w:hint="eastAsia"/>
                <w:lang w:eastAsia="zh-CN"/>
              </w:rPr>
              <w:t>中标人</w:t>
            </w:r>
            <w:r>
              <w:t>名称一致。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gridSpan w:val="2"/>
          </w:tcPr>
          <w:p>
            <w:pPr>
              <w:pStyle w:val="7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4" w:type="pct"/>
          </w:tcPr>
          <w:p>
            <w:pPr>
              <w:pStyle w:val="74"/>
            </w:pPr>
            <w:r>
              <w:t>验收要求</w:t>
            </w:r>
          </w:p>
        </w:tc>
        <w:tc>
          <w:tcPr>
            <w:tcW w:w="6673" w:type="dxa"/>
            <w:vAlign w:val="top"/>
          </w:tcPr>
          <w:p>
            <w:pPr>
              <w:pStyle w:val="74"/>
            </w:pPr>
            <w:r>
              <w:t>1期：一、验收办法：1.采取现场验收的方式，双方验收人员应认真检查物资的质量，按索票、验证—抽查—过磅（清点）—入库的程序完成验收，</w:t>
            </w:r>
            <w:r>
              <w:rPr>
                <w:rFonts w:hint="eastAsia"/>
                <w:lang w:eastAsia="zh-CN"/>
              </w:rPr>
              <w:t>中标人</w:t>
            </w:r>
            <w:r>
              <w:t>可提供原件的，由采购人保留原件，原件只有一份而无法提供给采购人的，查验原件后索取复印件留存。 2.验收记录：对每次验收的物资均应记录物资名称、数量、验收情况等事项，并由送货人签名确认。 二、项目验收依次序对照执行标准：1.符合中华人民共和国国家和履约地相关安全质量标准、行业技术规范标准、环保节能标准； 2.符合招标（采购）文件和投标（响应）承诺中各方共同认可的各项要求； 3.符合货物来源国官方颁布标准； 上述各类标准与法规必须是有关官方机构最新发布的现行标准版本。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4" w:type="pct"/>
          </w:tcPr>
          <w:p>
            <w:pPr>
              <w:pStyle w:val="74"/>
            </w:pPr>
            <w:r>
              <w:t>履约保证金</w:t>
            </w:r>
          </w:p>
        </w:tc>
        <w:tc>
          <w:tcPr>
            <w:tcW w:w="6673" w:type="dxa"/>
            <w:vAlign w:val="top"/>
          </w:tcPr>
          <w:p>
            <w:pPr>
              <w:pStyle w:val="7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4" w:type="pct"/>
          </w:tcPr>
          <w:p>
            <w:pPr>
              <w:pStyle w:val="74"/>
            </w:pPr>
            <w:r>
              <w:t>其他</w:t>
            </w:r>
          </w:p>
        </w:tc>
        <w:tc>
          <w:tcPr>
            <w:tcW w:w="6673" w:type="dxa"/>
            <w:vAlign w:val="top"/>
          </w:tcPr>
          <w:p>
            <w:pPr>
              <w:pStyle w:val="74"/>
            </w:pPr>
            <w:r>
              <w:t>其他，</w:t>
            </w:r>
            <w:r>
              <w:rPr>
                <w:rFonts w:hint="eastAsia"/>
                <w:lang w:eastAsia="zh-CN"/>
              </w:rPr>
              <w:t>中标人</w:t>
            </w:r>
            <w:r>
              <w:t>在领取中标通知书时需提交纸质版响应文件（一正一副）</w:t>
            </w:r>
          </w:p>
        </w:tc>
      </w:tr>
    </w:tbl>
    <w:p>
      <w:pPr>
        <w:pStyle w:val="74"/>
      </w:pPr>
      <w:r>
        <w:t>其他商务需求</w:t>
      </w:r>
    </w:p>
    <w:tbl>
      <w:tblPr>
        <w:tblStyle w:val="2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0"/>
        <w:gridCol w:w="783"/>
        <w:gridCol w:w="1383"/>
        <w:gridCol w:w="5233"/>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jc w:val="center"/>
        </w:trPr>
        <w:tc>
          <w:tcPr>
            <w:tcW w:w="1120" w:type="dxa"/>
          </w:tcPr>
          <w:p>
            <w:pPr>
              <w:pStyle w:val="74"/>
              <w:jc w:val="center"/>
            </w:pPr>
            <w:r>
              <w:t>参数性质</w:t>
            </w:r>
          </w:p>
        </w:tc>
        <w:tc>
          <w:tcPr>
            <w:tcW w:w="783" w:type="dxa"/>
          </w:tcPr>
          <w:p>
            <w:pPr>
              <w:pStyle w:val="74"/>
              <w:jc w:val="center"/>
            </w:pPr>
            <w:r>
              <w:t>编号</w:t>
            </w:r>
          </w:p>
        </w:tc>
        <w:tc>
          <w:tcPr>
            <w:tcW w:w="1383" w:type="dxa"/>
          </w:tcPr>
          <w:p>
            <w:pPr>
              <w:pStyle w:val="74"/>
              <w:jc w:val="center"/>
            </w:pPr>
            <w:r>
              <w:t>内容明细</w:t>
            </w:r>
          </w:p>
        </w:tc>
        <w:tc>
          <w:tcPr>
            <w:tcW w:w="5233" w:type="dxa"/>
          </w:tcPr>
          <w:p>
            <w:pPr>
              <w:pStyle w:val="7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jc w:val="center"/>
        </w:trPr>
        <w:tc>
          <w:tcPr>
            <w:tcW w:w="1120" w:type="dxa"/>
          </w:tcPr>
          <w:p>
            <w:pPr>
              <w:pStyle w:val="74"/>
              <w:jc w:val="center"/>
            </w:pPr>
            <w:r>
              <w:t>★</w:t>
            </w:r>
          </w:p>
        </w:tc>
        <w:tc>
          <w:tcPr>
            <w:tcW w:w="783" w:type="dxa"/>
          </w:tcPr>
          <w:p>
            <w:pPr>
              <w:pStyle w:val="74"/>
              <w:jc w:val="center"/>
            </w:pPr>
            <w:r>
              <w:t>1</w:t>
            </w:r>
          </w:p>
        </w:tc>
        <w:tc>
          <w:tcPr>
            <w:tcW w:w="1383" w:type="dxa"/>
          </w:tcPr>
          <w:p>
            <w:pPr>
              <w:pStyle w:val="74"/>
              <w:jc w:val="left"/>
            </w:pPr>
            <w:r>
              <w:t>报价要求</w:t>
            </w:r>
          </w:p>
        </w:tc>
        <w:tc>
          <w:tcPr>
            <w:tcW w:w="5233" w:type="dxa"/>
            <w:vAlign w:val="top"/>
          </w:tcPr>
          <w:p>
            <w:pPr>
              <w:pStyle w:val="74"/>
              <w:jc w:val="left"/>
            </w:pPr>
            <w:r>
              <w:t>1.本项目报价采用折扣率报价。 2.响应供应商须根据企业自身能力报出响应折扣率b%【注：b值精确到小数点后两位，第三位小数四舍五入（如98.00%、96.66%）范围为：0＜b≤100】。货物金额＝供货单价×供货数量×b%。 3.磋商小组认为响应供应商的报价明显低于其他通过符合性审查响应供应商的报价，有可能影响产品质量或不能诚信履约的，应当要求其在评标现场合理的时间内提供书面说明，同时提交相关证明材料，响应供应商不能证明其报价合理性的，磋商小组应当将其作为无效响应处理。 4.响应供应商须承诺，在成交后履行合同期间，供应产品的折扣率保持不变。响应供货价格必须包含市场调查、货物采购、包装、运输、装卸、搬运、不合格货物的退换、所有工作人员的工勤费用以及合同实施过程中的可预见及不可预见费用。 5.响应供应商应充分考虑服务期内物价水平及人员薪金的调整因素。 6.成交供应商必须按照《中华人民共和国劳动合同法》的规定与全部工作人员建立劳动关系；成交供应商与工作人员发生的劳资纠纷与采购人无关。提供服务的全部工作人员的薪金不低于佛山市最低工资标准。 响应供应商需自行考虑本项目在实施期间的一切可能产生的费用。在合同履行过程中，采购人将不再另行支付与本项目相关的任何费用（非本项目要求的其他内容除外）。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jc w:val="center"/>
        </w:trPr>
        <w:tc>
          <w:tcPr>
            <w:tcW w:w="1120" w:type="dxa"/>
          </w:tcPr>
          <w:p>
            <w:pPr>
              <w:pStyle w:val="74"/>
              <w:jc w:val="center"/>
            </w:pPr>
            <w:r>
              <w:t>★</w:t>
            </w:r>
          </w:p>
        </w:tc>
        <w:tc>
          <w:tcPr>
            <w:tcW w:w="783" w:type="dxa"/>
          </w:tcPr>
          <w:p>
            <w:pPr>
              <w:pStyle w:val="74"/>
              <w:jc w:val="center"/>
            </w:pPr>
            <w:r>
              <w:t>2</w:t>
            </w:r>
          </w:p>
        </w:tc>
        <w:tc>
          <w:tcPr>
            <w:tcW w:w="1383" w:type="dxa"/>
            <w:vAlign w:val="top"/>
          </w:tcPr>
          <w:p>
            <w:pPr>
              <w:pStyle w:val="74"/>
              <w:jc w:val="left"/>
            </w:pPr>
            <w:r>
              <w:t>付款要求</w:t>
            </w:r>
          </w:p>
        </w:tc>
        <w:tc>
          <w:tcPr>
            <w:tcW w:w="5233" w:type="dxa"/>
            <w:vAlign w:val="top"/>
          </w:tcPr>
          <w:p>
            <w:pPr>
              <w:pStyle w:val="74"/>
              <w:jc w:val="left"/>
            </w:pPr>
            <w:r>
              <w:t>1.成交供应商应向采购人提供依法纳税的发票。2.合同款以转账方式转入成交供应商的银行账户。3.成交供应商符合合同约定并已提供完整、合规的申请材料，采购人签署考核、验收确认书及申办每期付款手续可在20天内完成。4.因部门跨年国库关闸、年底封账，不能按约定时间办理支付进度款，成交供应商可提前办理申请手续；若因此导致逾期付款，采购人不承担逾期付款违约责任。5.本合同实施过程中，所发生的一切税费及不可预见费均由成交供应商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jc w:val="center"/>
        </w:trPr>
        <w:tc>
          <w:tcPr>
            <w:tcW w:w="1120" w:type="dxa"/>
          </w:tcPr>
          <w:p>
            <w:pPr>
              <w:pStyle w:val="74"/>
              <w:jc w:val="center"/>
            </w:pPr>
            <w:r>
              <w:t>★</w:t>
            </w:r>
          </w:p>
        </w:tc>
        <w:tc>
          <w:tcPr>
            <w:tcW w:w="783" w:type="dxa"/>
          </w:tcPr>
          <w:p>
            <w:pPr>
              <w:pStyle w:val="74"/>
              <w:jc w:val="center"/>
            </w:pPr>
            <w:r>
              <w:t>3</w:t>
            </w:r>
          </w:p>
        </w:tc>
        <w:tc>
          <w:tcPr>
            <w:tcW w:w="1383" w:type="dxa"/>
            <w:vAlign w:val="top"/>
          </w:tcPr>
          <w:p>
            <w:pPr>
              <w:pStyle w:val="74"/>
              <w:jc w:val="left"/>
            </w:pPr>
            <w:r>
              <w:t>保密要求</w:t>
            </w:r>
          </w:p>
        </w:tc>
        <w:tc>
          <w:tcPr>
            <w:tcW w:w="5233" w:type="dxa"/>
            <w:vAlign w:val="top"/>
          </w:tcPr>
          <w:p>
            <w:pPr>
              <w:pStyle w:val="74"/>
              <w:jc w:val="left"/>
            </w:pPr>
            <w:r>
              <w:t>1.成交供应商在服务期间，不得将供货的实际数量、供货地点及与采购人有关的信息泄露给其他企业或者个人，泄密造成采购人损失的，成交供应商将承担由此产生的一切损失和法律责任。 2.成交供应商必须指派相对固定的人员完成产品配送服务，在合同签订前必须提交相关人员的身份证、简历及相关证书复印件一份交给采购人存档。需要更换人员时，提前与采购人沟通，审核合格后才能更换。若发现参与项目人员有“黄、赌、毒”等违法行为，采购人有权撤换，并追究其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jc w:val="center"/>
        </w:trPr>
        <w:tc>
          <w:tcPr>
            <w:tcW w:w="1120" w:type="dxa"/>
          </w:tcPr>
          <w:p>
            <w:pPr>
              <w:pStyle w:val="74"/>
              <w:jc w:val="center"/>
            </w:pPr>
            <w:r>
              <w:t>★</w:t>
            </w:r>
          </w:p>
        </w:tc>
        <w:tc>
          <w:tcPr>
            <w:tcW w:w="783" w:type="dxa"/>
          </w:tcPr>
          <w:p>
            <w:pPr>
              <w:pStyle w:val="74"/>
              <w:jc w:val="center"/>
            </w:pPr>
            <w:r>
              <w:t>4</w:t>
            </w:r>
          </w:p>
        </w:tc>
        <w:tc>
          <w:tcPr>
            <w:tcW w:w="1383" w:type="dxa"/>
            <w:vAlign w:val="top"/>
          </w:tcPr>
          <w:p>
            <w:pPr>
              <w:pStyle w:val="74"/>
              <w:jc w:val="left"/>
            </w:pPr>
            <w:r>
              <w:t>其他政策要求</w:t>
            </w:r>
          </w:p>
        </w:tc>
        <w:tc>
          <w:tcPr>
            <w:tcW w:w="5233" w:type="dxa"/>
            <w:vAlign w:val="top"/>
          </w:tcPr>
          <w:p>
            <w:pPr>
              <w:pStyle w:val="74"/>
              <w:jc w:val="left"/>
            </w:pPr>
            <w:r>
              <w:t>根据《佛山市财政局关于落实2025年政府采购脱贫地区农副产品工作的通知》（佛财采购〔2025〕1 号）相关规定（以当年度的相关文件为准），中标人实施供货时，应按不低于当年度供货总额30%的比例（以当年度的相关文件要求为准），按照采购人要求，定向采购脱贫地区农副产品。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03" w:type="dxa"/>
            <w:gridSpan w:val="2"/>
          </w:tcPr>
          <w:p>
            <w:pPr>
              <w:pStyle w:val="74"/>
            </w:pPr>
            <w:r>
              <w:t>说明</w:t>
            </w:r>
          </w:p>
        </w:tc>
        <w:tc>
          <w:tcPr>
            <w:tcW w:w="6619" w:type="dxa"/>
            <w:gridSpan w:val="3"/>
          </w:tcPr>
          <w:p>
            <w:pPr>
              <w:pStyle w:val="74"/>
              <w:jc w:val="left"/>
            </w:pPr>
            <w:r>
              <w:t xml:space="preserve"> 打“★”号条款为实质性条款，若有任何一条负偏离或不满足则导致</w:t>
            </w:r>
            <w:r>
              <w:rPr>
                <w:rFonts w:hint="eastAsia"/>
                <w:lang w:eastAsia="zh-CN"/>
              </w:rPr>
              <w:t>投标（响应）</w:t>
            </w:r>
            <w:r>
              <w:t xml:space="preserve">无效。 </w:t>
            </w:r>
            <w:r>
              <w:br w:type="textWrapping"/>
            </w:r>
            <w:r>
              <w:t>打“▲”号条款为重要参数（如有），若有部分“▲”条款未响应或不满足，将根据评审要求影响其得分，但不作为无效</w:t>
            </w:r>
            <w:r>
              <w:rPr>
                <w:rFonts w:hint="eastAsia"/>
                <w:lang w:eastAsia="zh-CN"/>
              </w:rPr>
              <w:t>投标（响应）</w:t>
            </w:r>
            <w:r>
              <w:t>条款。</w:t>
            </w:r>
          </w:p>
        </w:tc>
      </w:tr>
    </w:tbl>
    <w:p>
      <w:pPr>
        <w:pStyle w:val="74"/>
      </w:pPr>
      <w:r>
        <w:rPr>
          <w:b/>
        </w:rPr>
        <w:t>2.技术标准与要求</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733"/>
        <w:gridCol w:w="733"/>
        <w:gridCol w:w="733"/>
        <w:gridCol w:w="770"/>
        <w:gridCol w:w="1279"/>
        <w:gridCol w:w="1279"/>
        <w:gridCol w:w="794"/>
        <w:gridCol w:w="734"/>
        <w:gridCol w:w="7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4"/>
              <w:jc w:val="center"/>
            </w:pPr>
            <w:r>
              <w:t>序号</w:t>
            </w:r>
          </w:p>
        </w:tc>
        <w:tc>
          <w:tcPr>
            <w:tcW w:w="831" w:type="dxa"/>
          </w:tcPr>
          <w:p>
            <w:pPr>
              <w:pStyle w:val="74"/>
              <w:jc w:val="center"/>
            </w:pPr>
            <w:r>
              <w:t>品目名称</w:t>
            </w:r>
          </w:p>
        </w:tc>
        <w:tc>
          <w:tcPr>
            <w:tcW w:w="831" w:type="dxa"/>
          </w:tcPr>
          <w:p>
            <w:pPr>
              <w:pStyle w:val="74"/>
              <w:jc w:val="center"/>
            </w:pPr>
            <w:r>
              <w:t>标的名称</w:t>
            </w:r>
          </w:p>
        </w:tc>
        <w:tc>
          <w:tcPr>
            <w:tcW w:w="831" w:type="dxa"/>
          </w:tcPr>
          <w:p>
            <w:pPr>
              <w:pStyle w:val="74"/>
              <w:jc w:val="center"/>
            </w:pPr>
            <w:r>
              <w:t>单位</w:t>
            </w:r>
          </w:p>
        </w:tc>
        <w:tc>
          <w:tcPr>
            <w:tcW w:w="831" w:type="dxa"/>
          </w:tcPr>
          <w:p>
            <w:pPr>
              <w:pStyle w:val="74"/>
              <w:jc w:val="center"/>
            </w:pPr>
            <w:r>
              <w:t>数量</w:t>
            </w:r>
          </w:p>
        </w:tc>
        <w:tc>
          <w:tcPr>
            <w:tcW w:w="831" w:type="dxa"/>
          </w:tcPr>
          <w:p>
            <w:pPr>
              <w:pStyle w:val="74"/>
              <w:jc w:val="center"/>
            </w:pPr>
            <w:r>
              <w:t>分项预算单价（元）</w:t>
            </w:r>
          </w:p>
        </w:tc>
        <w:tc>
          <w:tcPr>
            <w:tcW w:w="831" w:type="dxa"/>
          </w:tcPr>
          <w:p>
            <w:pPr>
              <w:pStyle w:val="74"/>
              <w:jc w:val="center"/>
            </w:pPr>
            <w:r>
              <w:t>分项预算总价（元）</w:t>
            </w:r>
          </w:p>
        </w:tc>
        <w:tc>
          <w:tcPr>
            <w:tcW w:w="831" w:type="dxa"/>
          </w:tcPr>
          <w:p>
            <w:pPr>
              <w:pStyle w:val="74"/>
              <w:jc w:val="center"/>
            </w:pPr>
            <w:r>
              <w:t xml:space="preserve"> 权重%</w:t>
            </w:r>
          </w:p>
        </w:tc>
        <w:tc>
          <w:tcPr>
            <w:tcW w:w="831" w:type="dxa"/>
          </w:tcPr>
          <w:p>
            <w:pPr>
              <w:pStyle w:val="74"/>
            </w:pPr>
            <w:r>
              <w:t>所属行业</w:t>
            </w:r>
          </w:p>
        </w:tc>
        <w:tc>
          <w:tcPr>
            <w:tcW w:w="831" w:type="dxa"/>
          </w:tcPr>
          <w:p>
            <w:pPr>
              <w:pStyle w:val="7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4"/>
              <w:jc w:val="center"/>
            </w:pPr>
            <w:r>
              <w:t>1</w:t>
            </w:r>
          </w:p>
        </w:tc>
        <w:tc>
          <w:tcPr>
            <w:tcW w:w="831" w:type="dxa"/>
          </w:tcPr>
          <w:p>
            <w:pPr>
              <w:pStyle w:val="74"/>
              <w:jc w:val="left"/>
            </w:pPr>
            <w:r>
              <w:t>其他服务</w:t>
            </w:r>
          </w:p>
        </w:tc>
        <w:tc>
          <w:tcPr>
            <w:tcW w:w="831" w:type="dxa"/>
          </w:tcPr>
          <w:p>
            <w:pPr>
              <w:pStyle w:val="74"/>
              <w:jc w:val="left"/>
              <w:rPr>
                <w:rFonts w:hint="eastAsia" w:eastAsiaTheme="minorEastAsia"/>
                <w:lang w:eastAsia="zh-CN"/>
              </w:rPr>
            </w:pPr>
            <w:r>
              <w:rPr>
                <w:rFonts w:hint="eastAsia"/>
                <w:lang w:eastAsia="zh-CN"/>
              </w:rPr>
              <w:t>江湾派出所饭堂食材采购配送服务项目</w:t>
            </w:r>
          </w:p>
        </w:tc>
        <w:tc>
          <w:tcPr>
            <w:tcW w:w="831" w:type="dxa"/>
          </w:tcPr>
          <w:p>
            <w:pPr>
              <w:pStyle w:val="74"/>
              <w:jc w:val="left"/>
            </w:pPr>
            <w:r>
              <w:t>项</w:t>
            </w:r>
          </w:p>
        </w:tc>
        <w:tc>
          <w:tcPr>
            <w:tcW w:w="831" w:type="dxa"/>
          </w:tcPr>
          <w:p>
            <w:pPr>
              <w:pStyle w:val="74"/>
              <w:jc w:val="right"/>
            </w:pPr>
            <w:r>
              <w:t>1.00</w:t>
            </w:r>
          </w:p>
        </w:tc>
        <w:tc>
          <w:tcPr>
            <w:tcW w:w="831" w:type="dxa"/>
          </w:tcPr>
          <w:p>
            <w:pPr>
              <w:pStyle w:val="74"/>
              <w:jc w:val="right"/>
              <w:rPr>
                <w:rFonts w:hint="eastAsia" w:eastAsiaTheme="minorEastAsia"/>
                <w:lang w:eastAsia="zh-CN"/>
              </w:rPr>
            </w:pPr>
            <w:r>
              <w:rPr>
                <w:rFonts w:hint="eastAsia"/>
                <w:lang w:eastAsia="zh-CN"/>
              </w:rPr>
              <w:t>3,897,972.00</w:t>
            </w:r>
          </w:p>
        </w:tc>
        <w:tc>
          <w:tcPr>
            <w:tcW w:w="831" w:type="dxa"/>
          </w:tcPr>
          <w:p>
            <w:pPr>
              <w:pStyle w:val="74"/>
              <w:jc w:val="right"/>
              <w:rPr>
                <w:rFonts w:hint="eastAsia" w:eastAsiaTheme="minorEastAsia"/>
                <w:lang w:eastAsia="zh-CN"/>
              </w:rPr>
            </w:pPr>
            <w:r>
              <w:rPr>
                <w:rFonts w:hint="eastAsia"/>
                <w:lang w:eastAsia="zh-CN"/>
              </w:rPr>
              <w:t>3,897,972.00</w:t>
            </w:r>
          </w:p>
        </w:tc>
        <w:tc>
          <w:tcPr>
            <w:tcW w:w="831" w:type="dxa"/>
          </w:tcPr>
          <w:p>
            <w:pPr>
              <w:pStyle w:val="74"/>
            </w:pPr>
            <w:r>
              <w:t>100.0</w:t>
            </w:r>
          </w:p>
        </w:tc>
        <w:tc>
          <w:tcPr>
            <w:tcW w:w="831" w:type="dxa"/>
          </w:tcPr>
          <w:p>
            <w:pPr>
              <w:pStyle w:val="74"/>
            </w:pPr>
            <w:r>
              <w:t>批发业</w:t>
            </w:r>
          </w:p>
        </w:tc>
        <w:tc>
          <w:tcPr>
            <w:tcW w:w="831" w:type="dxa"/>
          </w:tcPr>
          <w:p>
            <w:pPr>
              <w:pStyle w:val="74"/>
            </w:pPr>
            <w:r>
              <w:t>详见附表一</w:t>
            </w:r>
          </w:p>
        </w:tc>
      </w:tr>
    </w:tbl>
    <w:p>
      <w:pPr>
        <w:pStyle w:val="74"/>
      </w:pPr>
      <w:r>
        <w:t>备注：最终综合总报价=（各产品报价×各项产品权重）的相加值</w:t>
      </w:r>
    </w:p>
    <w:p>
      <w:pPr>
        <w:pStyle w:val="74"/>
        <w:rPr>
          <w:rFonts w:hint="eastAsia" w:eastAsiaTheme="minorEastAsia"/>
          <w:lang w:eastAsia="zh-CN"/>
        </w:rPr>
      </w:pPr>
      <w:r>
        <w:rPr>
          <w:b/>
        </w:rPr>
        <w:t>附表一：</w:t>
      </w:r>
      <w:r>
        <w:rPr>
          <w:rFonts w:hint="eastAsia"/>
          <w:b/>
          <w:lang w:eastAsia="zh-CN"/>
        </w:rPr>
        <w:t>江湾派出所饭堂食材采购配送服务项目</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9"/>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4"/>
            </w:pPr>
            <w:r>
              <w:t>参数性质</w:t>
            </w:r>
          </w:p>
        </w:tc>
        <w:tc>
          <w:tcPr>
            <w:tcW w:w="419" w:type="dxa"/>
          </w:tcPr>
          <w:p>
            <w:pPr>
              <w:pStyle w:val="74"/>
            </w:pPr>
            <w:r>
              <w:t>序号</w:t>
            </w:r>
          </w:p>
        </w:tc>
        <w:tc>
          <w:tcPr>
            <w:tcW w:w="5814" w:type="dxa"/>
          </w:tcPr>
          <w:p>
            <w:pPr>
              <w:pStyle w:val="74"/>
            </w:pPr>
            <w:r>
              <w:t>具体技术</w:t>
            </w:r>
            <w:r>
              <w:rPr>
                <w:rFonts w:hint="eastAsia"/>
                <w:lang w:eastAsia="zh-CN"/>
              </w:rPr>
              <w:t>（</w:t>
            </w:r>
            <w:r>
              <w:t>参数</w:t>
            </w:r>
            <w:r>
              <w:rPr>
                <w:rFonts w:hint="eastAsia"/>
                <w:lang w:eastAsia="zh-CN"/>
              </w:rPr>
              <w:t>）</w:t>
            </w: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4"/>
            </w:pPr>
            <w:r>
              <w:t>★</w:t>
            </w:r>
          </w:p>
        </w:tc>
        <w:tc>
          <w:tcPr>
            <w:tcW w:w="419" w:type="dxa"/>
          </w:tcPr>
          <w:p>
            <w:pPr>
              <w:pStyle w:val="74"/>
            </w:pPr>
            <w:r>
              <w:t>1</w:t>
            </w:r>
          </w:p>
        </w:tc>
        <w:tc>
          <w:tcPr>
            <w:tcW w:w="5814" w:type="dxa"/>
            <w:vAlign w:val="top"/>
          </w:tcPr>
          <w:p>
            <w:pPr>
              <w:pStyle w:val="74"/>
              <w:jc w:val="both"/>
            </w:pPr>
            <w:r>
              <w:rPr>
                <w:color w:val="000000"/>
                <w:sz w:val="21"/>
              </w:rPr>
              <w:t>1.成交供应商须承诺同意无条件接受采购人的配送业务安排，单次要求供货的数量多或少，必须按要求按时配送到位。</w:t>
            </w:r>
            <w:r>
              <w:rPr>
                <w:b/>
                <w:color w:val="000000"/>
                <w:sz w:val="21"/>
              </w:rPr>
              <w:t>（响应时须提供承诺函并加盖响应供应商公章，格式自拟）</w:t>
            </w:r>
          </w:p>
          <w:p>
            <w:pPr>
              <w:pStyle w:val="74"/>
            </w:pPr>
            <w:r>
              <w:rPr>
                <w:color w:val="000000"/>
                <w:sz w:val="21"/>
              </w:rPr>
              <w:t>2.遇采购人重大活动工作须提供紧急餐饮保障，成交供应商须按照采购人餐饮保障要求做好供货安排，并必须在接到采购人配送通知后1小时内送达采购人指定地点。</w:t>
            </w:r>
            <w:r>
              <w:rPr>
                <w:b/>
                <w:color w:val="000000"/>
                <w:sz w:val="21"/>
              </w:rPr>
              <w:t>（响应时须提供承诺函并加盖响应供应商公章，格式自拟）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9" w:type="dxa"/>
          </w:tcPr>
          <w:p>
            <w:pPr>
              <w:pStyle w:val="74"/>
            </w:pPr>
            <w:r>
              <w:t>2</w:t>
            </w:r>
          </w:p>
        </w:tc>
        <w:tc>
          <w:tcPr>
            <w:tcW w:w="5814" w:type="dxa"/>
            <w:vAlign w:val="top"/>
          </w:tcPr>
          <w:p>
            <w:pPr>
              <w:pStyle w:val="74"/>
              <w:jc w:val="left"/>
            </w:pPr>
            <w:r>
              <w:rPr>
                <w:b/>
                <w:sz w:val="21"/>
              </w:rPr>
              <w:t>具体供货内容（包括但不限于以下供货内容，根据采购人实际需要进行调整）：</w:t>
            </w:r>
          </w:p>
          <w:p>
            <w:pPr>
              <w:pStyle w:val="74"/>
              <w:jc w:val="left"/>
            </w:pPr>
            <w:r>
              <w:rPr>
                <w:b/>
                <w:sz w:val="21"/>
              </w:rPr>
              <w:t>1.蔬菜类：</w:t>
            </w:r>
          </w:p>
          <w:p>
            <w:pPr>
              <w:pStyle w:val="74"/>
              <w:jc w:val="left"/>
            </w:pPr>
            <w:r>
              <w:rPr>
                <w:sz w:val="21"/>
              </w:rPr>
              <w:t>生菜、上海青、小白菜、苦麦菜、包心菜、水通芥菜、芥菜、奶白菜、韭菜、西洋菜、枸杞叶、番薯叶、香花菜、大白菜、春菜、菜心、油麦菜、苋菜、韭菜花、葱、姜、沙姜、蒜头、蒜苗、蒜心、菜花、圆椒、尖椒、兰豆、四季豆、豆角、西芹、香芹、韭黄、芫茜（香菜）、通菜、菠菜、紫苏叶、莴笋、皇帝菜、豆芽、洋葱、蒜头、胶笋、芦笋、牛蒡、京葱、雪里红、菜花、西蓝花等</w:t>
            </w:r>
          </w:p>
          <w:p>
            <w:pPr>
              <w:pStyle w:val="74"/>
              <w:jc w:val="left"/>
            </w:pPr>
            <w:r>
              <w:rPr>
                <w:b/>
                <w:sz w:val="21"/>
              </w:rPr>
              <w:t>2.瓜果类：</w:t>
            </w:r>
          </w:p>
          <w:p>
            <w:pPr>
              <w:pStyle w:val="74"/>
              <w:jc w:val="left"/>
            </w:pPr>
            <w:r>
              <w:rPr>
                <w:sz w:val="21"/>
              </w:rPr>
              <w:t>青瓜、白瓜、丝瓜、节瓜、冬瓜、南瓜、葫芦瓜、水瓜、佛手瓜、木瓜、苦瓜、茄瓜、黄瓜、云南小瓜、西红柿、土豆、黄豆、青豆、板栗、玉米、花生、毛豆、鲜百合、沙葛、马蹄、红薯、芋头、粉葛、莲藕、维山、鲜莲子等</w:t>
            </w:r>
          </w:p>
          <w:p>
            <w:pPr>
              <w:pStyle w:val="74"/>
              <w:jc w:val="left"/>
            </w:pPr>
            <w:r>
              <w:rPr>
                <w:b/>
                <w:sz w:val="21"/>
              </w:rPr>
              <w:t>3.肉类（含蛋类）：</w:t>
            </w:r>
          </w:p>
          <w:p>
            <w:pPr>
              <w:pStyle w:val="74"/>
              <w:jc w:val="left"/>
            </w:pPr>
            <w:r>
              <w:rPr>
                <w:sz w:val="21"/>
              </w:rPr>
              <w:t>生猪（肉、骨）、生牛（肉、骨）、羊（肉、骨）、驴（肉、骨）、生兔（肉、骨）、光禽鸡肉、光禽鹅肉、光禽鸭肉、光禽乳鸽等、鸡蛋、鸭蛋、鹅蛋、皮蛋、咸蛋、鹌鹑蛋等</w:t>
            </w:r>
          </w:p>
          <w:p>
            <w:pPr>
              <w:pStyle w:val="74"/>
              <w:jc w:val="left"/>
            </w:pPr>
            <w:r>
              <w:rPr>
                <w:b/>
                <w:sz w:val="21"/>
              </w:rPr>
              <w:t>4.干货类：</w:t>
            </w:r>
          </w:p>
          <w:p>
            <w:pPr>
              <w:pStyle w:val="74"/>
              <w:jc w:val="left"/>
            </w:pPr>
            <w:r>
              <w:rPr>
                <w:sz w:val="21"/>
              </w:rPr>
              <w:t>菜干、干冬菇、干木耳、干茶树菇、陈皮、提子干、鸡骨草、五指毛桃、干腐皮、干金针菜、干沙姜、干葱头、昆布、干云耳、虾米、瑶柱、贝壳类干货、当归、无花果、干鱿鱼、虾皮、菊花、海带、面筋、腐竹、榄角、冬瓜干、丁香、虫草花、花旗参、淡菜、干生蚝肉、召实、沙参、玉竹、杞子、党参、萝卜干、笋干薏米、红枣、赤小豆、红豆、眉豆、黄豆、百合、莲子、花生、扁豆、绿豆、南北杏、红腰豆、花生米等</w:t>
            </w:r>
          </w:p>
          <w:p>
            <w:pPr>
              <w:pStyle w:val="74"/>
              <w:jc w:val="left"/>
            </w:pPr>
            <w:r>
              <w:rPr>
                <w:b/>
                <w:sz w:val="21"/>
              </w:rPr>
              <w:t>5.鱼类：</w:t>
            </w:r>
          </w:p>
          <w:p>
            <w:pPr>
              <w:pStyle w:val="74"/>
              <w:jc w:val="left"/>
            </w:pPr>
            <w:r>
              <w:rPr>
                <w:sz w:val="21"/>
              </w:rPr>
              <w:t>鲩鱼、大头鱼、鲫鱼、鲮鱼、生鱼、边鱼、鲈鱼（海鲈、加州鲈）、福寿鱼、盲曹鱼、禾顺鱼、桂花鱼、泥鳅鱼、泥猛鱼、黄花鱼、仓鱼、笋壳鱼、红三鱼、多宝鱼、带鱼鱿鱼、墨鱼等</w:t>
            </w:r>
          </w:p>
          <w:p>
            <w:pPr>
              <w:pStyle w:val="74"/>
              <w:jc w:val="left"/>
            </w:pPr>
            <w:r>
              <w:rPr>
                <w:b/>
                <w:sz w:val="21"/>
              </w:rPr>
              <w:t>6.贝类：</w:t>
            </w:r>
          </w:p>
          <w:p>
            <w:pPr>
              <w:pStyle w:val="74"/>
              <w:jc w:val="left"/>
            </w:pPr>
            <w:r>
              <w:rPr>
                <w:sz w:val="21"/>
              </w:rPr>
              <w:t>扇贝、生蚝、蚌、螺、苋、白贝、花甲、带子、圣子、虾、蟹等</w:t>
            </w:r>
          </w:p>
          <w:p>
            <w:pPr>
              <w:pStyle w:val="74"/>
              <w:jc w:val="left"/>
            </w:pPr>
            <w:r>
              <w:rPr>
                <w:b/>
                <w:sz w:val="21"/>
              </w:rPr>
              <w:t>7.菌类：</w:t>
            </w:r>
          </w:p>
          <w:p>
            <w:pPr>
              <w:pStyle w:val="74"/>
              <w:jc w:val="left"/>
            </w:pPr>
            <w:r>
              <w:rPr>
                <w:sz w:val="21"/>
              </w:rPr>
              <w:t>金针菇、茶树菇、海鲜菇、鲜平菇、蘑菇、鲜草菇、袖珍菇、鲜冬菇、鲜木耳等</w:t>
            </w:r>
          </w:p>
          <w:p>
            <w:pPr>
              <w:pStyle w:val="74"/>
              <w:jc w:val="left"/>
            </w:pPr>
            <w:r>
              <w:rPr>
                <w:b/>
                <w:sz w:val="21"/>
              </w:rPr>
              <w:t>8.腌制类：</w:t>
            </w:r>
          </w:p>
          <w:p>
            <w:pPr>
              <w:pStyle w:val="74"/>
              <w:jc w:val="left"/>
            </w:pPr>
            <w:r>
              <w:rPr>
                <w:sz w:val="21"/>
              </w:rPr>
              <w:t>酸豆角、酸笋、梅菜、榨菜、大头菜、酸菜、雪菜、萝卜干、冬菜、五柳菜、腌青瓜等</w:t>
            </w:r>
          </w:p>
          <w:p>
            <w:pPr>
              <w:pStyle w:val="74"/>
              <w:jc w:val="left"/>
            </w:pPr>
            <w:r>
              <w:rPr>
                <w:b/>
                <w:sz w:val="21"/>
              </w:rPr>
              <w:t>9.豆制品类：</w:t>
            </w:r>
          </w:p>
          <w:p>
            <w:pPr>
              <w:pStyle w:val="74"/>
              <w:jc w:val="left"/>
            </w:pPr>
            <w:r>
              <w:rPr>
                <w:sz w:val="21"/>
              </w:rPr>
              <w:t>豆腐、白豆干、凉皮、烟干、炸豆腐、香干丝、小豆卜、华晨豆卜、千张皮、香干、面筋等</w:t>
            </w:r>
          </w:p>
          <w:p>
            <w:pPr>
              <w:pStyle w:val="74"/>
              <w:jc w:val="left"/>
            </w:pPr>
            <w:r>
              <w:rPr>
                <w:b/>
                <w:sz w:val="21"/>
              </w:rPr>
              <w:t>10.米面制品类：</w:t>
            </w:r>
          </w:p>
          <w:p>
            <w:pPr>
              <w:pStyle w:val="74"/>
              <w:jc w:val="left"/>
            </w:pPr>
            <w:r>
              <w:rPr>
                <w:sz w:val="21"/>
              </w:rPr>
              <w:t>河粉、布拉肠、饺子皮、云吞皮、猪肠粉、陈村粉、濑粉、面条（非干面类）、粉条、糯米盏、饺子、云吞、汤圆、生切面、包子、面包、汤圆等</w:t>
            </w:r>
          </w:p>
          <w:p>
            <w:pPr>
              <w:pStyle w:val="74"/>
              <w:jc w:val="left"/>
            </w:pPr>
            <w:r>
              <w:rPr>
                <w:b/>
                <w:sz w:val="21"/>
              </w:rPr>
              <w:t>11.腊味类：</w:t>
            </w:r>
          </w:p>
          <w:p>
            <w:pPr>
              <w:pStyle w:val="74"/>
              <w:jc w:val="left"/>
            </w:pPr>
            <w:r>
              <w:rPr>
                <w:sz w:val="21"/>
              </w:rPr>
              <w:t>腊肉、腊肠</w:t>
            </w:r>
          </w:p>
          <w:p>
            <w:pPr>
              <w:pStyle w:val="74"/>
              <w:jc w:val="left"/>
            </w:pPr>
            <w:r>
              <w:rPr>
                <w:b/>
                <w:sz w:val="21"/>
              </w:rPr>
              <w:t>12.熟食类：</w:t>
            </w:r>
          </w:p>
          <w:p>
            <w:pPr>
              <w:pStyle w:val="74"/>
              <w:jc w:val="left"/>
            </w:pPr>
            <w:r>
              <w:rPr>
                <w:sz w:val="21"/>
              </w:rPr>
              <w:t>烧肉、烧排骨、叉烧、烧鸭、烧鹅、白切鸡、卤水肉等</w:t>
            </w:r>
          </w:p>
          <w:p>
            <w:pPr>
              <w:pStyle w:val="74"/>
              <w:jc w:val="left"/>
            </w:pPr>
            <w:r>
              <w:rPr>
                <w:b/>
                <w:sz w:val="21"/>
              </w:rPr>
              <w:t>13.茶叶类：</w:t>
            </w:r>
          </w:p>
          <w:p>
            <w:pPr>
              <w:pStyle w:val="74"/>
              <w:jc w:val="left"/>
            </w:pPr>
            <w:r>
              <w:rPr>
                <w:sz w:val="21"/>
              </w:rPr>
              <w:t>铁观音、普洱茶、单枞、红茶、绿茶、花茶等。</w:t>
            </w:r>
          </w:p>
          <w:p>
            <w:pPr>
              <w:pStyle w:val="74"/>
              <w:jc w:val="left"/>
            </w:pPr>
            <w:r>
              <w:rPr>
                <w:b/>
                <w:sz w:val="21"/>
              </w:rPr>
              <w:t>14.粮油类：</w:t>
            </w:r>
          </w:p>
          <w:p>
            <w:pPr>
              <w:pStyle w:val="74"/>
              <w:jc w:val="left"/>
            </w:pPr>
            <w:r>
              <w:rPr>
                <w:sz w:val="21"/>
              </w:rPr>
              <w:t>原粮产品：谷类、麦类、杂粮类和豆类。包括稻谷、小麦、燕麦、玉米粉、高粱、谷子、大麦、荞麦、大豆、小豆、蚕豆、芸豆、甘薯等</w:t>
            </w:r>
          </w:p>
          <w:p>
            <w:pPr>
              <w:pStyle w:val="74"/>
              <w:jc w:val="left"/>
            </w:pPr>
            <w:r>
              <w:rPr>
                <w:sz w:val="21"/>
              </w:rPr>
              <w:t>成品粮：大米、小麦粉，小米、油菜籽、白芝麻、黑芝麻、棉籽、葵花子、香瓜籽、油茶籽、棕榈籽等</w:t>
            </w:r>
          </w:p>
          <w:p>
            <w:pPr>
              <w:pStyle w:val="74"/>
              <w:jc w:val="left"/>
            </w:pPr>
            <w:r>
              <w:rPr>
                <w:sz w:val="21"/>
              </w:rPr>
              <w:t>粮油制品：挂面、龙须面，荞麦挂面，通心粉，凉面，米粉、粉丝、西米、面粉、糯米粉、粘米粉、生粉等。</w:t>
            </w:r>
          </w:p>
          <w:p>
            <w:pPr>
              <w:pStyle w:val="74"/>
              <w:jc w:val="left"/>
            </w:pPr>
            <w:r>
              <w:rPr>
                <w:b/>
                <w:sz w:val="21"/>
              </w:rPr>
              <w:t>15.调味品类：</w:t>
            </w:r>
          </w:p>
          <w:p>
            <w:pPr>
              <w:pStyle w:val="74"/>
              <w:jc w:val="left"/>
            </w:pPr>
            <w:r>
              <w:rPr>
                <w:sz w:val="21"/>
              </w:rPr>
              <w:t>盐、油（花生油、菜油、香油、葵花子油、蓖麻籽油、大豆油、玉米胚油、棕榈油、橄榄油，色拉油、调和油等）、酱、醋、味精、糖、辣椒酱、辣椒油、鸡粉、番茄酱、老干妈、腐乳、豆豉、橄榄菜、炼奶、南乳、泰汁、喼汁、花生酱、芝麻酱、色拉调料、罐头鱼等。</w:t>
            </w:r>
          </w:p>
          <w:p>
            <w:pPr>
              <w:pStyle w:val="74"/>
              <w:jc w:val="left"/>
            </w:pPr>
            <w:r>
              <w:rPr>
                <w:b/>
                <w:sz w:val="21"/>
              </w:rPr>
              <w:t>16.副食品类：</w:t>
            </w:r>
          </w:p>
          <w:p>
            <w:pPr>
              <w:pStyle w:val="74"/>
              <w:jc w:val="left"/>
            </w:pPr>
            <w:r>
              <w:rPr>
                <w:sz w:val="21"/>
              </w:rPr>
              <w:t>牛奶及牛奶制品、酸奶、饼干、方便面、即食米粉、自热食品、八宝粥、龟苓膏、奶制类饮料、果蔬汁饮料、茶饮料、即食食品、饮料等。</w:t>
            </w:r>
          </w:p>
          <w:p>
            <w:pPr>
              <w:pStyle w:val="74"/>
              <w:jc w:val="left"/>
            </w:pPr>
            <w:r>
              <w:rPr>
                <w:b/>
                <w:sz w:val="21"/>
              </w:rPr>
              <w:t>17.水果类：</w:t>
            </w:r>
          </w:p>
          <w:p>
            <w:pPr>
              <w:pStyle w:val="74"/>
              <w:jc w:val="left"/>
            </w:pPr>
            <w:r>
              <w:rPr>
                <w:sz w:val="21"/>
              </w:rPr>
              <w:t>香蕉、粉蕉、大蕉、橙、柑、苹果、雪梨、石榴、番石榴、龙眼、香瓜、柿子、红枣、青枣、香梨、圣女果、西瓜、哈密瓜、贡柑、沙糖橘、柚子、提子、荔枝、椰子等。</w:t>
            </w:r>
          </w:p>
          <w:p>
            <w:pPr>
              <w:pStyle w:val="74"/>
              <w:jc w:val="left"/>
            </w:pPr>
            <w:r>
              <w:rPr>
                <w:b/>
                <w:sz w:val="21"/>
              </w:rPr>
              <w:t>18.其他：</w:t>
            </w:r>
          </w:p>
          <w:p>
            <w:pPr>
              <w:pStyle w:val="74"/>
            </w:pPr>
            <w:r>
              <w:rPr>
                <w:sz w:val="21"/>
              </w:rPr>
              <w:t>其他食材。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9" w:type="dxa"/>
          </w:tcPr>
          <w:p>
            <w:pPr>
              <w:pStyle w:val="74"/>
            </w:pPr>
            <w:r>
              <w:t>3</w:t>
            </w:r>
          </w:p>
        </w:tc>
        <w:tc>
          <w:tcPr>
            <w:tcW w:w="5814" w:type="dxa"/>
            <w:vAlign w:val="top"/>
          </w:tcPr>
          <w:p>
            <w:pPr>
              <w:pStyle w:val="74"/>
              <w:jc w:val="left"/>
            </w:pPr>
            <w:r>
              <w:rPr>
                <w:b/>
                <w:sz w:val="21"/>
              </w:rPr>
              <w:t>1.蔬菜、瓜果类供货要求：</w:t>
            </w:r>
          </w:p>
          <w:p>
            <w:pPr>
              <w:pStyle w:val="74"/>
              <w:jc w:val="left"/>
            </w:pPr>
            <w:r>
              <w:rPr>
                <w:sz w:val="21"/>
              </w:rPr>
              <w:t>1）新鲜度</w:t>
            </w:r>
          </w:p>
          <w:p>
            <w:pPr>
              <w:pStyle w:val="74"/>
              <w:jc w:val="left"/>
            </w:pPr>
            <w:r>
              <w:rPr>
                <w:sz w:val="21"/>
              </w:rPr>
              <w:t>①水量：充足、但无过分萎蔫、皱皮。</w:t>
            </w:r>
          </w:p>
          <w:p>
            <w:pPr>
              <w:pStyle w:val="74"/>
              <w:jc w:val="left"/>
            </w:pPr>
            <w:r>
              <w:rPr>
                <w:sz w:val="21"/>
              </w:rPr>
              <w:t>②色泽：正常、无变色、有光泽。</w:t>
            </w:r>
          </w:p>
          <w:p>
            <w:pPr>
              <w:pStyle w:val="74"/>
              <w:jc w:val="left"/>
            </w:pPr>
            <w:r>
              <w:rPr>
                <w:sz w:val="21"/>
              </w:rPr>
              <w:t>③硬度：叶菜挺立、爪菜饱满、结实、无空心、根菜略硬</w:t>
            </w:r>
          </w:p>
          <w:p>
            <w:pPr>
              <w:pStyle w:val="74"/>
              <w:jc w:val="left"/>
            </w:pPr>
            <w:r>
              <w:rPr>
                <w:sz w:val="21"/>
              </w:rPr>
              <w:t>2）机械伤：相同新鲜条件下无外力造成伤害：挤伤、压伤、碰伤切口、裂伤等。</w:t>
            </w:r>
          </w:p>
          <w:p>
            <w:pPr>
              <w:pStyle w:val="74"/>
              <w:jc w:val="left"/>
            </w:pPr>
            <w:r>
              <w:rPr>
                <w:sz w:val="21"/>
              </w:rPr>
              <w:t>3）病虫害：无虫害、虫壳、无残虫卵。</w:t>
            </w:r>
          </w:p>
          <w:p>
            <w:pPr>
              <w:pStyle w:val="74"/>
              <w:jc w:val="left"/>
            </w:pPr>
            <w:r>
              <w:rPr>
                <w:sz w:val="21"/>
              </w:rPr>
              <w:t>4）形状：枝叶丰满、大小适中、曲线协调。</w:t>
            </w:r>
          </w:p>
          <w:p>
            <w:pPr>
              <w:pStyle w:val="74"/>
              <w:jc w:val="left"/>
            </w:pPr>
            <w:r>
              <w:rPr>
                <w:sz w:val="21"/>
              </w:rPr>
              <w:t>5）成熟度：适中、无未熟过、腐烂。</w:t>
            </w:r>
          </w:p>
          <w:p>
            <w:pPr>
              <w:pStyle w:val="74"/>
              <w:jc w:val="left"/>
            </w:pPr>
            <w:r>
              <w:rPr>
                <w:sz w:val="21"/>
              </w:rPr>
              <w:t>6）污染：无污染、残留农药、运输造成的污染。</w:t>
            </w:r>
          </w:p>
          <w:p>
            <w:pPr>
              <w:pStyle w:val="74"/>
              <w:jc w:val="left"/>
            </w:pPr>
            <w:r>
              <w:rPr>
                <w:sz w:val="21"/>
              </w:rPr>
              <w:t>7）有包装肉菜：应完整、干净。</w:t>
            </w:r>
          </w:p>
          <w:p>
            <w:pPr>
              <w:pStyle w:val="74"/>
              <w:jc w:val="left"/>
            </w:pPr>
            <w:r>
              <w:rPr>
                <w:sz w:val="21"/>
              </w:rPr>
              <w:t>8）叶菜类：挺实、全味正、颜色好、无过多黄叶、腐烂叶与多泥根，水分充足、无萎蔫、不成束现象。</w:t>
            </w:r>
          </w:p>
          <w:p>
            <w:pPr>
              <w:pStyle w:val="74"/>
              <w:jc w:val="left"/>
            </w:pPr>
            <w:r>
              <w:rPr>
                <w:sz w:val="21"/>
              </w:rPr>
              <w:t>9）瓜菜类：个大、成熟、新鲜、外皮无斑点、有新鲜绿秧、无软化、变质现象。</w:t>
            </w:r>
          </w:p>
          <w:p>
            <w:pPr>
              <w:pStyle w:val="74"/>
              <w:jc w:val="left"/>
            </w:pPr>
            <w:r>
              <w:rPr>
                <w:sz w:val="21"/>
              </w:rPr>
              <w:t>10）根菜类：挺实、无软化、腐烂、带泥过多、色泽正常、形状正常、无生芽现象。</w:t>
            </w:r>
          </w:p>
          <w:p>
            <w:pPr>
              <w:pStyle w:val="74"/>
              <w:jc w:val="left"/>
            </w:pPr>
            <w:r>
              <w:rPr>
                <w:sz w:val="21"/>
              </w:rPr>
              <w:t>11）供货重量须达到采购人的供货需求重量。</w:t>
            </w:r>
          </w:p>
          <w:p>
            <w:pPr>
              <w:pStyle w:val="74"/>
              <w:jc w:val="left"/>
            </w:pPr>
            <w:r>
              <w:rPr>
                <w:b/>
                <w:sz w:val="21"/>
              </w:rPr>
              <w:t>2.水产类的供货要求：</w:t>
            </w:r>
          </w:p>
          <w:p>
            <w:pPr>
              <w:pStyle w:val="74"/>
              <w:jc w:val="left"/>
            </w:pPr>
            <w:r>
              <w:rPr>
                <w:sz w:val="21"/>
              </w:rPr>
              <w:t>1）鲜鱼鳞片完整，有光泽无脱落，鳃口紧闭，眼球光亮透明，鱼鳃鲜红，鳍尾完整，确保皮肤天然色泽明显。</w:t>
            </w:r>
          </w:p>
          <w:p>
            <w:pPr>
              <w:pStyle w:val="74"/>
              <w:jc w:val="left"/>
            </w:pPr>
            <w:r>
              <w:rPr>
                <w:sz w:val="21"/>
              </w:rPr>
              <w:t>2）鱼体饱满结实、新鲜，无腐烂异味，肉质紧密有弹性，无离骨脱刺现象。</w:t>
            </w:r>
          </w:p>
          <w:p>
            <w:pPr>
              <w:pStyle w:val="74"/>
              <w:jc w:val="left"/>
            </w:pPr>
            <w:r>
              <w:rPr>
                <w:sz w:val="21"/>
              </w:rPr>
              <w:t>3）鲜鱼类来源可靠放心，无毒、无害、无污染。</w:t>
            </w:r>
          </w:p>
          <w:p>
            <w:pPr>
              <w:pStyle w:val="74"/>
              <w:jc w:val="left"/>
            </w:pPr>
            <w:r>
              <w:rPr>
                <w:sz w:val="21"/>
              </w:rPr>
              <w:t>4）鲜活类要求游动活泼，鱼体健康，体态匀称，体色鲜明，体表光滑，眼睛亮丽，鳞片鳍条完好。</w:t>
            </w:r>
          </w:p>
          <w:p>
            <w:pPr>
              <w:pStyle w:val="74"/>
              <w:jc w:val="left"/>
            </w:pPr>
            <w:r>
              <w:rPr>
                <w:sz w:val="21"/>
              </w:rPr>
              <w:t>5）产品票证要求：验收中无票证、货与票证不相符的以及要素不全的，采购人有权拒收。</w:t>
            </w:r>
          </w:p>
          <w:p>
            <w:pPr>
              <w:pStyle w:val="74"/>
              <w:jc w:val="left"/>
            </w:pPr>
            <w:r>
              <w:rPr>
                <w:b/>
                <w:sz w:val="21"/>
              </w:rPr>
              <w:t>3.肉类主要商品供货要求（包括但不限于以下内容）：</w:t>
            </w:r>
          </w:p>
          <w:p>
            <w:pPr>
              <w:pStyle w:val="74"/>
              <w:jc w:val="left"/>
            </w:pPr>
            <w:r>
              <w:rPr>
                <w:sz w:val="21"/>
              </w:rPr>
              <w:t>1）所有肉类应符合国家有关标准，保证无异味、无霉烂变质。肉类供货时需提供当批次有效的动物产品检疫合格证原件备查。</w:t>
            </w:r>
          </w:p>
          <w:p>
            <w:pPr>
              <w:pStyle w:val="74"/>
              <w:jc w:val="left"/>
            </w:pPr>
            <w:r>
              <w:rPr>
                <w:sz w:val="21"/>
              </w:rPr>
              <w:t>2）所有货物指标要符合国家强制性标准要求，冻食品类产品，成交供应商必须清晰地列出产品品牌，型号、包装类型、包装方式、包装净重量、含冰量等相关参数，且包装箱上应贴有QS标志。</w:t>
            </w:r>
          </w:p>
          <w:p>
            <w:pPr>
              <w:pStyle w:val="74"/>
              <w:jc w:val="left"/>
            </w:pPr>
            <w:r>
              <w:rPr>
                <w:sz w:val="21"/>
              </w:rPr>
              <w:t>3）对所有肉类、食品的品质要求，应符合国家食品部门的有关标准要求。</w:t>
            </w:r>
          </w:p>
          <w:p>
            <w:pPr>
              <w:pStyle w:val="74"/>
              <w:jc w:val="left"/>
            </w:pPr>
            <w:r>
              <w:rPr>
                <w:sz w:val="21"/>
              </w:rPr>
              <w:t>4）色泽：肌肉有光泽，红色均匀，脂肪乳白色，肌肉有光泽，红色或稍暗，脂肪白色。</w:t>
            </w:r>
          </w:p>
          <w:p>
            <w:pPr>
              <w:pStyle w:val="74"/>
              <w:jc w:val="left"/>
            </w:pPr>
            <w:r>
              <w:rPr>
                <w:sz w:val="21"/>
              </w:rPr>
              <w:t>5）组织状态：纤维清晰，有坚韧性，指压后凹陷立即恢复肉质紧密，有坚韧性。</w:t>
            </w:r>
          </w:p>
          <w:p>
            <w:pPr>
              <w:pStyle w:val="74"/>
              <w:jc w:val="left"/>
            </w:pPr>
            <w:r>
              <w:rPr>
                <w:sz w:val="21"/>
              </w:rPr>
              <w:t>6）黏度：外表湿润，不粘手外表湿润，切面有渗出液，不粘手。</w:t>
            </w:r>
          </w:p>
          <w:p>
            <w:pPr>
              <w:pStyle w:val="74"/>
              <w:jc w:val="left"/>
            </w:pPr>
            <w:r>
              <w:rPr>
                <w:sz w:val="21"/>
              </w:rPr>
              <w:t>7）气味：具有鲜猪肉固有的气味，无异味，煮沸后肉汤澄清透明，脂肪团聚于表面澄清透明或稍有浑浊，脂肪团聚于表面。</w:t>
            </w:r>
          </w:p>
          <w:p>
            <w:pPr>
              <w:pStyle w:val="74"/>
              <w:jc w:val="left"/>
            </w:pPr>
            <w:r>
              <w:rPr>
                <w:sz w:val="21"/>
              </w:rPr>
              <w:t>8）供货肉重量须达到采购人的供货需求重量。</w:t>
            </w:r>
          </w:p>
          <w:p>
            <w:pPr>
              <w:pStyle w:val="74"/>
              <w:jc w:val="left"/>
            </w:pPr>
            <w:r>
              <w:rPr>
                <w:sz w:val="21"/>
              </w:rPr>
              <w:t>9）产品票证要求：验收中无票证、货与票证不相符的以及要素不全的，采购人有权拒收。</w:t>
            </w:r>
          </w:p>
          <w:p>
            <w:pPr>
              <w:pStyle w:val="74"/>
              <w:jc w:val="left"/>
            </w:pPr>
            <w:r>
              <w:rPr>
                <w:b/>
                <w:sz w:val="21"/>
              </w:rPr>
              <w:t>4.茶叶、其他类主要商品供货要求（包括但不限于以下内容）：</w:t>
            </w:r>
          </w:p>
          <w:p>
            <w:pPr>
              <w:pStyle w:val="74"/>
              <w:jc w:val="left"/>
            </w:pPr>
            <w:r>
              <w:rPr>
                <w:sz w:val="21"/>
              </w:rPr>
              <w:t>1）货物有包装的，货物的包装必须完整清洁（无损、无污、无皱）且提供有效期，采购人有权拒收包装不整齐、已拆封的商品。</w:t>
            </w:r>
          </w:p>
          <w:p>
            <w:pPr>
              <w:pStyle w:val="74"/>
              <w:jc w:val="left"/>
            </w:pPr>
            <w:r>
              <w:rPr>
                <w:sz w:val="21"/>
              </w:rPr>
              <w:t>2）采购人发现商品出现损坏（包括表面损坏），或出现水渍、串味、受潮等导致货物性质改变的，成交供应商必须无条件退货或更换商品。</w:t>
            </w:r>
          </w:p>
          <w:p>
            <w:pPr>
              <w:pStyle w:val="74"/>
              <w:jc w:val="left"/>
            </w:pPr>
            <w:r>
              <w:rPr>
                <w:sz w:val="21"/>
              </w:rPr>
              <w:t>3）成交供应商保证所提供的非精酒类饮料的多样性和季节性，以保证新鲜感。奶制品类饮料及其他非精酒类饮料保证有充足的保质期。</w:t>
            </w:r>
          </w:p>
          <w:p>
            <w:pPr>
              <w:pStyle w:val="74"/>
              <w:jc w:val="left"/>
            </w:pPr>
            <w:r>
              <w:rPr>
                <w:b/>
                <w:sz w:val="21"/>
              </w:rPr>
              <w:t>5.调味品类主要商品供货要求（包括但不限于以下内容）：</w:t>
            </w:r>
          </w:p>
          <w:p>
            <w:pPr>
              <w:pStyle w:val="74"/>
              <w:jc w:val="left"/>
            </w:pPr>
            <w:r>
              <w:rPr>
                <w:sz w:val="21"/>
              </w:rPr>
              <w:t>①基本要求：外包装完好，有QS标志，标明品名、厂名、重量、生产日期、保质期或保存期、执行标准，剩余保质期不少于三分之二，具有产品合格证。具有正常植物油的色泽、透明度、气味和滋味，无焦臭、酸败及其他异味。</w:t>
            </w:r>
          </w:p>
          <w:p>
            <w:pPr>
              <w:pStyle w:val="74"/>
              <w:jc w:val="left"/>
            </w:pPr>
            <w:r>
              <w:rPr>
                <w:sz w:val="21"/>
              </w:rPr>
              <w:t>②食用油生产企业的资质证明（首次供应时提供）：《企业法人营业执照》副本、《食品生产许可证》或《食品经营许可证》或《全国工业产品生产许可证》。</w:t>
            </w:r>
          </w:p>
          <w:p>
            <w:pPr>
              <w:pStyle w:val="74"/>
              <w:jc w:val="left"/>
            </w:pPr>
            <w:r>
              <w:rPr>
                <w:sz w:val="21"/>
              </w:rPr>
              <w:t>③气味、滋味：具有固有的气味和滋味，无异味。</w:t>
            </w:r>
          </w:p>
          <w:p>
            <w:pPr>
              <w:pStyle w:val="74"/>
              <w:jc w:val="left"/>
            </w:pPr>
            <w:r>
              <w:rPr>
                <w:sz w:val="21"/>
              </w:rPr>
              <w:t>④加热试验（280℃）油色不得变深，无析出物。</w:t>
            </w:r>
          </w:p>
          <w:p>
            <w:pPr>
              <w:pStyle w:val="74"/>
              <w:jc w:val="left"/>
            </w:pPr>
            <w:r>
              <w:rPr>
                <w:sz w:val="21"/>
              </w:rPr>
              <w:t>⑤不得混有其他食用油或非食用油。</w:t>
            </w:r>
          </w:p>
          <w:p>
            <w:pPr>
              <w:pStyle w:val="74"/>
              <w:jc w:val="left"/>
            </w:pPr>
            <w:r>
              <w:rPr>
                <w:b/>
                <w:sz w:val="21"/>
              </w:rPr>
              <w:t>6.其他类别主要商品供货要求（包括但不限于以下内容）：</w:t>
            </w:r>
          </w:p>
          <w:p>
            <w:pPr>
              <w:pStyle w:val="74"/>
              <w:jc w:val="left"/>
            </w:pPr>
            <w:r>
              <w:rPr>
                <w:sz w:val="21"/>
              </w:rPr>
              <w:t>（1）腊制品类：色泽鲜明，肌肉呈红色，脂肪透明呈乳白色，肉身干燥结实，有固有气味。没有添加人工色素以及化学物质。（2）熟食类：肉色有光泽，红色均匀，脂肪通透色，具有鲜肉固有的气味，无异味。</w:t>
            </w:r>
          </w:p>
          <w:p>
            <w:pPr>
              <w:pStyle w:val="74"/>
              <w:jc w:val="left"/>
            </w:pPr>
            <w:r>
              <w:rPr>
                <w:b/>
                <w:sz w:val="21"/>
              </w:rPr>
              <w:t>7.副食品类主要商品供货要求（包括但不限于以下内容）：</w:t>
            </w:r>
          </w:p>
          <w:p>
            <w:pPr>
              <w:pStyle w:val="74"/>
              <w:jc w:val="left"/>
            </w:pPr>
            <w:r>
              <w:rPr>
                <w:sz w:val="21"/>
              </w:rPr>
              <w:t>1）货物有包装的，货物的包装必须完整清洁（无损、无污、无皱）且提供有效期，采购人有权拒收包装不整齐、已拆封的商品。</w:t>
            </w:r>
          </w:p>
          <w:p>
            <w:pPr>
              <w:pStyle w:val="74"/>
              <w:jc w:val="left"/>
            </w:pPr>
            <w:r>
              <w:rPr>
                <w:sz w:val="21"/>
              </w:rPr>
              <w:t>2）采购人发现商品出现损坏（包括表面损坏），或出现水渍、串味、受潮等导致货物性质改变的，成交供应商必须无条件退货或更换商品。</w:t>
            </w:r>
          </w:p>
          <w:p>
            <w:pPr>
              <w:pStyle w:val="74"/>
              <w:jc w:val="left"/>
            </w:pPr>
            <w:r>
              <w:rPr>
                <w:sz w:val="21"/>
              </w:rPr>
              <w:t>3）成交供应商保证所提供的非精酒类饮料的多样性和季节性，以保证新鲜感。奶制品类饮料及其他非精酒类饮料保证有充足的保质期。</w:t>
            </w:r>
          </w:p>
          <w:p>
            <w:pPr>
              <w:pStyle w:val="74"/>
              <w:jc w:val="left"/>
            </w:pPr>
            <w:r>
              <w:rPr>
                <w:b/>
                <w:sz w:val="21"/>
              </w:rPr>
              <w:t>8.水果类供货要求：</w:t>
            </w:r>
          </w:p>
          <w:p>
            <w:pPr>
              <w:pStyle w:val="74"/>
              <w:jc w:val="left"/>
            </w:pPr>
            <w:r>
              <w:rPr>
                <w:sz w:val="21"/>
              </w:rPr>
              <w:t>1.合格质量：指水果有无病虫害、生理病害及严重污染、可通过视觉的判断和实验分析等手段来确认。</w:t>
            </w:r>
          </w:p>
          <w:p>
            <w:pPr>
              <w:pStyle w:val="74"/>
              <w:jc w:val="left"/>
            </w:pPr>
            <w:r>
              <w:rPr>
                <w:sz w:val="21"/>
              </w:rPr>
              <w:t>2.外观质量：指颜色、大小、形状、外表、整齐度等，可通过视觉、触觉来进行判断。</w:t>
            </w:r>
          </w:p>
          <w:p>
            <w:pPr>
              <w:pStyle w:val="74"/>
              <w:jc w:val="left"/>
            </w:pPr>
            <w:r>
              <w:rPr>
                <w:sz w:val="21"/>
              </w:rPr>
              <w:t>3.口感质量：指新鲜度、成熟度、多汁性、甜酸度、软硬度等、可通过味觉、视觉、触觉来进行判断。</w:t>
            </w:r>
          </w:p>
          <w:p>
            <w:pPr>
              <w:pStyle w:val="74"/>
              <w:jc w:val="left"/>
            </w:pPr>
            <w:r>
              <w:rPr>
                <w:sz w:val="21"/>
              </w:rPr>
              <w:t>4.洁净质量：指清洁的程度和外包装的良好度。</w:t>
            </w:r>
          </w:p>
          <w:p>
            <w:pPr>
              <w:pStyle w:val="74"/>
              <w:jc w:val="left"/>
            </w:pPr>
            <w:r>
              <w:rPr>
                <w:sz w:val="21"/>
              </w:rPr>
              <w:t>5.新鲜度</w:t>
            </w:r>
          </w:p>
          <w:p>
            <w:pPr>
              <w:pStyle w:val="74"/>
              <w:jc w:val="left"/>
            </w:pPr>
            <w:r>
              <w:rPr>
                <w:sz w:val="21"/>
              </w:rPr>
              <w:t>（1）水量：充足、无空壳、皱皮、干涩现象。</w:t>
            </w:r>
          </w:p>
          <w:p>
            <w:pPr>
              <w:pStyle w:val="74"/>
              <w:jc w:val="left"/>
            </w:pPr>
            <w:r>
              <w:rPr>
                <w:sz w:val="21"/>
              </w:rPr>
              <w:t>（2）色泽：鲜艳、光亮无变色。</w:t>
            </w:r>
          </w:p>
          <w:p>
            <w:pPr>
              <w:pStyle w:val="74"/>
              <w:jc w:val="left"/>
            </w:pPr>
            <w:r>
              <w:rPr>
                <w:sz w:val="21"/>
              </w:rPr>
              <w:t>（3）硬度：饱满、充实、软硬适中。</w:t>
            </w:r>
          </w:p>
          <w:p>
            <w:pPr>
              <w:pStyle w:val="74"/>
              <w:jc w:val="left"/>
            </w:pPr>
            <w:r>
              <w:rPr>
                <w:sz w:val="21"/>
              </w:rPr>
              <w:t>6.机械伤：相同新鲜条件下无外力造成的伤害。如挤伤、压伤、碰伤、切口、裂伤等。</w:t>
            </w:r>
          </w:p>
          <w:p>
            <w:pPr>
              <w:pStyle w:val="74"/>
              <w:jc w:val="left"/>
            </w:pPr>
            <w:r>
              <w:rPr>
                <w:sz w:val="21"/>
              </w:rPr>
              <w:t>7.病虫害：无不良病虫害。表面、中间无虫卵遗留、无虫眼。</w:t>
            </w:r>
          </w:p>
          <w:p>
            <w:pPr>
              <w:pStyle w:val="74"/>
              <w:jc w:val="left"/>
            </w:pPr>
            <w:r>
              <w:rPr>
                <w:sz w:val="21"/>
              </w:rPr>
              <w:t>8.形状：曲线协调、外形优美、果实硕大、无不良图案及异状。</w:t>
            </w:r>
          </w:p>
          <w:p>
            <w:pPr>
              <w:pStyle w:val="74"/>
              <w:jc w:val="left"/>
            </w:pPr>
            <w:r>
              <w:rPr>
                <w:sz w:val="21"/>
              </w:rPr>
              <w:t>9.成熟度：适中、无过熟、未熟现象。</w:t>
            </w:r>
          </w:p>
          <w:p>
            <w:pPr>
              <w:pStyle w:val="74"/>
              <w:jc w:val="left"/>
            </w:pPr>
            <w:r>
              <w:rPr>
                <w:sz w:val="21"/>
              </w:rPr>
              <w:t>10.污染：无污染、残留农药。</w:t>
            </w:r>
          </w:p>
          <w:p>
            <w:pPr>
              <w:pStyle w:val="74"/>
              <w:jc w:val="left"/>
            </w:pPr>
            <w:r>
              <w:rPr>
                <w:sz w:val="21"/>
              </w:rPr>
              <w:t>11.包装：如有包装应完整干净。</w:t>
            </w:r>
          </w:p>
          <w:p>
            <w:pPr>
              <w:pStyle w:val="74"/>
              <w:jc w:val="left"/>
            </w:pPr>
            <w:r>
              <w:rPr>
                <w:sz w:val="21"/>
              </w:rPr>
              <w:t>12.瓜果装：外表光亮无斑点、有新鲜连接的秋、形状正常、无软塌处、成熟。</w:t>
            </w:r>
          </w:p>
          <w:p>
            <w:pPr>
              <w:pStyle w:val="74"/>
              <w:jc w:val="left"/>
            </w:pPr>
            <w:r>
              <w:rPr>
                <w:sz w:val="21"/>
              </w:rPr>
              <w:t>13.柑橘类：不空壳、水分充足、外表完美。</w:t>
            </w:r>
          </w:p>
          <w:p>
            <w:pPr>
              <w:pStyle w:val="74"/>
              <w:jc w:val="left"/>
            </w:pPr>
            <w:r>
              <w:rPr>
                <w:sz w:val="21"/>
              </w:rPr>
              <w:t>14.浆果类：无腐烂、变色、外形不完整、不成熟现象。</w:t>
            </w:r>
          </w:p>
          <w:p>
            <w:pPr>
              <w:pStyle w:val="74"/>
              <w:jc w:val="left"/>
            </w:pPr>
            <w:r>
              <w:rPr>
                <w:sz w:val="21"/>
              </w:rPr>
              <w:t>15.梨果类：色泽鲜、大小适中、无硬节、有果把儿。</w:t>
            </w:r>
          </w:p>
          <w:p>
            <w:pPr>
              <w:pStyle w:val="74"/>
              <w:jc w:val="left"/>
            </w:pPr>
            <w:r>
              <w:rPr>
                <w:b/>
                <w:sz w:val="21"/>
              </w:rPr>
              <w:t>9.牛奶及牛奶制品类供货要求：</w:t>
            </w:r>
          </w:p>
          <w:p>
            <w:pPr>
              <w:pStyle w:val="74"/>
              <w:jc w:val="left"/>
            </w:pPr>
            <w:r>
              <w:rPr>
                <w:sz w:val="21"/>
              </w:rPr>
              <w:t>1）货物有包装的，货物的包装必须完整清洁（无损、无污、无皱）且提供有效期，采购人有权拒收包装不整齐、已拆封的商品。</w:t>
            </w:r>
          </w:p>
          <w:p>
            <w:pPr>
              <w:pStyle w:val="74"/>
              <w:jc w:val="left"/>
            </w:pPr>
            <w:r>
              <w:rPr>
                <w:sz w:val="21"/>
              </w:rPr>
              <w:t>2）采购人发现商品出现损坏（包括表面损坏），或出现水渍、串味、受潮等导致货物性质改变的，成交供应商必须无条件退货或更换商品。</w:t>
            </w:r>
          </w:p>
          <w:p>
            <w:pPr>
              <w:pStyle w:val="74"/>
            </w:pPr>
            <w:r>
              <w:rPr>
                <w:sz w:val="21"/>
              </w:rPr>
              <w:t>3）成交供应商保证所提供的非精酒类饮料的多样性和季节性，以保证新鲜感。奶制品类饮料及其他非精酒类饮料保证有充足的保质期。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4"/>
            </w:pPr>
            <w:r>
              <w:t>★</w:t>
            </w:r>
          </w:p>
        </w:tc>
        <w:tc>
          <w:tcPr>
            <w:tcW w:w="419" w:type="dxa"/>
          </w:tcPr>
          <w:p>
            <w:pPr>
              <w:pStyle w:val="74"/>
            </w:pPr>
            <w:r>
              <w:t>4</w:t>
            </w:r>
          </w:p>
        </w:tc>
        <w:tc>
          <w:tcPr>
            <w:tcW w:w="5814" w:type="dxa"/>
            <w:vAlign w:val="top"/>
          </w:tcPr>
          <w:p>
            <w:pPr>
              <w:pStyle w:val="74"/>
            </w:pPr>
            <w:r>
              <w:t>响应供应商须承诺，如获得成交资格，在合同签订前为本项目购买有效的食品安全责任险，有效期应涵盖本项目服务期。若保险单在服务期内到期的，成交供应商须及时办理续保手续，续保金额须不低于响应时的保单金额。（响应时提供承诺函并加盖响应供应商公章，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9" w:type="dxa"/>
          </w:tcPr>
          <w:p>
            <w:pPr>
              <w:pStyle w:val="74"/>
            </w:pPr>
            <w:r>
              <w:t>5</w:t>
            </w:r>
          </w:p>
        </w:tc>
        <w:tc>
          <w:tcPr>
            <w:tcW w:w="5814" w:type="dxa"/>
            <w:vAlign w:val="top"/>
          </w:tcPr>
          <w:p>
            <w:pPr>
              <w:pStyle w:val="74"/>
              <w:jc w:val="both"/>
            </w:pPr>
            <w:r>
              <w:rPr>
                <w:b/>
                <w:sz w:val="21"/>
              </w:rPr>
              <w:t>供货价格：</w:t>
            </w:r>
          </w:p>
          <w:p>
            <w:pPr>
              <w:pStyle w:val="74"/>
              <w:jc w:val="both"/>
            </w:pPr>
            <w:r>
              <w:rPr>
                <w:sz w:val="21"/>
              </w:rPr>
              <w:t>1.一般肉类瓜菜价格：根据佛山市发展和改革局公布的截止定价时间前的最新一期全市农副产品价格（http://fsdr.foshan.gov.cn/gzcx/nfcpjgcx/gqlfcpjg）。</w:t>
            </w:r>
          </w:p>
          <w:p>
            <w:pPr>
              <w:pStyle w:val="74"/>
              <w:jc w:val="both"/>
            </w:pPr>
            <w:r>
              <w:rPr>
                <w:sz w:val="21"/>
              </w:rPr>
              <w:t>2.其他价格表上没有的肉菜类品质定价程序：每月由采购人和成交供应商共同对各种肉菜询价并得出各种肉菜的市场平均单价，具体询价肉菜种类由采购人指定，市场平均单价由采购人和成交供应商共同书面确认。成交供应商每次的实际供货价格不得高于该种肉菜的上次的市场平均单价（每有一次实际供货价格高于市场平均单价的，将在考核时扣掉相应分数）。春节、国庆等节假日期间、灾害性天气、突发性状况等持续时间较长的月份，由于供货价格波动太大，其定价原则可适当放宽。</w:t>
            </w:r>
          </w:p>
          <w:p>
            <w:pPr>
              <w:pStyle w:val="74"/>
            </w:pPr>
            <w:r>
              <w:rPr>
                <w:sz w:val="21"/>
              </w:rPr>
              <w:t>3.供货价格必须包含市场调查、货物采购、包装、运输、装卸、搬运、不合格货物的退换、所有工作人员的工勤费用以及合同实施过程中的可预见及不可预见费用。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9" w:type="dxa"/>
          </w:tcPr>
          <w:p>
            <w:pPr>
              <w:pStyle w:val="74"/>
            </w:pPr>
            <w:r>
              <w:t>6</w:t>
            </w:r>
          </w:p>
        </w:tc>
        <w:tc>
          <w:tcPr>
            <w:tcW w:w="5814" w:type="dxa"/>
            <w:vAlign w:val="top"/>
          </w:tcPr>
          <w:p>
            <w:pPr>
              <w:pStyle w:val="74"/>
              <w:jc w:val="both"/>
            </w:pPr>
            <w:r>
              <w:rPr>
                <w:b/>
                <w:sz w:val="21"/>
              </w:rPr>
              <w:t>质量及包装要求</w:t>
            </w:r>
          </w:p>
          <w:p>
            <w:pPr>
              <w:pStyle w:val="74"/>
              <w:jc w:val="left"/>
            </w:pPr>
            <w:r>
              <w:rPr>
                <w:sz w:val="21"/>
              </w:rPr>
              <w:t>1.成交供应商应充分理解并认真遵循磋商文件的要求，所提供的货物必须满足磋商文件要求。保证供应的货品均为正规生产的新鲜（冰鲜除外）检验合格、无毒、诚实、无辐射、无侵权货品，符合国家有关卫生、质量、包装和保质标准，要使用有效期的货品，其剩余有效期不得少于标注有效期的80%。</w:t>
            </w:r>
          </w:p>
          <w:p>
            <w:pPr>
              <w:pStyle w:val="74"/>
              <w:jc w:val="left"/>
            </w:pPr>
            <w:r>
              <w:rPr>
                <w:sz w:val="21"/>
              </w:rPr>
              <w:t>2.货物有包装的，货物的包装应完整清洁（无损、无污、无皱），采购人有权拒收包装不整齐、已拆封的商品。</w:t>
            </w:r>
          </w:p>
          <w:p>
            <w:pPr>
              <w:pStyle w:val="74"/>
              <w:jc w:val="left"/>
            </w:pPr>
            <w:r>
              <w:rPr>
                <w:sz w:val="21"/>
              </w:rPr>
              <w:t>3.采购人发现商品出现损坏（包括表面损坏），或出现水渍、串味、受潮等导致货物性质改变的，成交供应商应无条件退货或更换商品。</w:t>
            </w:r>
          </w:p>
          <w:p>
            <w:pPr>
              <w:pStyle w:val="74"/>
              <w:jc w:val="left"/>
            </w:pPr>
            <w:r>
              <w:rPr>
                <w:sz w:val="21"/>
              </w:rPr>
              <w:t>4.成交供应商提供假冒伪劣、过期、变质的、有毒食品的，一经发现，除按采购人要求无条件退货或换货外，还将受到如下处罚：</w:t>
            </w:r>
          </w:p>
          <w:p>
            <w:pPr>
              <w:pStyle w:val="74"/>
              <w:jc w:val="left"/>
            </w:pPr>
            <w:r>
              <w:rPr>
                <w:sz w:val="21"/>
              </w:rPr>
              <w:t>①成交供应商提供假冒伪劣、过期、变质食品的，采购人有权要求无条件退货或换货，成交供应商将被处以当次供应食品货款2倍的罚款，罚款由供货结算款内扣除。</w:t>
            </w:r>
          </w:p>
          <w:p>
            <w:pPr>
              <w:pStyle w:val="74"/>
            </w:pPr>
            <w:r>
              <w:rPr>
                <w:sz w:val="21"/>
              </w:rPr>
              <w:t>②成交供应商若提供有毒食品，造成食品安全事故的，经有关单位鉴定原因后，如确实为成交供应商提供之食品问题，成交供应商须负担全数之医药费，采购人将取消该成交供应商的供货资格和供货合同，成交供应商同时承担相应的民事及刑事法律责任及放弃先诉抗辩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9" w:type="dxa"/>
          </w:tcPr>
          <w:p>
            <w:pPr>
              <w:pStyle w:val="74"/>
            </w:pPr>
            <w:r>
              <w:t>7</w:t>
            </w:r>
          </w:p>
        </w:tc>
        <w:tc>
          <w:tcPr>
            <w:tcW w:w="5814" w:type="dxa"/>
            <w:vAlign w:val="top"/>
          </w:tcPr>
          <w:p>
            <w:pPr>
              <w:pStyle w:val="74"/>
              <w:jc w:val="both"/>
            </w:pPr>
            <w:r>
              <w:rPr>
                <w:b/>
                <w:sz w:val="21"/>
              </w:rPr>
              <w:t>服务要求</w:t>
            </w:r>
          </w:p>
          <w:p>
            <w:pPr>
              <w:pStyle w:val="74"/>
              <w:jc w:val="both"/>
            </w:pPr>
            <w:r>
              <w:rPr>
                <w:sz w:val="21"/>
              </w:rPr>
              <w:t>1.成交供应商获得相应供应粮油类、肉类、鱼类、蛋类、瓜菜类、干杂副食品类、调味品等资格。成交供应商可以是供应上述种类的某一种，也可以是供应多种产品，所供应的货品应量足价平，并提供完善的售后服务。</w:t>
            </w:r>
          </w:p>
          <w:p>
            <w:pPr>
              <w:pStyle w:val="74"/>
              <w:jc w:val="both"/>
            </w:pPr>
            <w:r>
              <w:rPr>
                <w:sz w:val="21"/>
              </w:rPr>
              <w:t>2.成交供应商在合同有限期内负责采购人所需的货物供应，放弃成交资格的成交供应商，在服务期内不能再接受采购人的供货需求。</w:t>
            </w:r>
          </w:p>
          <w:p>
            <w:pPr>
              <w:pStyle w:val="74"/>
              <w:jc w:val="both"/>
            </w:pPr>
            <w:r>
              <w:rPr>
                <w:sz w:val="21"/>
              </w:rPr>
              <w:t>3.成交供应商须每月向采购人提供一次货物食品价目表，价格应按照本项目的供货价格要求确定，供货价格由采购人与成交供应商双方代表签字确认。</w:t>
            </w:r>
          </w:p>
          <w:p>
            <w:pPr>
              <w:pStyle w:val="74"/>
              <w:jc w:val="both"/>
            </w:pPr>
            <w:r>
              <w:rPr>
                <w:sz w:val="21"/>
              </w:rPr>
              <w:t>4.采购人提前一天以邮件、传真或电话方式向成交供应商下订单，订单内容包括肉菜食品的名称、规格、数量等。</w:t>
            </w:r>
          </w:p>
          <w:p>
            <w:pPr>
              <w:pStyle w:val="74"/>
              <w:jc w:val="both"/>
            </w:pPr>
            <w:r>
              <w:rPr>
                <w:sz w:val="21"/>
              </w:rPr>
              <w:t>5.成交供应商应在接到采购人订单之日的第二天上午约定供货时间前将采购人所订购的货物送至采购人指定地点。如果采购人临时改变订购的货物种类、规格、数量等，成交供应商须在接到通知后并在当天上午11:00前将货物送达，待采购人验收、核对后，视为供货完成。</w:t>
            </w:r>
          </w:p>
          <w:p>
            <w:pPr>
              <w:pStyle w:val="74"/>
              <w:jc w:val="both"/>
            </w:pPr>
            <w:r>
              <w:rPr>
                <w:sz w:val="21"/>
              </w:rPr>
              <w:t>6.成交供应商所提供的货物必须符合卫生标准和营养要求、无毒、无害、具有良好的感官性状以及满足采购人的要求，每次送交的所有货品都要注明来源。否则，采购人有权退货，成交供应商必须在60分钟内予以退还补货。成交供应商每次送货时，须将食材等供货清单随同交到采购人指定的负责人手中。采购人对成交供应商所送货物进行抽检时，成交供应商须无偿配合。</w:t>
            </w:r>
          </w:p>
          <w:p>
            <w:pPr>
              <w:pStyle w:val="74"/>
              <w:jc w:val="both"/>
            </w:pPr>
            <w:r>
              <w:rPr>
                <w:sz w:val="21"/>
              </w:rPr>
              <w:t>7.每次送货，成交供应商须委派一名专职负责人，负责货物的运输、过秤，并协助采购人验收货品，货品的品种和重量以采购人验收的结果为准。</w:t>
            </w:r>
          </w:p>
          <w:p>
            <w:pPr>
              <w:pStyle w:val="74"/>
              <w:jc w:val="both"/>
            </w:pPr>
            <w:r>
              <w:rPr>
                <w:sz w:val="21"/>
              </w:rPr>
              <w:t>8.对小量常用品的临时需求，应在1小时内送到。对不合格产品，需及时更换，并1小时内送到。</w:t>
            </w:r>
          </w:p>
          <w:p>
            <w:pPr>
              <w:pStyle w:val="74"/>
              <w:jc w:val="both"/>
            </w:pPr>
            <w:r>
              <w:rPr>
                <w:sz w:val="21"/>
              </w:rPr>
              <w:t>9.成交供应商在合同履行期内保证对采购人的货物供应，若成交供应商反悔或不能履行合同的，采购人有权单方终止合同，由此产生的一切经济损失由成交供应商自行承担。</w:t>
            </w:r>
          </w:p>
          <w:p>
            <w:pPr>
              <w:pStyle w:val="74"/>
              <w:jc w:val="both"/>
            </w:pPr>
            <w:r>
              <w:rPr>
                <w:sz w:val="21"/>
              </w:rPr>
              <w:t>10.如成交供应商不能按时、保质、保量供货，由采购人自行采购，并承担采购人由此造成的经济损失和接受违约处罚。</w:t>
            </w:r>
          </w:p>
          <w:p>
            <w:pPr>
              <w:pStyle w:val="74"/>
            </w:pPr>
            <w:r>
              <w:rPr>
                <w:sz w:val="21"/>
              </w:rPr>
              <w:t>11.在供货合同期间，成交供应商须积极配合采购人各项工作任务，服从配送任务安排，不得无故拒绝或者拖延配送任务。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9" w:type="dxa"/>
          </w:tcPr>
          <w:p>
            <w:pPr>
              <w:pStyle w:val="74"/>
            </w:pPr>
            <w:r>
              <w:t>8</w:t>
            </w:r>
          </w:p>
        </w:tc>
        <w:tc>
          <w:tcPr>
            <w:tcW w:w="5814" w:type="dxa"/>
            <w:vAlign w:val="top"/>
          </w:tcPr>
          <w:p>
            <w:pPr>
              <w:pStyle w:val="74"/>
              <w:jc w:val="both"/>
            </w:pPr>
            <w:r>
              <w:rPr>
                <w:b/>
                <w:sz w:val="21"/>
              </w:rPr>
              <w:t>考核标准</w:t>
            </w:r>
          </w:p>
          <w:p>
            <w:pPr>
              <w:pStyle w:val="74"/>
              <w:jc w:val="left"/>
            </w:pPr>
            <w:r>
              <w:rPr>
                <w:sz w:val="21"/>
              </w:rPr>
              <w:t>本项目实行月度考核，每个月底根据当月的考核得分情况，采购人将调整成交供应商的服务范围。</w:t>
            </w:r>
          </w:p>
          <w:p>
            <w:pPr>
              <w:pStyle w:val="74"/>
              <w:jc w:val="both"/>
            </w:pPr>
            <w:r>
              <w:rPr>
                <w:sz w:val="21"/>
              </w:rPr>
              <w:t>1.出现以下情况取消资格：</w:t>
            </w:r>
          </w:p>
          <w:p>
            <w:pPr>
              <w:pStyle w:val="74"/>
              <w:jc w:val="both"/>
            </w:pPr>
            <w:r>
              <w:rPr>
                <w:sz w:val="21"/>
              </w:rPr>
              <w:t>①成交供应商在合同履行期间，由于食材质量问题造成卫生安全事故，成交供应商须负一切责任，并且采购人有权利取消其服务资格。</w:t>
            </w:r>
          </w:p>
          <w:p>
            <w:pPr>
              <w:pStyle w:val="74"/>
              <w:jc w:val="both"/>
            </w:pPr>
            <w:r>
              <w:rPr>
                <w:sz w:val="21"/>
              </w:rPr>
              <w:t>②成交供应商在合同履行期间，供货物质量明显出现问题，如腐烂、变质、过期等情况，累计达到3次的，取消其服务资格。</w:t>
            </w:r>
          </w:p>
          <w:p>
            <w:pPr>
              <w:pStyle w:val="74"/>
              <w:jc w:val="both"/>
            </w:pPr>
            <w:r>
              <w:rPr>
                <w:sz w:val="21"/>
              </w:rPr>
              <w:t>③成交供应商在合同履行期间出现实际供货价格/折扣率，超过上一周的市场平均单价，累计达到3次/年的，取消其服务资格。</w:t>
            </w:r>
          </w:p>
          <w:p>
            <w:pPr>
              <w:pStyle w:val="74"/>
              <w:jc w:val="both"/>
            </w:pPr>
            <w:r>
              <w:rPr>
                <w:sz w:val="21"/>
              </w:rPr>
              <w:t>④对采购人提出的问题拒不整改，不配合采购人工作，累计达到3次的，取消其服务资格。</w:t>
            </w:r>
          </w:p>
          <w:p>
            <w:pPr>
              <w:pStyle w:val="74"/>
              <w:jc w:val="both"/>
            </w:pPr>
            <w:r>
              <w:rPr>
                <w:sz w:val="21"/>
              </w:rPr>
              <w:t>⑤月度考核低于60分的，将被进行约谈。服务期内累计两次被约谈的，取消其服务资格。</w:t>
            </w:r>
          </w:p>
          <w:p>
            <w:pPr>
              <w:pStyle w:val="74"/>
              <w:jc w:val="both"/>
            </w:pPr>
            <w:r>
              <w:rPr>
                <w:sz w:val="21"/>
              </w:rPr>
              <w:t>⑥成交供应商在服务期内不得转包操作，一旦发现，取消其服务资格。</w:t>
            </w:r>
          </w:p>
          <w:p>
            <w:pPr>
              <w:pStyle w:val="74"/>
              <w:jc w:val="both"/>
            </w:pPr>
            <w:r>
              <w:rPr>
                <w:sz w:val="21"/>
              </w:rPr>
              <w:t>2.打分表由采购人指定管理员考评当月25日前填报，加分项统一填报。</w:t>
            </w:r>
          </w:p>
          <w:tbl>
            <w:tblPr>
              <w:tblStyle w:val="23"/>
              <w:tblW w:w="0" w:type="auto"/>
              <w:tblInd w:w="4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7"/>
              <w:gridCol w:w="633"/>
              <w:gridCol w:w="2439"/>
              <w:gridCol w:w="574"/>
              <w:gridCol w:w="504"/>
              <w:gridCol w:w="4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澜石派出所食堂食品原材料供应项目（2026-2028年）</w:t>
                  </w:r>
                </w:p>
                <w:p>
                  <w:pPr>
                    <w:pStyle w:val="74"/>
                    <w:jc w:val="center"/>
                  </w:pPr>
                  <w:r>
                    <w:rPr>
                      <w:b/>
                      <w:sz w:val="21"/>
                    </w:rPr>
                    <w:t>考核打分表</w:t>
                  </w:r>
                </w:p>
                <w:p>
                  <w:pPr>
                    <w:pStyle w:val="74"/>
                    <w:jc w:val="right"/>
                  </w:pPr>
                  <w:r>
                    <w:rPr>
                      <w:b/>
                      <w:sz w:val="21"/>
                    </w:rPr>
                    <w:t>满分100分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序号</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考核项目</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b/>
                      <w:sz w:val="21"/>
                    </w:rPr>
                    <w:t>评分细则</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both"/>
                  </w:pPr>
                  <w:r>
                    <w:rPr>
                      <w:b/>
                      <w:sz w:val="21"/>
                    </w:rPr>
                    <w:t>扣分/次</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扣分值</w:t>
                  </w: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配送要求</w:t>
                  </w:r>
                </w:p>
                <w:p>
                  <w:pPr>
                    <w:pStyle w:val="74"/>
                    <w:jc w:val="center"/>
                  </w:pPr>
                  <w:r>
                    <w:rPr>
                      <w:sz w:val="21"/>
                    </w:rPr>
                    <w:t>（12分）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配送车辆、实际运输不符合采购文件及合同约定</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在供货期间，未在规定时间内完成配送、供货的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3</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采购人应急需要配送的，成交供应商拒绝或不配合采购人的要求</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4</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实际配送食品少于订购数量且不能及时补充的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向采购人提供假冒伪劣、以次充好的商品</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6</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送货单没有详细注明食品的品牌、品种、单价、数量，送货单出现涂改，标记不清的情况的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7</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质量要求</w:t>
                  </w:r>
                </w:p>
                <w:p>
                  <w:pPr>
                    <w:pStyle w:val="74"/>
                    <w:jc w:val="center"/>
                  </w:pPr>
                  <w:r>
                    <w:rPr>
                      <w:sz w:val="21"/>
                    </w:rPr>
                    <w:t>（14分）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实际配送的食品与订购食品种类、质量不符，未能及时更换的，采购人有权拒收</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4分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8</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抽查未发现问题，而在加工食用前发现部分产品质量问题，采购人有权将问题产品退回，成交供应商需重新配送</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3分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9</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抽查检测过程中，如发现成交供应商所配送的食品等出现变质变味、过期的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10</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加工人员没有出示健康证，没有穿着工衣和佩戴胸卡的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11</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安全生产管理要求</w:t>
                  </w:r>
                </w:p>
                <w:p>
                  <w:pPr>
                    <w:pStyle w:val="74"/>
                    <w:jc w:val="center"/>
                  </w:pPr>
                  <w:r>
                    <w:rPr>
                      <w:sz w:val="21"/>
                    </w:rPr>
                    <w:t>（7分）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相应批次的食品未能提供对应合格检验证明的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12</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没有建立、健全本单位安全生产责任制，制定安全生产规章制度和操作规程，或违反制度操作的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13</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纪律要求</w:t>
                  </w:r>
                </w:p>
                <w:p>
                  <w:pPr>
                    <w:pStyle w:val="74"/>
                    <w:jc w:val="center"/>
                  </w:pPr>
                  <w:r>
                    <w:rPr>
                      <w:sz w:val="21"/>
                    </w:rPr>
                    <w:t>（47分）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没有相关应急预案的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14</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未按要求及时、如实报告安全生产事故</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15</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提供资料弄虚作假的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10分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16</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出现成交供应商有联手哄抬物价现象，并经采购人查实的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20分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17</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成交供应商配送人员的态度恶劣的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18</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结算时如发现成交供应商没有按照成交下浮率进行结算的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4分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19</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未按指定秩序卸货的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20</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未及时按要求随货提供相关票证的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21</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成交供应商工作人员不遵守采购人各项管理规定或泄露采购人内部情况的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22</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满意度要求</w:t>
                  </w:r>
                </w:p>
                <w:p>
                  <w:pPr>
                    <w:pStyle w:val="74"/>
                    <w:jc w:val="center"/>
                  </w:pPr>
                  <w:r>
                    <w:rPr>
                      <w:sz w:val="21"/>
                    </w:rPr>
                    <w:t>（7分）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向主管人员或验收人进行物质、金钱行贿，并经采购人核实的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5分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23</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被用户投诉，情况属实的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24</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如因成交供应商组织机构发生调整，或经营场所联系人、联系方式变更，未及时通知采购人，造成无法及时联系的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25</w:t>
                  </w:r>
                </w:p>
              </w:tc>
              <w:tc>
                <w:tcPr>
                  <w:tcW w:w="61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其他</w:t>
                  </w:r>
                </w:p>
                <w:p>
                  <w:pPr>
                    <w:pStyle w:val="74"/>
                    <w:jc w:val="center"/>
                  </w:pPr>
                  <w:r>
                    <w:rPr>
                      <w:sz w:val="21"/>
                    </w:rPr>
                    <w:t>（13分）</w:t>
                  </w: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被媒体负面曝光的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10分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26</w:t>
                  </w:r>
                </w:p>
              </w:tc>
              <w:tc>
                <w:tcPr>
                  <w:tcW w:w="617" w:type="dxa"/>
                  <w:vMerge w:val="continue"/>
                  <w:tcBorders>
                    <w:top w:val="nil"/>
                    <w:left w:val="nil"/>
                    <w:bottom w:val="single" w:color="000000" w:sz="4" w:space="0"/>
                    <w:right w:val="single" w:color="000000" w:sz="4" w:space="0"/>
                  </w:tcBorders>
                </w:tcPr>
                <w:p/>
              </w:tc>
              <w:tc>
                <w:tcPr>
                  <w:tcW w:w="29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left"/>
                  </w:pPr>
                  <w:r>
                    <w:rPr>
                      <w:sz w:val="21"/>
                    </w:rPr>
                    <w:t>有违反采购文件及合同规定的其他违约事件的</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3分</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总扣分值</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74"/>
                    <w:jc w:val="center"/>
                  </w:pPr>
                  <w:r>
                    <w:rPr>
                      <w:sz w:val="21"/>
                    </w:rPr>
                    <w:t>考核得分（100分-总扣分值）</w:t>
                  </w:r>
                </w:p>
              </w:tc>
              <w:tc>
                <w:tcPr>
                  <w:tcW w:w="5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74"/>
                    <w:jc w:val="center"/>
                  </w:pPr>
                </w:p>
              </w:tc>
              <w:tc>
                <w:tcPr>
                  <w:tcW w:w="331"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9" w:type="dxa"/>
          </w:tcPr>
          <w:p>
            <w:pPr>
              <w:pStyle w:val="74"/>
            </w:pPr>
            <w:r>
              <w:t>9</w:t>
            </w:r>
          </w:p>
        </w:tc>
        <w:tc>
          <w:tcPr>
            <w:tcW w:w="5814" w:type="dxa"/>
            <w:vAlign w:val="top"/>
          </w:tcPr>
          <w:p>
            <w:pPr>
              <w:pStyle w:val="74"/>
              <w:jc w:val="both"/>
            </w:pPr>
            <w:r>
              <w:rPr>
                <w:sz w:val="21"/>
              </w:rPr>
              <w:t>响应供应商应根据本项目提供：</w:t>
            </w:r>
          </w:p>
          <w:p>
            <w:pPr>
              <w:pStyle w:val="74"/>
              <w:jc w:val="both"/>
            </w:pPr>
            <w:r>
              <w:rPr>
                <w:sz w:val="21"/>
              </w:rPr>
              <w:t>1.对采购需求的响应程度及对本项目的整体方案：包括但不限于货物质量保障、食品安全措施、服务承诺、货物配送方案（含配送内容、配送流程）等；</w:t>
            </w:r>
          </w:p>
          <w:p>
            <w:pPr>
              <w:pStyle w:val="74"/>
              <w:jc w:val="both"/>
            </w:pPr>
            <w:r>
              <w:rPr>
                <w:sz w:val="21"/>
              </w:rPr>
              <w:t>2.食品质量安全保证方案：包括食材质量、检验能力、验收标准、包装、保存、运输、装卸派发、项目实施、食品安全措施、管理制度各环节的质量保障措施等；</w:t>
            </w:r>
          </w:p>
          <w:p>
            <w:pPr>
              <w:pStyle w:val="74"/>
              <w:jc w:val="both"/>
            </w:pPr>
            <w:r>
              <w:rPr>
                <w:sz w:val="21"/>
              </w:rPr>
              <w:t>3.应急保障服务预案对执行过程中采购人的紧急采购情况，方案内容应包括但不限于食品质量等突发事情的处理方案、应急响应人员安排；</w:t>
            </w:r>
          </w:p>
          <w:p>
            <w:pPr>
              <w:pStyle w:val="74"/>
              <w:jc w:val="both"/>
            </w:pPr>
            <w:r>
              <w:rPr>
                <w:sz w:val="21"/>
              </w:rPr>
              <w:t>4.满足采购需求的食材退换货服务方案（包括但不限于破损产品退换、近效期产品退换、食材质量未达到要求退还、食材不符合合同约定的要求或不符合国家食品质量、卫生安全标准的）流程及措施，售后服务人员及售后服务点情况等；</w:t>
            </w:r>
          </w:p>
          <w:p>
            <w:pPr>
              <w:pStyle w:val="74"/>
              <w:jc w:val="both"/>
            </w:pPr>
            <w:r>
              <w:rPr>
                <w:sz w:val="21"/>
              </w:rPr>
              <w:t>5.供应商承担本项目的业务能力和优势：包括但不限于响应时间、安全保障、人员配备、硬件投入等；</w:t>
            </w:r>
          </w:p>
          <w:p>
            <w:pPr>
              <w:pStyle w:val="74"/>
            </w:pPr>
            <w:r>
              <w:rPr>
                <w:sz w:val="21"/>
              </w:rPr>
              <w:t>6.同类项目业绩、企业认证、食品安全保障、拟投入人员配置、运输能力、供货能力保障、储存能力等相关材料。</w:t>
            </w:r>
            <w:r>
              <w:t xml:space="preserve"> </w:t>
            </w:r>
          </w:p>
        </w:tc>
      </w:tr>
    </w:tbl>
    <w:p>
      <w:pPr>
        <w:pStyle w:val="21"/>
        <w:ind w:firstLine="210"/>
      </w:pPr>
    </w:p>
    <w:p>
      <w:pPr>
        <w:pStyle w:val="21"/>
        <w:ind w:firstLine="210"/>
      </w:pPr>
    </w:p>
    <w:p>
      <w:pPr>
        <w:pStyle w:val="21"/>
        <w:ind w:firstLine="210"/>
      </w:pPr>
    </w:p>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356389"/>
    </w:sdtPr>
    <w:sdtContent>
      <w:p>
        <w:pPr>
          <w:pStyle w:val="17"/>
          <w:jc w:val="center"/>
        </w:pPr>
        <w:r>
          <w:fldChar w:fldCharType="begin"/>
        </w:r>
        <w:r>
          <w:instrText xml:space="preserve">PAGE   \* MERGEFORMAT</w:instrText>
        </w:r>
        <w:r>
          <w:fldChar w:fldCharType="separate"/>
        </w:r>
        <w:r>
          <w:rPr>
            <w:lang w:val="zh-CN"/>
          </w:rPr>
          <w:t>186</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8BFDD"/>
    <w:multiLevelType w:val="multilevel"/>
    <w:tmpl w:val="F4C8BFDD"/>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b w:val="0"/>
        <w:bCs w:val="0"/>
      </w:rPr>
    </w:lvl>
    <w:lvl w:ilvl="2" w:tentative="0">
      <w:start w:val="1"/>
      <w:numFmt w:val="decimal"/>
      <w:isLgl/>
      <w:lvlText w:val="%1.%2.%3."/>
      <w:lvlJc w:val="left"/>
      <w:pPr>
        <w:ind w:left="720" w:hanging="720"/>
      </w:pPr>
      <w:rPr>
        <w:rFonts w:hint="eastAsia"/>
        <w:sz w:val="32"/>
        <w:szCs w:val="32"/>
      </w:rPr>
    </w:lvl>
    <w:lvl w:ilvl="3" w:tentative="0">
      <w:start w:val="1"/>
      <w:numFmt w:val="decimal"/>
      <w:isLgl/>
      <w:lvlText w:val="%1.%2.%3.%4."/>
      <w:lvlJc w:val="left"/>
      <w:pPr>
        <w:ind w:left="110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MGRlYmFhMDY4ZGFlY2M5MDRlY2I2ZGEwNGJhYzgifQ=="/>
  </w:docVars>
  <w:rsids>
    <w:rsidRoot w:val="00D76248"/>
    <w:rsid w:val="00014E01"/>
    <w:rsid w:val="000265BE"/>
    <w:rsid w:val="00037CEE"/>
    <w:rsid w:val="00085B0A"/>
    <w:rsid w:val="000C7607"/>
    <w:rsid w:val="000F14E7"/>
    <w:rsid w:val="00124C50"/>
    <w:rsid w:val="001647F9"/>
    <w:rsid w:val="00165146"/>
    <w:rsid w:val="00181678"/>
    <w:rsid w:val="001A72F7"/>
    <w:rsid w:val="001C7ACD"/>
    <w:rsid w:val="001F2B40"/>
    <w:rsid w:val="00217A2E"/>
    <w:rsid w:val="00265E75"/>
    <w:rsid w:val="002A2432"/>
    <w:rsid w:val="002A26F7"/>
    <w:rsid w:val="002A3CE9"/>
    <w:rsid w:val="00352F46"/>
    <w:rsid w:val="00355039"/>
    <w:rsid w:val="003A43BF"/>
    <w:rsid w:val="003C622A"/>
    <w:rsid w:val="003F7F18"/>
    <w:rsid w:val="00402BB4"/>
    <w:rsid w:val="0040730A"/>
    <w:rsid w:val="00441BBE"/>
    <w:rsid w:val="00451FFC"/>
    <w:rsid w:val="004647E8"/>
    <w:rsid w:val="00465451"/>
    <w:rsid w:val="00466500"/>
    <w:rsid w:val="004A0FAC"/>
    <w:rsid w:val="00550B5D"/>
    <w:rsid w:val="005840F8"/>
    <w:rsid w:val="005C08BB"/>
    <w:rsid w:val="005F1373"/>
    <w:rsid w:val="005F5FB8"/>
    <w:rsid w:val="00610488"/>
    <w:rsid w:val="006558A6"/>
    <w:rsid w:val="00687CAB"/>
    <w:rsid w:val="006A10F6"/>
    <w:rsid w:val="006B11D4"/>
    <w:rsid w:val="006C638D"/>
    <w:rsid w:val="00702DE4"/>
    <w:rsid w:val="00702FAA"/>
    <w:rsid w:val="0070618C"/>
    <w:rsid w:val="007107A1"/>
    <w:rsid w:val="00716293"/>
    <w:rsid w:val="00735530"/>
    <w:rsid w:val="00762C3F"/>
    <w:rsid w:val="00771036"/>
    <w:rsid w:val="007901E4"/>
    <w:rsid w:val="007910AC"/>
    <w:rsid w:val="0079652A"/>
    <w:rsid w:val="007C423D"/>
    <w:rsid w:val="008225BF"/>
    <w:rsid w:val="008255FF"/>
    <w:rsid w:val="0084219E"/>
    <w:rsid w:val="00862EBC"/>
    <w:rsid w:val="00873DCC"/>
    <w:rsid w:val="008B6A8B"/>
    <w:rsid w:val="008B6E4A"/>
    <w:rsid w:val="008E5075"/>
    <w:rsid w:val="009072B6"/>
    <w:rsid w:val="0098512F"/>
    <w:rsid w:val="00986CE3"/>
    <w:rsid w:val="009E378E"/>
    <w:rsid w:val="009F023C"/>
    <w:rsid w:val="009F4A7A"/>
    <w:rsid w:val="009F54A9"/>
    <w:rsid w:val="00A1535E"/>
    <w:rsid w:val="00A1657F"/>
    <w:rsid w:val="00A75343"/>
    <w:rsid w:val="00AA6D51"/>
    <w:rsid w:val="00AC1468"/>
    <w:rsid w:val="00AC22CF"/>
    <w:rsid w:val="00AF1688"/>
    <w:rsid w:val="00AF5D52"/>
    <w:rsid w:val="00B02B6D"/>
    <w:rsid w:val="00B36823"/>
    <w:rsid w:val="00B524F8"/>
    <w:rsid w:val="00B5454C"/>
    <w:rsid w:val="00B5598E"/>
    <w:rsid w:val="00B6536F"/>
    <w:rsid w:val="00B86CEB"/>
    <w:rsid w:val="00B91A08"/>
    <w:rsid w:val="00BA5398"/>
    <w:rsid w:val="00BC6506"/>
    <w:rsid w:val="00BF151F"/>
    <w:rsid w:val="00C13675"/>
    <w:rsid w:val="00C347D6"/>
    <w:rsid w:val="00C560DE"/>
    <w:rsid w:val="00C57147"/>
    <w:rsid w:val="00C60EF6"/>
    <w:rsid w:val="00C641AE"/>
    <w:rsid w:val="00C66B02"/>
    <w:rsid w:val="00C84852"/>
    <w:rsid w:val="00C95E8D"/>
    <w:rsid w:val="00CA3001"/>
    <w:rsid w:val="00CA3BF8"/>
    <w:rsid w:val="00CB4154"/>
    <w:rsid w:val="00CB46E3"/>
    <w:rsid w:val="00CB4E68"/>
    <w:rsid w:val="00CE30F6"/>
    <w:rsid w:val="00D12C38"/>
    <w:rsid w:val="00D12C82"/>
    <w:rsid w:val="00D15AF7"/>
    <w:rsid w:val="00D32731"/>
    <w:rsid w:val="00D447BF"/>
    <w:rsid w:val="00D76248"/>
    <w:rsid w:val="00DF4A12"/>
    <w:rsid w:val="00E37029"/>
    <w:rsid w:val="00E5390F"/>
    <w:rsid w:val="00E77D02"/>
    <w:rsid w:val="00EA3C03"/>
    <w:rsid w:val="00EC49E9"/>
    <w:rsid w:val="00EE6A21"/>
    <w:rsid w:val="00F34831"/>
    <w:rsid w:val="00F91C5F"/>
    <w:rsid w:val="00FA2F05"/>
    <w:rsid w:val="00FA73B9"/>
    <w:rsid w:val="00FC675D"/>
    <w:rsid w:val="00FC762E"/>
    <w:rsid w:val="00FD272E"/>
    <w:rsid w:val="00FE0221"/>
    <w:rsid w:val="00FE2711"/>
    <w:rsid w:val="00FF7C64"/>
    <w:rsid w:val="01782C45"/>
    <w:rsid w:val="01D61136"/>
    <w:rsid w:val="02075377"/>
    <w:rsid w:val="020C44BB"/>
    <w:rsid w:val="027D6579"/>
    <w:rsid w:val="02D71101"/>
    <w:rsid w:val="03241876"/>
    <w:rsid w:val="042277B0"/>
    <w:rsid w:val="04C856CF"/>
    <w:rsid w:val="04F2751D"/>
    <w:rsid w:val="0516342C"/>
    <w:rsid w:val="05867A3A"/>
    <w:rsid w:val="05CC12E2"/>
    <w:rsid w:val="05CE06E8"/>
    <w:rsid w:val="073A38EF"/>
    <w:rsid w:val="0759513E"/>
    <w:rsid w:val="07710560"/>
    <w:rsid w:val="07A0768E"/>
    <w:rsid w:val="089E193E"/>
    <w:rsid w:val="08E30F28"/>
    <w:rsid w:val="095A6680"/>
    <w:rsid w:val="0A763C4D"/>
    <w:rsid w:val="0B09418A"/>
    <w:rsid w:val="0BB66F9D"/>
    <w:rsid w:val="0C64074E"/>
    <w:rsid w:val="0D29243C"/>
    <w:rsid w:val="0E810BF1"/>
    <w:rsid w:val="0F84395A"/>
    <w:rsid w:val="0FAD6CFB"/>
    <w:rsid w:val="100640C6"/>
    <w:rsid w:val="10C6786D"/>
    <w:rsid w:val="10E40044"/>
    <w:rsid w:val="11497DFD"/>
    <w:rsid w:val="11AE10A0"/>
    <w:rsid w:val="1216528C"/>
    <w:rsid w:val="12BB7813"/>
    <w:rsid w:val="139F6FB4"/>
    <w:rsid w:val="14887A48"/>
    <w:rsid w:val="14B3630E"/>
    <w:rsid w:val="14DC7B1F"/>
    <w:rsid w:val="14E15C34"/>
    <w:rsid w:val="155A34EB"/>
    <w:rsid w:val="156E7814"/>
    <w:rsid w:val="161D370A"/>
    <w:rsid w:val="162645DF"/>
    <w:rsid w:val="166448CD"/>
    <w:rsid w:val="169F1E1F"/>
    <w:rsid w:val="18494F29"/>
    <w:rsid w:val="19B825C0"/>
    <w:rsid w:val="1A302B5B"/>
    <w:rsid w:val="1AAA1F45"/>
    <w:rsid w:val="1BA57132"/>
    <w:rsid w:val="1C1B6428"/>
    <w:rsid w:val="1C477673"/>
    <w:rsid w:val="1C821D21"/>
    <w:rsid w:val="1CD759A8"/>
    <w:rsid w:val="1CD75A11"/>
    <w:rsid w:val="1E264941"/>
    <w:rsid w:val="1E58492F"/>
    <w:rsid w:val="1F1D5B17"/>
    <w:rsid w:val="1FA12188"/>
    <w:rsid w:val="1FA37E2C"/>
    <w:rsid w:val="1FF13E14"/>
    <w:rsid w:val="200F7270"/>
    <w:rsid w:val="204D1B46"/>
    <w:rsid w:val="206A71CC"/>
    <w:rsid w:val="207B3859"/>
    <w:rsid w:val="209634ED"/>
    <w:rsid w:val="20E9518E"/>
    <w:rsid w:val="21693A14"/>
    <w:rsid w:val="21D52EDF"/>
    <w:rsid w:val="227C4BFC"/>
    <w:rsid w:val="23A83C63"/>
    <w:rsid w:val="23E62CF0"/>
    <w:rsid w:val="24443213"/>
    <w:rsid w:val="24C34ACD"/>
    <w:rsid w:val="25AB1F63"/>
    <w:rsid w:val="25F628FE"/>
    <w:rsid w:val="26467763"/>
    <w:rsid w:val="27484115"/>
    <w:rsid w:val="279D4D50"/>
    <w:rsid w:val="27C052F3"/>
    <w:rsid w:val="280A3758"/>
    <w:rsid w:val="28123A6A"/>
    <w:rsid w:val="2A0C2A72"/>
    <w:rsid w:val="2A4A2EC0"/>
    <w:rsid w:val="2AC35EDE"/>
    <w:rsid w:val="2AD51A4C"/>
    <w:rsid w:val="2BAC38E2"/>
    <w:rsid w:val="2C932FD6"/>
    <w:rsid w:val="2D2568F7"/>
    <w:rsid w:val="2E346FDA"/>
    <w:rsid w:val="2E41718E"/>
    <w:rsid w:val="2E612427"/>
    <w:rsid w:val="2EB93809"/>
    <w:rsid w:val="2EBE24C5"/>
    <w:rsid w:val="2F00322A"/>
    <w:rsid w:val="2F123F46"/>
    <w:rsid w:val="2F8813FA"/>
    <w:rsid w:val="300967C8"/>
    <w:rsid w:val="307A6139"/>
    <w:rsid w:val="30C85944"/>
    <w:rsid w:val="312C6390"/>
    <w:rsid w:val="31644100"/>
    <w:rsid w:val="3204466B"/>
    <w:rsid w:val="324B208A"/>
    <w:rsid w:val="32CC5CB8"/>
    <w:rsid w:val="32D0288E"/>
    <w:rsid w:val="32F823E5"/>
    <w:rsid w:val="334659D7"/>
    <w:rsid w:val="336244FF"/>
    <w:rsid w:val="33642C0C"/>
    <w:rsid w:val="347B4A7C"/>
    <w:rsid w:val="34980AC4"/>
    <w:rsid w:val="351B0B66"/>
    <w:rsid w:val="35584DBD"/>
    <w:rsid w:val="3566192B"/>
    <w:rsid w:val="359E23A5"/>
    <w:rsid w:val="37022B4C"/>
    <w:rsid w:val="37C07296"/>
    <w:rsid w:val="37DF3574"/>
    <w:rsid w:val="38F607BE"/>
    <w:rsid w:val="3A046550"/>
    <w:rsid w:val="3A2940F7"/>
    <w:rsid w:val="3A4233A8"/>
    <w:rsid w:val="3A557B1D"/>
    <w:rsid w:val="3ABA43F9"/>
    <w:rsid w:val="3B27770B"/>
    <w:rsid w:val="3BFB37CF"/>
    <w:rsid w:val="3C515F6B"/>
    <w:rsid w:val="3C787A30"/>
    <w:rsid w:val="3D024169"/>
    <w:rsid w:val="3D9A0A0F"/>
    <w:rsid w:val="3EF23B8C"/>
    <w:rsid w:val="3EFB3DF1"/>
    <w:rsid w:val="3F9A01DD"/>
    <w:rsid w:val="3FF2305A"/>
    <w:rsid w:val="3FFD010D"/>
    <w:rsid w:val="40D554EA"/>
    <w:rsid w:val="40F579D2"/>
    <w:rsid w:val="41175B2C"/>
    <w:rsid w:val="4161523E"/>
    <w:rsid w:val="41A24424"/>
    <w:rsid w:val="41E719A3"/>
    <w:rsid w:val="42460C12"/>
    <w:rsid w:val="42B702D9"/>
    <w:rsid w:val="43D804C6"/>
    <w:rsid w:val="43F679EB"/>
    <w:rsid w:val="44C164DB"/>
    <w:rsid w:val="44E17603"/>
    <w:rsid w:val="45BC4EF4"/>
    <w:rsid w:val="45F11042"/>
    <w:rsid w:val="464529FA"/>
    <w:rsid w:val="468D3CAA"/>
    <w:rsid w:val="46FC5E48"/>
    <w:rsid w:val="4764152B"/>
    <w:rsid w:val="47B57E4D"/>
    <w:rsid w:val="48741AB6"/>
    <w:rsid w:val="488900F6"/>
    <w:rsid w:val="48EE6F7C"/>
    <w:rsid w:val="49FC1D3A"/>
    <w:rsid w:val="4B9E69C3"/>
    <w:rsid w:val="4BCD4058"/>
    <w:rsid w:val="4DEE4078"/>
    <w:rsid w:val="4F6F0BB5"/>
    <w:rsid w:val="50611571"/>
    <w:rsid w:val="50CD4459"/>
    <w:rsid w:val="51136310"/>
    <w:rsid w:val="51320F8C"/>
    <w:rsid w:val="51742F1D"/>
    <w:rsid w:val="51A62257"/>
    <w:rsid w:val="52A5743C"/>
    <w:rsid w:val="52F8283D"/>
    <w:rsid w:val="54574766"/>
    <w:rsid w:val="54CF2CCC"/>
    <w:rsid w:val="55414C10"/>
    <w:rsid w:val="55CC1F95"/>
    <w:rsid w:val="56707EE0"/>
    <w:rsid w:val="57AE0B6B"/>
    <w:rsid w:val="582F6E12"/>
    <w:rsid w:val="58460A32"/>
    <w:rsid w:val="584E40D2"/>
    <w:rsid w:val="5A5874C6"/>
    <w:rsid w:val="5ACB4E94"/>
    <w:rsid w:val="5AE623A0"/>
    <w:rsid w:val="5AEB51CD"/>
    <w:rsid w:val="5AF41CC7"/>
    <w:rsid w:val="5BCA5631"/>
    <w:rsid w:val="5D0607CD"/>
    <w:rsid w:val="5D352CFB"/>
    <w:rsid w:val="5DAE4240"/>
    <w:rsid w:val="5DBC7EFC"/>
    <w:rsid w:val="5E224DE3"/>
    <w:rsid w:val="5E4775F9"/>
    <w:rsid w:val="5EDE3506"/>
    <w:rsid w:val="5F1E295A"/>
    <w:rsid w:val="5F3F29C6"/>
    <w:rsid w:val="5F6662FF"/>
    <w:rsid w:val="5FA62A45"/>
    <w:rsid w:val="5FB2049C"/>
    <w:rsid w:val="603A20E8"/>
    <w:rsid w:val="60664036"/>
    <w:rsid w:val="61963666"/>
    <w:rsid w:val="61F74F7D"/>
    <w:rsid w:val="61FF01EB"/>
    <w:rsid w:val="622D4D58"/>
    <w:rsid w:val="623E6F65"/>
    <w:rsid w:val="62FF1DE8"/>
    <w:rsid w:val="63B219B9"/>
    <w:rsid w:val="63C254FE"/>
    <w:rsid w:val="64A47AAA"/>
    <w:rsid w:val="65172A3D"/>
    <w:rsid w:val="65217654"/>
    <w:rsid w:val="65357458"/>
    <w:rsid w:val="65956E9C"/>
    <w:rsid w:val="660E0C4E"/>
    <w:rsid w:val="66B83AE4"/>
    <w:rsid w:val="66C537B1"/>
    <w:rsid w:val="66F347C2"/>
    <w:rsid w:val="67184229"/>
    <w:rsid w:val="676F7060"/>
    <w:rsid w:val="677668F5"/>
    <w:rsid w:val="681A3FD0"/>
    <w:rsid w:val="684C7F51"/>
    <w:rsid w:val="6B735ED1"/>
    <w:rsid w:val="6B785296"/>
    <w:rsid w:val="6BF30DC0"/>
    <w:rsid w:val="6CC94E87"/>
    <w:rsid w:val="6CEF1588"/>
    <w:rsid w:val="6D9F521E"/>
    <w:rsid w:val="6DC8031A"/>
    <w:rsid w:val="6DD95E87"/>
    <w:rsid w:val="6E39049D"/>
    <w:rsid w:val="6F810491"/>
    <w:rsid w:val="71502811"/>
    <w:rsid w:val="722A2AFC"/>
    <w:rsid w:val="72723CF6"/>
    <w:rsid w:val="72A746B3"/>
    <w:rsid w:val="72F571CC"/>
    <w:rsid w:val="738448F4"/>
    <w:rsid w:val="73892FCE"/>
    <w:rsid w:val="739A51B5"/>
    <w:rsid w:val="73C54FAE"/>
    <w:rsid w:val="73E57FB4"/>
    <w:rsid w:val="74864AE5"/>
    <w:rsid w:val="74B3391D"/>
    <w:rsid w:val="75082832"/>
    <w:rsid w:val="75963E34"/>
    <w:rsid w:val="75A52113"/>
    <w:rsid w:val="75F1698E"/>
    <w:rsid w:val="75F337DE"/>
    <w:rsid w:val="75F80517"/>
    <w:rsid w:val="77E141C3"/>
    <w:rsid w:val="77E72B75"/>
    <w:rsid w:val="780610DF"/>
    <w:rsid w:val="782B13DC"/>
    <w:rsid w:val="78F910FB"/>
    <w:rsid w:val="792409F5"/>
    <w:rsid w:val="7992190A"/>
    <w:rsid w:val="79CC534E"/>
    <w:rsid w:val="7AC7547F"/>
    <w:rsid w:val="7AF97A75"/>
    <w:rsid w:val="7B5A6766"/>
    <w:rsid w:val="7C2B6866"/>
    <w:rsid w:val="7C5F1B5A"/>
    <w:rsid w:val="7C6D5FE6"/>
    <w:rsid w:val="7D2A2168"/>
    <w:rsid w:val="7D9B4E14"/>
    <w:rsid w:val="7E803CC8"/>
    <w:rsid w:val="7EE04732"/>
    <w:rsid w:val="7F6D2127"/>
    <w:rsid w:val="7F720FD4"/>
    <w:rsid w:val="7FF6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0"/>
    <w:pPr>
      <w:keepNext/>
      <w:keepLines/>
      <w:spacing w:before="140" w:after="140" w:line="416" w:lineRule="auto"/>
      <w:jc w:val="left"/>
      <w:outlineLvl w:val="1"/>
    </w:pPr>
    <w:rPr>
      <w:rFonts w:eastAsia="宋体" w:asciiTheme="minorEastAsia" w:hAnsiTheme="minorEastAsia" w:cstheme="minorEastAsia"/>
      <w:b/>
      <w:bCs/>
      <w:sz w:val="24"/>
      <w:szCs w:val="21"/>
    </w:rPr>
  </w:style>
  <w:style w:type="paragraph" w:styleId="4">
    <w:name w:val="heading 3"/>
    <w:basedOn w:val="1"/>
    <w:next w:val="1"/>
    <w:link w:val="33"/>
    <w:semiHidden/>
    <w:unhideWhenUsed/>
    <w:qFormat/>
    <w:uiPriority w:val="0"/>
    <w:pPr>
      <w:keepNext/>
      <w:keepLines/>
      <w:spacing w:before="140" w:after="140" w:line="416" w:lineRule="auto"/>
      <w:outlineLvl w:val="2"/>
    </w:pPr>
    <w:rPr>
      <w:rFonts w:ascii="Calibri" w:hAnsi="Calibri" w:eastAsia="宋体"/>
      <w:b/>
      <w:bCs/>
      <w:sz w:val="24"/>
      <w:szCs w:val="32"/>
    </w:rPr>
  </w:style>
  <w:style w:type="paragraph" w:styleId="5">
    <w:name w:val="heading 4"/>
    <w:basedOn w:val="1"/>
    <w:next w:val="1"/>
    <w:link w:val="32"/>
    <w:semiHidden/>
    <w:unhideWhenUsed/>
    <w:qFormat/>
    <w:uiPriority w:val="0"/>
    <w:pPr>
      <w:keepNext/>
      <w:keepLines/>
      <w:spacing w:before="40" w:after="50" w:line="376" w:lineRule="auto"/>
      <w:jc w:val="left"/>
      <w:outlineLvl w:val="3"/>
    </w:pPr>
    <w:rPr>
      <w:rFonts w:ascii="Arial" w:hAnsi="Arial" w:eastAsia="黑体"/>
      <w:b/>
      <w:bCs/>
      <w:sz w:val="24"/>
      <w:szCs w:val="28"/>
    </w:rPr>
  </w:style>
  <w:style w:type="paragraph" w:styleId="6">
    <w:name w:val="heading 5"/>
    <w:basedOn w:val="1"/>
    <w:next w:val="1"/>
    <w:link w:val="36"/>
    <w:semiHidden/>
    <w:unhideWhenUsed/>
    <w:qFormat/>
    <w:uiPriority w:val="0"/>
    <w:pPr>
      <w:keepNext/>
      <w:keepLines/>
      <w:numPr>
        <w:ilvl w:val="4"/>
        <w:numId w:val="1"/>
      </w:numPr>
      <w:spacing w:before="280" w:after="290" w:line="372" w:lineRule="auto"/>
      <w:outlineLvl w:val="4"/>
    </w:pPr>
    <w:rPr>
      <w:rFonts w:ascii="Times New Roman" w:hAnsi="Times New Roman" w:eastAsia="宋体" w:cs="Times New Roman"/>
      <w:b/>
      <w:kern w:val="0"/>
      <w:sz w:val="28"/>
      <w:szCs w:val="20"/>
    </w:rPr>
  </w:style>
  <w:style w:type="paragraph" w:styleId="7">
    <w:name w:val="heading 6"/>
    <w:basedOn w:val="1"/>
    <w:next w:val="1"/>
    <w:link w:val="37"/>
    <w:semiHidden/>
    <w:unhideWhenUsed/>
    <w:qFormat/>
    <w:uiPriority w:val="0"/>
    <w:pPr>
      <w:keepNext/>
      <w:keepLines/>
      <w:numPr>
        <w:ilvl w:val="5"/>
        <w:numId w:val="1"/>
      </w:numPr>
      <w:spacing w:before="240" w:after="64" w:line="317" w:lineRule="auto"/>
      <w:outlineLvl w:val="5"/>
    </w:pPr>
    <w:rPr>
      <w:rFonts w:ascii="Arial" w:hAnsi="Arial" w:eastAsia="黑体"/>
      <w:b/>
      <w:sz w:val="24"/>
      <w:szCs w:val="24"/>
    </w:rPr>
  </w:style>
  <w:style w:type="paragraph" w:styleId="8">
    <w:name w:val="heading 7"/>
    <w:basedOn w:val="1"/>
    <w:next w:val="1"/>
    <w:link w:val="38"/>
    <w:semiHidden/>
    <w:unhideWhenUsed/>
    <w:qFormat/>
    <w:uiPriority w:val="0"/>
    <w:pPr>
      <w:keepNext/>
      <w:keepLines/>
      <w:numPr>
        <w:ilvl w:val="6"/>
        <w:numId w:val="1"/>
      </w:numPr>
      <w:spacing w:before="240" w:after="64" w:line="317" w:lineRule="auto"/>
      <w:outlineLvl w:val="6"/>
    </w:pPr>
    <w:rPr>
      <w:b/>
      <w:sz w:val="24"/>
      <w:szCs w:val="24"/>
    </w:rPr>
  </w:style>
  <w:style w:type="paragraph" w:styleId="9">
    <w:name w:val="heading 8"/>
    <w:basedOn w:val="1"/>
    <w:next w:val="1"/>
    <w:link w:val="39"/>
    <w:semiHidden/>
    <w:unhideWhenUsed/>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link w:val="40"/>
    <w:semiHidden/>
    <w:unhideWhenUsed/>
    <w:qFormat/>
    <w:uiPriority w:val="0"/>
    <w:pPr>
      <w:keepNext/>
      <w:keepLines/>
      <w:numPr>
        <w:ilvl w:val="8"/>
        <w:numId w:val="1"/>
      </w:numPr>
      <w:spacing w:before="240" w:after="64" w:line="317" w:lineRule="auto"/>
      <w:outlineLvl w:val="8"/>
    </w:pPr>
    <w:rPr>
      <w:rFonts w:ascii="Arial" w:hAnsi="Arial" w:eastAsia="黑体"/>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rPr>
      <w:szCs w:val="21"/>
    </w:rPr>
  </w:style>
  <w:style w:type="paragraph" w:styleId="12">
    <w:name w:val="annotation text"/>
    <w:basedOn w:val="1"/>
    <w:link w:val="72"/>
    <w:qFormat/>
    <w:uiPriority w:val="0"/>
    <w:pPr>
      <w:jc w:val="left"/>
    </w:pPr>
  </w:style>
  <w:style w:type="paragraph" w:styleId="13">
    <w:name w:val="Body Text"/>
    <w:basedOn w:val="1"/>
    <w:next w:val="14"/>
    <w:link w:val="41"/>
    <w:qFormat/>
    <w:uiPriority w:val="0"/>
    <w:pPr>
      <w:spacing w:after="120"/>
    </w:pPr>
    <w:rPr>
      <w:szCs w:val="24"/>
    </w:rPr>
  </w:style>
  <w:style w:type="paragraph" w:styleId="14">
    <w:name w:val="Body Text 2"/>
    <w:basedOn w:val="1"/>
    <w:qFormat/>
    <w:uiPriority w:val="0"/>
    <w:pPr>
      <w:jc w:val="center"/>
    </w:pPr>
    <w:rPr>
      <w:szCs w:val="21"/>
    </w:rPr>
  </w:style>
  <w:style w:type="paragraph" w:styleId="15">
    <w:name w:val="Body Text Indent"/>
    <w:basedOn w:val="1"/>
    <w:link w:val="60"/>
    <w:semiHidden/>
    <w:unhideWhenUsed/>
    <w:qFormat/>
    <w:uiPriority w:val="99"/>
    <w:pPr>
      <w:spacing w:after="120"/>
      <w:ind w:left="420" w:leftChars="200"/>
    </w:pPr>
  </w:style>
  <w:style w:type="paragraph" w:styleId="16">
    <w:name w:val="Balloon Text"/>
    <w:basedOn w:val="1"/>
    <w:link w:val="7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semiHidden/>
    <w:unhideWhenUsed/>
    <w:qFormat/>
    <w:uiPriority w:val="99"/>
    <w:pPr>
      <w:spacing w:beforeAutospacing="1" w:afterAutospacing="1"/>
      <w:jc w:val="left"/>
    </w:pPr>
    <w:rPr>
      <w:rFonts w:cs="Times New Roman"/>
      <w:kern w:val="0"/>
      <w:sz w:val="24"/>
    </w:rPr>
  </w:style>
  <w:style w:type="paragraph" w:styleId="20">
    <w:name w:val="annotation subject"/>
    <w:basedOn w:val="12"/>
    <w:next w:val="12"/>
    <w:link w:val="73"/>
    <w:semiHidden/>
    <w:unhideWhenUsed/>
    <w:qFormat/>
    <w:uiPriority w:val="99"/>
    <w:rPr>
      <w:b/>
      <w:bCs/>
    </w:rPr>
  </w:style>
  <w:style w:type="paragraph" w:styleId="21">
    <w:name w:val="Body Text First Indent"/>
    <w:basedOn w:val="13"/>
    <w:qFormat/>
    <w:uiPriority w:val="0"/>
    <w:pPr>
      <w:ind w:firstLine="420" w:firstLineChars="100"/>
    </w:pPr>
  </w:style>
  <w:style w:type="paragraph" w:styleId="22">
    <w:name w:val="Body Text First Indent 2"/>
    <w:basedOn w:val="15"/>
    <w:link w:val="61"/>
    <w:semiHidden/>
    <w:unhideWhenUsed/>
    <w:qFormat/>
    <w:uiPriority w:val="99"/>
    <w:pPr>
      <w:ind w:firstLine="420" w:firstLineChars="200"/>
    </w:pPr>
  </w:style>
  <w:style w:type="character" w:styleId="25">
    <w:name w:val="Strong"/>
    <w:basedOn w:val="24"/>
    <w:qFormat/>
    <w:uiPriority w:val="0"/>
    <w:rPr>
      <w:b/>
    </w:rPr>
  </w:style>
  <w:style w:type="character" w:styleId="26">
    <w:name w:val="Emphasis"/>
    <w:basedOn w:val="24"/>
    <w:qFormat/>
    <w:uiPriority w:val="20"/>
    <w:rPr>
      <w:i/>
    </w:rPr>
  </w:style>
  <w:style w:type="character" w:styleId="27">
    <w:name w:val="Hyperlink"/>
    <w:basedOn w:val="24"/>
    <w:qFormat/>
    <w:uiPriority w:val="0"/>
    <w:rPr>
      <w:color w:val="0000FF"/>
      <w:u w:val="single"/>
    </w:rPr>
  </w:style>
  <w:style w:type="character" w:styleId="28">
    <w:name w:val="HTML Code"/>
    <w:basedOn w:val="24"/>
    <w:semiHidden/>
    <w:unhideWhenUsed/>
    <w:qFormat/>
    <w:uiPriority w:val="99"/>
    <w:rPr>
      <w:rFonts w:ascii="Courier New" w:hAnsi="Courier New"/>
      <w:sz w:val="20"/>
    </w:rPr>
  </w:style>
  <w:style w:type="character" w:styleId="29">
    <w:name w:val="annotation reference"/>
    <w:basedOn w:val="24"/>
    <w:semiHidden/>
    <w:unhideWhenUsed/>
    <w:qFormat/>
    <w:uiPriority w:val="99"/>
    <w:rPr>
      <w:sz w:val="21"/>
      <w:szCs w:val="21"/>
    </w:rPr>
  </w:style>
  <w:style w:type="character" w:customStyle="1" w:styleId="30">
    <w:name w:val="标题 2 Char"/>
    <w:basedOn w:val="24"/>
    <w:link w:val="3"/>
    <w:semiHidden/>
    <w:qFormat/>
    <w:uiPriority w:val="0"/>
    <w:rPr>
      <w:rFonts w:eastAsia="宋体" w:asciiTheme="minorEastAsia" w:hAnsiTheme="minorEastAsia" w:cstheme="minorEastAsia"/>
      <w:b/>
      <w:bCs/>
      <w:sz w:val="24"/>
      <w:szCs w:val="21"/>
    </w:rPr>
  </w:style>
  <w:style w:type="character" w:customStyle="1" w:styleId="31">
    <w:name w:val="标题 1 Char"/>
    <w:basedOn w:val="24"/>
    <w:link w:val="2"/>
    <w:qFormat/>
    <w:uiPriority w:val="0"/>
    <w:rPr>
      <w:b/>
      <w:bCs/>
      <w:kern w:val="44"/>
      <w:sz w:val="44"/>
      <w:szCs w:val="44"/>
    </w:rPr>
  </w:style>
  <w:style w:type="character" w:customStyle="1" w:styleId="32">
    <w:name w:val="标题 4 Char"/>
    <w:basedOn w:val="24"/>
    <w:link w:val="5"/>
    <w:semiHidden/>
    <w:qFormat/>
    <w:uiPriority w:val="0"/>
    <w:rPr>
      <w:rFonts w:ascii="Arial" w:hAnsi="Arial" w:eastAsia="黑体"/>
      <w:b/>
      <w:bCs/>
      <w:sz w:val="24"/>
      <w:szCs w:val="28"/>
    </w:rPr>
  </w:style>
  <w:style w:type="character" w:customStyle="1" w:styleId="33">
    <w:name w:val="标题 3 Char"/>
    <w:basedOn w:val="24"/>
    <w:link w:val="4"/>
    <w:semiHidden/>
    <w:qFormat/>
    <w:uiPriority w:val="0"/>
    <w:rPr>
      <w:rFonts w:ascii="Calibri" w:hAnsi="Calibri" w:eastAsia="宋体"/>
      <w:b/>
      <w:bCs/>
      <w:sz w:val="24"/>
      <w:szCs w:val="32"/>
    </w:rPr>
  </w:style>
  <w:style w:type="character" w:customStyle="1" w:styleId="34">
    <w:name w:val="页眉 Char"/>
    <w:basedOn w:val="24"/>
    <w:link w:val="18"/>
    <w:qFormat/>
    <w:uiPriority w:val="0"/>
    <w:rPr>
      <w:sz w:val="18"/>
      <w:szCs w:val="18"/>
    </w:rPr>
  </w:style>
  <w:style w:type="character" w:customStyle="1" w:styleId="35">
    <w:name w:val="页脚 Char"/>
    <w:basedOn w:val="24"/>
    <w:link w:val="17"/>
    <w:qFormat/>
    <w:uiPriority w:val="99"/>
    <w:rPr>
      <w:sz w:val="18"/>
      <w:szCs w:val="18"/>
    </w:rPr>
  </w:style>
  <w:style w:type="character" w:customStyle="1" w:styleId="36">
    <w:name w:val="标题 5 Char"/>
    <w:basedOn w:val="24"/>
    <w:link w:val="6"/>
    <w:semiHidden/>
    <w:qFormat/>
    <w:uiPriority w:val="0"/>
    <w:rPr>
      <w:rFonts w:ascii="Times New Roman" w:hAnsi="Times New Roman" w:eastAsia="宋体" w:cs="Times New Roman"/>
      <w:b/>
      <w:kern w:val="0"/>
      <w:sz w:val="28"/>
      <w:szCs w:val="20"/>
    </w:rPr>
  </w:style>
  <w:style w:type="character" w:customStyle="1" w:styleId="37">
    <w:name w:val="标题 6 Char"/>
    <w:basedOn w:val="24"/>
    <w:link w:val="7"/>
    <w:semiHidden/>
    <w:qFormat/>
    <w:uiPriority w:val="0"/>
    <w:rPr>
      <w:rFonts w:ascii="Arial" w:hAnsi="Arial" w:eastAsia="黑体"/>
      <w:b/>
      <w:sz w:val="24"/>
      <w:szCs w:val="24"/>
    </w:rPr>
  </w:style>
  <w:style w:type="character" w:customStyle="1" w:styleId="38">
    <w:name w:val="标题 7 Char"/>
    <w:basedOn w:val="24"/>
    <w:link w:val="8"/>
    <w:semiHidden/>
    <w:qFormat/>
    <w:uiPriority w:val="0"/>
    <w:rPr>
      <w:b/>
      <w:sz w:val="24"/>
      <w:szCs w:val="24"/>
    </w:rPr>
  </w:style>
  <w:style w:type="character" w:customStyle="1" w:styleId="39">
    <w:name w:val="标题 8 Char"/>
    <w:basedOn w:val="24"/>
    <w:link w:val="9"/>
    <w:semiHidden/>
    <w:qFormat/>
    <w:uiPriority w:val="0"/>
    <w:rPr>
      <w:rFonts w:ascii="Arial" w:hAnsi="Arial" w:eastAsia="黑体"/>
      <w:sz w:val="24"/>
      <w:szCs w:val="24"/>
    </w:rPr>
  </w:style>
  <w:style w:type="character" w:customStyle="1" w:styleId="40">
    <w:name w:val="标题 9 Char"/>
    <w:basedOn w:val="24"/>
    <w:link w:val="10"/>
    <w:semiHidden/>
    <w:qFormat/>
    <w:uiPriority w:val="0"/>
    <w:rPr>
      <w:rFonts w:ascii="Arial" w:hAnsi="Arial" w:eastAsia="黑体"/>
      <w:szCs w:val="24"/>
    </w:rPr>
  </w:style>
  <w:style w:type="character" w:customStyle="1" w:styleId="41">
    <w:name w:val="正文文本 Char"/>
    <w:basedOn w:val="24"/>
    <w:link w:val="13"/>
    <w:qFormat/>
    <w:uiPriority w:val="0"/>
    <w:rPr>
      <w:szCs w:val="24"/>
    </w:rPr>
  </w:style>
  <w:style w:type="character" w:customStyle="1" w:styleId="42">
    <w:name w:val="font11"/>
    <w:basedOn w:val="24"/>
    <w:qFormat/>
    <w:uiPriority w:val="0"/>
    <w:rPr>
      <w:rFonts w:hint="eastAsia" w:ascii="宋体" w:hAnsi="宋体" w:eastAsia="宋体" w:cs="宋体"/>
      <w:color w:val="000000"/>
      <w:sz w:val="20"/>
      <w:szCs w:val="20"/>
      <w:u w:val="none"/>
    </w:rPr>
  </w:style>
  <w:style w:type="character" w:customStyle="1" w:styleId="43">
    <w:name w:val="font101"/>
    <w:basedOn w:val="24"/>
    <w:qFormat/>
    <w:uiPriority w:val="0"/>
    <w:rPr>
      <w:rFonts w:hint="eastAsia" w:ascii="宋体" w:hAnsi="宋体" w:eastAsia="宋体" w:cs="宋体"/>
      <w:color w:val="000000"/>
      <w:sz w:val="20"/>
      <w:szCs w:val="20"/>
      <w:u w:val="none"/>
      <w:vertAlign w:val="superscript"/>
    </w:rPr>
  </w:style>
  <w:style w:type="character" w:customStyle="1" w:styleId="44">
    <w:name w:val="font31"/>
    <w:basedOn w:val="24"/>
    <w:qFormat/>
    <w:uiPriority w:val="0"/>
    <w:rPr>
      <w:rFonts w:hint="eastAsia" w:ascii="宋体" w:hAnsi="宋体" w:eastAsia="宋体" w:cs="宋体"/>
      <w:color w:val="000000"/>
      <w:sz w:val="20"/>
      <w:szCs w:val="20"/>
      <w:u w:val="none"/>
    </w:rPr>
  </w:style>
  <w:style w:type="character" w:customStyle="1" w:styleId="45">
    <w:name w:val="font41"/>
    <w:basedOn w:val="24"/>
    <w:qFormat/>
    <w:uiPriority w:val="0"/>
    <w:rPr>
      <w:rFonts w:hint="eastAsia" w:ascii="宋体" w:hAnsi="宋体" w:eastAsia="宋体" w:cs="宋体"/>
      <w:color w:val="000000"/>
      <w:sz w:val="20"/>
      <w:szCs w:val="20"/>
      <w:u w:val="none"/>
    </w:rPr>
  </w:style>
  <w:style w:type="character" w:customStyle="1" w:styleId="46">
    <w:name w:val="font91"/>
    <w:basedOn w:val="24"/>
    <w:qFormat/>
    <w:uiPriority w:val="0"/>
    <w:rPr>
      <w:rFonts w:hint="eastAsia" w:ascii="宋体" w:hAnsi="宋体" w:eastAsia="宋体" w:cs="宋体"/>
      <w:color w:val="000000"/>
      <w:sz w:val="20"/>
      <w:szCs w:val="20"/>
      <w:u w:val="none"/>
    </w:rPr>
  </w:style>
  <w:style w:type="character" w:customStyle="1" w:styleId="47">
    <w:name w:val="font81"/>
    <w:basedOn w:val="24"/>
    <w:qFormat/>
    <w:uiPriority w:val="0"/>
    <w:rPr>
      <w:rFonts w:hint="default" w:ascii="Arial" w:hAnsi="Arial" w:cs="Arial"/>
      <w:color w:val="000000"/>
      <w:sz w:val="20"/>
      <w:szCs w:val="20"/>
      <w:u w:val="none"/>
    </w:rPr>
  </w:style>
  <w:style w:type="character" w:customStyle="1" w:styleId="48">
    <w:name w:val="font61"/>
    <w:basedOn w:val="24"/>
    <w:qFormat/>
    <w:uiPriority w:val="0"/>
    <w:rPr>
      <w:rFonts w:hint="eastAsia" w:ascii="宋体" w:hAnsi="宋体" w:eastAsia="宋体" w:cs="宋体"/>
      <w:color w:val="000000"/>
      <w:sz w:val="20"/>
      <w:szCs w:val="20"/>
      <w:u w:val="none"/>
    </w:rPr>
  </w:style>
  <w:style w:type="character" w:customStyle="1" w:styleId="49">
    <w:name w:val="font122"/>
    <w:basedOn w:val="24"/>
    <w:qFormat/>
    <w:uiPriority w:val="0"/>
    <w:rPr>
      <w:rFonts w:hint="default" w:ascii="Calibri" w:hAnsi="Calibri" w:cs="Calibri"/>
      <w:color w:val="000000"/>
      <w:sz w:val="20"/>
      <w:szCs w:val="20"/>
      <w:u w:val="none"/>
    </w:rPr>
  </w:style>
  <w:style w:type="character" w:customStyle="1" w:styleId="50">
    <w:name w:val="font171"/>
    <w:basedOn w:val="24"/>
    <w:qFormat/>
    <w:uiPriority w:val="0"/>
    <w:rPr>
      <w:rFonts w:ascii="Arial" w:hAnsi="Arial" w:cs="Arial"/>
      <w:color w:val="000000"/>
      <w:sz w:val="20"/>
      <w:szCs w:val="20"/>
      <w:u w:val="none"/>
    </w:rPr>
  </w:style>
  <w:style w:type="character" w:customStyle="1" w:styleId="51">
    <w:name w:val="font21"/>
    <w:basedOn w:val="24"/>
    <w:qFormat/>
    <w:uiPriority w:val="0"/>
    <w:rPr>
      <w:rFonts w:hint="eastAsia" w:ascii="宋体" w:hAnsi="宋体" w:eastAsia="宋体" w:cs="宋体"/>
      <w:b/>
      <w:bCs/>
      <w:color w:val="000000"/>
      <w:sz w:val="20"/>
      <w:szCs w:val="20"/>
      <w:u w:val="none"/>
    </w:rPr>
  </w:style>
  <w:style w:type="character" w:customStyle="1" w:styleId="52">
    <w:name w:val="font12"/>
    <w:basedOn w:val="24"/>
    <w:qFormat/>
    <w:uiPriority w:val="0"/>
    <w:rPr>
      <w:rFonts w:hint="eastAsia" w:ascii="宋体" w:hAnsi="宋体" w:eastAsia="宋体" w:cs="宋体"/>
      <w:color w:val="000000"/>
      <w:sz w:val="20"/>
      <w:szCs w:val="20"/>
      <w:u w:val="none"/>
    </w:rPr>
  </w:style>
  <w:style w:type="character" w:customStyle="1" w:styleId="53">
    <w:name w:val="font141"/>
    <w:basedOn w:val="24"/>
    <w:qFormat/>
    <w:uiPriority w:val="0"/>
    <w:rPr>
      <w:rFonts w:hint="eastAsia" w:ascii="宋体" w:hAnsi="宋体" w:eastAsia="宋体" w:cs="宋体"/>
      <w:b/>
      <w:bCs/>
      <w:color w:val="000000"/>
      <w:sz w:val="22"/>
      <w:szCs w:val="22"/>
      <w:u w:val="none"/>
    </w:rPr>
  </w:style>
  <w:style w:type="character" w:customStyle="1" w:styleId="54">
    <w:name w:val="font151"/>
    <w:basedOn w:val="24"/>
    <w:qFormat/>
    <w:uiPriority w:val="0"/>
    <w:rPr>
      <w:rFonts w:ascii="Arial" w:hAnsi="Arial" w:cs="Arial"/>
      <w:color w:val="000000"/>
      <w:sz w:val="20"/>
      <w:szCs w:val="20"/>
      <w:u w:val="none"/>
    </w:rPr>
  </w:style>
  <w:style w:type="character" w:customStyle="1" w:styleId="55">
    <w:name w:val="font71"/>
    <w:basedOn w:val="24"/>
    <w:qFormat/>
    <w:uiPriority w:val="0"/>
    <w:rPr>
      <w:rFonts w:hint="eastAsia" w:ascii="宋体" w:hAnsi="宋体" w:eastAsia="宋体" w:cs="宋体"/>
      <w:b/>
      <w:bCs/>
      <w:color w:val="000000"/>
      <w:sz w:val="28"/>
      <w:szCs w:val="28"/>
      <w:u w:val="none"/>
    </w:rPr>
  </w:style>
  <w:style w:type="character" w:customStyle="1" w:styleId="56">
    <w:name w:val="font161"/>
    <w:basedOn w:val="24"/>
    <w:qFormat/>
    <w:uiPriority w:val="0"/>
    <w:rPr>
      <w:rFonts w:ascii="等线" w:hAnsi="等线" w:eastAsia="等线" w:cs="等线"/>
      <w:b/>
      <w:bCs/>
      <w:color w:val="000000"/>
      <w:sz w:val="22"/>
      <w:szCs w:val="22"/>
      <w:u w:val="none"/>
    </w:rPr>
  </w:style>
  <w:style w:type="character" w:customStyle="1" w:styleId="57">
    <w:name w:val="font51"/>
    <w:basedOn w:val="24"/>
    <w:qFormat/>
    <w:uiPriority w:val="0"/>
    <w:rPr>
      <w:rFonts w:hint="eastAsia" w:ascii="宋体" w:hAnsi="宋体" w:eastAsia="宋体" w:cs="宋体"/>
      <w:color w:val="000000"/>
      <w:sz w:val="20"/>
      <w:szCs w:val="20"/>
      <w:u w:val="none"/>
    </w:rPr>
  </w:style>
  <w:style w:type="character" w:customStyle="1" w:styleId="58">
    <w:name w:val="font201"/>
    <w:basedOn w:val="24"/>
    <w:qFormat/>
    <w:uiPriority w:val="0"/>
    <w:rPr>
      <w:rFonts w:ascii="Arial" w:hAnsi="Arial" w:cs="Arial"/>
      <w:color w:val="000000"/>
      <w:sz w:val="20"/>
      <w:szCs w:val="20"/>
      <w:u w:val="none"/>
    </w:rPr>
  </w:style>
  <w:style w:type="character" w:customStyle="1" w:styleId="59">
    <w:name w:val="font131"/>
    <w:basedOn w:val="24"/>
    <w:qFormat/>
    <w:uiPriority w:val="0"/>
    <w:rPr>
      <w:rFonts w:hint="eastAsia" w:ascii="宋体" w:hAnsi="宋体" w:eastAsia="宋体" w:cs="宋体"/>
      <w:color w:val="000000"/>
      <w:sz w:val="20"/>
      <w:szCs w:val="20"/>
      <w:u w:val="none"/>
      <w:vertAlign w:val="superscript"/>
    </w:rPr>
  </w:style>
  <w:style w:type="character" w:customStyle="1" w:styleId="60">
    <w:name w:val="正文文本缩进 Char"/>
    <w:basedOn w:val="24"/>
    <w:link w:val="15"/>
    <w:semiHidden/>
    <w:qFormat/>
    <w:uiPriority w:val="99"/>
  </w:style>
  <w:style w:type="character" w:customStyle="1" w:styleId="61">
    <w:name w:val="正文首行缩进 2 Char"/>
    <w:basedOn w:val="60"/>
    <w:link w:val="22"/>
    <w:semiHidden/>
    <w:qFormat/>
    <w:uiPriority w:val="99"/>
  </w:style>
  <w:style w:type="paragraph" w:customStyle="1" w:styleId="62">
    <w:name w:val="表格文字"/>
    <w:basedOn w:val="63"/>
    <w:next w:val="13"/>
    <w:qFormat/>
    <w:uiPriority w:val="0"/>
    <w:pPr>
      <w:spacing w:before="25" w:after="25"/>
      <w:jc w:val="left"/>
    </w:pPr>
    <w:rPr>
      <w:bCs/>
      <w:spacing w:val="10"/>
      <w:kern w:val="0"/>
      <w:sz w:val="24"/>
      <w:szCs w:val="20"/>
    </w:rPr>
  </w:style>
  <w:style w:type="paragraph" w:customStyle="1" w:styleId="63">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64">
    <w:name w:val="font121"/>
    <w:basedOn w:val="24"/>
    <w:qFormat/>
    <w:uiPriority w:val="0"/>
    <w:rPr>
      <w:rFonts w:hint="eastAsia" w:ascii="宋体" w:hAnsi="宋体" w:eastAsia="宋体" w:cs="宋体"/>
      <w:color w:val="000000"/>
      <w:sz w:val="20"/>
      <w:szCs w:val="20"/>
      <w:u w:val="none"/>
    </w:rPr>
  </w:style>
  <w:style w:type="character" w:customStyle="1" w:styleId="65">
    <w:name w:val="font191"/>
    <w:basedOn w:val="24"/>
    <w:qFormat/>
    <w:uiPriority w:val="0"/>
    <w:rPr>
      <w:rFonts w:hint="eastAsia" w:ascii="宋体" w:hAnsi="宋体" w:eastAsia="宋体" w:cs="宋体"/>
      <w:color w:val="FF0000"/>
      <w:sz w:val="20"/>
      <w:szCs w:val="20"/>
      <w:u w:val="none"/>
    </w:rPr>
  </w:style>
  <w:style w:type="character" w:customStyle="1" w:styleId="66">
    <w:name w:val="font112"/>
    <w:basedOn w:val="24"/>
    <w:qFormat/>
    <w:uiPriority w:val="0"/>
    <w:rPr>
      <w:rFonts w:hint="eastAsia" w:ascii="宋体" w:hAnsi="宋体" w:eastAsia="宋体" w:cs="宋体"/>
      <w:color w:val="000000"/>
      <w:sz w:val="20"/>
      <w:szCs w:val="20"/>
      <w:u w:val="none"/>
    </w:rPr>
  </w:style>
  <w:style w:type="character" w:customStyle="1" w:styleId="67">
    <w:name w:val="font212"/>
    <w:basedOn w:val="24"/>
    <w:qFormat/>
    <w:uiPriority w:val="0"/>
    <w:rPr>
      <w:rFonts w:ascii="Arial" w:hAnsi="Arial" w:cs="Arial"/>
      <w:color w:val="000000"/>
      <w:sz w:val="20"/>
      <w:szCs w:val="20"/>
      <w:u w:val="none"/>
    </w:rPr>
  </w:style>
  <w:style w:type="character" w:customStyle="1" w:styleId="68">
    <w:name w:val="font181"/>
    <w:basedOn w:val="24"/>
    <w:qFormat/>
    <w:uiPriority w:val="0"/>
    <w:rPr>
      <w:rFonts w:ascii="等线" w:hAnsi="等线" w:eastAsia="等线" w:cs="等线"/>
      <w:b/>
      <w:bCs/>
      <w:color w:val="000000"/>
      <w:sz w:val="22"/>
      <w:szCs w:val="22"/>
      <w:u w:val="none"/>
    </w:rPr>
  </w:style>
  <w:style w:type="character" w:customStyle="1" w:styleId="69">
    <w:name w:val="font111"/>
    <w:basedOn w:val="24"/>
    <w:qFormat/>
    <w:uiPriority w:val="0"/>
    <w:rPr>
      <w:rFonts w:ascii="微软雅黑" w:hAnsi="微软雅黑" w:eastAsia="微软雅黑" w:cs="微软雅黑"/>
      <w:color w:val="000000"/>
      <w:sz w:val="18"/>
      <w:szCs w:val="18"/>
      <w:u w:val="none"/>
    </w:rPr>
  </w:style>
  <w:style w:type="character" w:customStyle="1" w:styleId="70">
    <w:name w:val="font251"/>
    <w:basedOn w:val="24"/>
    <w:qFormat/>
    <w:uiPriority w:val="0"/>
    <w:rPr>
      <w:rFonts w:ascii="Arial" w:hAnsi="Arial" w:cs="Arial"/>
      <w:color w:val="000000"/>
      <w:sz w:val="20"/>
      <w:szCs w:val="20"/>
      <w:u w:val="none"/>
    </w:rPr>
  </w:style>
  <w:style w:type="character" w:customStyle="1" w:styleId="71">
    <w:name w:val="批注框文本 Char"/>
    <w:basedOn w:val="24"/>
    <w:link w:val="16"/>
    <w:semiHidden/>
    <w:qFormat/>
    <w:uiPriority w:val="99"/>
    <w:rPr>
      <w:rFonts w:asciiTheme="minorHAnsi" w:hAnsiTheme="minorHAnsi" w:eastAsiaTheme="minorEastAsia" w:cstheme="minorBidi"/>
      <w:kern w:val="2"/>
      <w:sz w:val="18"/>
      <w:szCs w:val="18"/>
    </w:rPr>
  </w:style>
  <w:style w:type="character" w:customStyle="1" w:styleId="72">
    <w:name w:val="批注文字 Char"/>
    <w:basedOn w:val="24"/>
    <w:link w:val="12"/>
    <w:qFormat/>
    <w:uiPriority w:val="0"/>
    <w:rPr>
      <w:rFonts w:asciiTheme="minorHAnsi" w:hAnsiTheme="minorHAnsi" w:eastAsiaTheme="minorEastAsia" w:cstheme="minorBidi"/>
      <w:kern w:val="2"/>
      <w:sz w:val="21"/>
      <w:szCs w:val="22"/>
    </w:rPr>
  </w:style>
  <w:style w:type="character" w:customStyle="1" w:styleId="73">
    <w:name w:val="批注主题 Char"/>
    <w:basedOn w:val="72"/>
    <w:link w:val="20"/>
    <w:semiHidden/>
    <w:qFormat/>
    <w:uiPriority w:val="99"/>
    <w:rPr>
      <w:rFonts w:asciiTheme="minorHAnsi" w:hAnsiTheme="minorHAnsi" w:eastAsiaTheme="minorEastAsia" w:cstheme="minorBidi"/>
      <w:b/>
      <w:bCs/>
      <w:kern w:val="2"/>
      <w:sz w:val="21"/>
      <w:szCs w:val="22"/>
    </w:rPr>
  </w:style>
  <w:style w:type="paragraph" w:customStyle="1" w:styleId="7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D369-9C64-4B5D-9770-634A92054304}">
  <ds:schemaRefs/>
</ds:datastoreItem>
</file>

<file path=docProps/app.xml><?xml version="1.0" encoding="utf-8"?>
<Properties xmlns="http://schemas.openxmlformats.org/officeDocument/2006/extended-properties" xmlns:vt="http://schemas.openxmlformats.org/officeDocument/2006/docPropsVTypes">
  <Template>Normal</Template>
  <Pages>19</Pages>
  <Words>5789</Words>
  <Characters>7194</Characters>
  <Lines>1094</Lines>
  <Paragraphs>308</Paragraphs>
  <TotalTime>0</TotalTime>
  <ScaleCrop>false</ScaleCrop>
  <LinksUpToDate>false</LinksUpToDate>
  <CharactersWithSpaces>7245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2026-03-17T01:00:00Z</dcterms:created>
  <dc:creator>User</dc:creator>
  <cp:lastModifiedBy>admin</cp:lastModifiedBy>
  <dcterms:modified xsi:type="dcterms:W3CDTF">2026-04-14T09:24:40Z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eyJoZGlkIjoiODlhZmY3NzdhYWI1Y2Q3YmYyYzJlZThjODg5ODI0YzYiLCJ1c2VySWQiOiI5MTQwODUyOTQifQ==</vt:lpwstr>
  </property>
  <property fmtid="{D5CDD505-2E9C-101B-9397-08002B2CF9AE}" pid="3" name="KSOProductBuildVer">
    <vt:lpwstr>2052-12.1.0.15712</vt:lpwstr>
  </property>
  <property fmtid="{D5CDD505-2E9C-101B-9397-08002B2CF9AE}" pid="4" name="ICV">
    <vt:lpwstr>F2F3B23C4B6E44CDA88CBF2C9351BFFC_13</vt:lpwstr>
  </property>
</Properties>
</file>