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440606-2026-02198</w:t>
      </w:r>
    </w:p>
    <w:p>
      <w:pPr>
        <w:pStyle w:val="null3"/>
        <w:jc w:val="center"/>
        <w:outlineLvl w:val="3"/>
      </w:pPr>
      <w:r>
        <w:rPr>
          <w:sz w:val="24"/>
          <w:b/>
        </w:rPr>
        <w:t>采购项目编号：</w:t>
      </w:r>
      <w:r>
        <w:rPr>
          <w:sz w:val="24"/>
          <w:b/>
        </w:rPr>
        <w:t>GDZC-26GZ012</w:t>
      </w:r>
    </w:p>
    <w:p>
      <w:pPr>
        <w:pStyle w:val="null3"/>
        <w:jc w:val="center"/>
        <w:outlineLvl w:val="3"/>
      </w:pPr>
      <w:r>
        <w:rPr>
          <w:sz w:val="24"/>
          <w:b/>
        </w:rPr>
        <w:t>项目名称：</w:t>
      </w:r>
      <w:r>
        <w:rPr>
          <w:sz w:val="24"/>
          <w:b/>
        </w:rPr>
        <w:t>2026年4月-2028年3月顺德区水环境跟踪监测项目</w:t>
      </w:r>
    </w:p>
    <w:p>
      <w:pPr>
        <w:pStyle w:val="null3"/>
        <w:jc w:val="center"/>
        <w:outlineLvl w:val="3"/>
      </w:pPr>
      <w:r>
        <w:rPr>
          <w:sz w:val="24"/>
          <w:b/>
        </w:rPr>
        <w:t>采购人：</w:t>
      </w:r>
      <w:r>
        <w:rPr>
          <w:sz w:val="24"/>
          <w:b/>
        </w:rPr>
        <w:t>佛山市生态环境局顺德分局</w:t>
      </w:r>
    </w:p>
    <w:p>
      <w:pPr>
        <w:pStyle w:val="null3"/>
        <w:jc w:val="center"/>
        <w:outlineLvl w:val="3"/>
      </w:pPr>
      <w:r>
        <w:rPr>
          <w:sz w:val="24"/>
          <w:b/>
        </w:rPr>
        <w:t>采购代理机构：</w:t>
      </w:r>
      <w:r>
        <w:rPr>
          <w:sz w:val="24"/>
          <w:b/>
        </w:rPr>
        <w:t>广东中采招标有限公司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w:t>
      </w:r>
      <w:r>
        <w:rPr/>
        <w:t>受</w:t>
      </w:r>
      <w:r>
        <w:rPr/>
        <w:t>佛山市生态环境局顺德分局</w:t>
      </w:r>
      <w:r>
        <w:rPr/>
        <w:t>的委托，采用</w:t>
      </w:r>
      <w:r>
        <w:rPr/>
        <w:t>公开招标</w:t>
      </w:r>
      <w:r>
        <w:rPr/>
        <w:t>方式组织采购</w:t>
      </w:r>
      <w:r>
        <w:rPr/>
        <w:t>2026年4月-2028年3月顺德区水环境跟踪监测项目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2026年4月-2028年3月顺德区水环境跟踪监测项目</w:t>
      </w:r>
    </w:p>
    <w:p>
      <w:pPr>
        <w:pStyle w:val="null3"/>
        <w:ind w:firstLine="480"/>
      </w:pPr>
      <w:r>
        <w:rPr/>
        <w:t>采购计划编号：</w:t>
      </w:r>
      <w:r>
        <w:rPr/>
        <w:t>440606-2026-02198</w:t>
      </w:r>
    </w:p>
    <w:p>
      <w:pPr>
        <w:pStyle w:val="null3"/>
        <w:ind w:firstLine="480"/>
      </w:pPr>
      <w:r>
        <w:rPr/>
        <w:t>采购项目编号：</w:t>
      </w:r>
      <w:r>
        <w:rPr/>
        <w:t>GDZC-26GZ012</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采购包1(2026年4月-2028年3月顺德区水环境跟踪监测项目):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其他生态环境保护和治理服务</w:t>
            </w:r>
          </w:p>
        </w:tc>
        <w:tc>
          <w:tcPr>
            <w:tcW w:type="dxa" w:w="2136"/>
          </w:tcPr>
          <w:p>
            <w:pPr>
              <w:pStyle w:val="null3"/>
            </w:pPr>
            <w:r>
              <w:rPr/>
              <w:t>2026年4月-2028年3月顺德区水环境跟踪监测项目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合同履行期限：自合同签订之日起两年内。（如因法定不可抗力原因导致项目整体服务期限需要顺延的，以经双方确认的法定不可抗力事由为准）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w:t>
      </w:r>
    </w:p>
    <w:p>
      <w:pPr>
        <w:pStyle w:val="null3"/>
      </w:pPr>
      <w:r>
        <w:rPr/>
        <w:t>2）有依法缴纳税收和社会保障资金的良好记录：须提供下列任一项证明材料：①提供《政府采购供应商资格信用承诺函》（承诺函格式见公告附件）；②提供投标截止日前6个月内（含投标截止时间当月）任意1个月依法缴纳税收和社会保障资金的相关材料。如依法免税或不需要缴纳社会保障资金的，提供相应证明材料。</w:t>
      </w:r>
    </w:p>
    <w:p>
      <w:pPr>
        <w:pStyle w:val="null3"/>
      </w:pPr>
      <w:r>
        <w:rPr/>
        <w:t>3）具有良好的商业信誉和健全的财务会计制度：须提供下列任一项证明材料：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若供应商成立不足一年的，可提供本年度近1个月的财务状况报告）；③基本开户银行出具投标截止前6个月内（含投标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p>
      <w:pPr>
        <w:pStyle w:val="null3"/>
      </w:pPr>
      <w:r>
        <w:rPr/>
        <w:t>4）履行合同所必需的设备和专业技术能力：须提供下列任一项证明材料：1.提供《政府采购供应商资格信用承诺函》；2.按投标（响应）文件格式填报设备及专业技术能力情况。</w:t>
      </w:r>
    </w:p>
    <w:p>
      <w:pPr>
        <w:pStyle w:val="null3"/>
      </w:pPr>
      <w:r>
        <w:rPr/>
        <w:t>5）参加采购活动前3年内，在经营活动中没有重大违法记录：提供《政府采购供应商资格信用承诺函》。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采购包1（2026年4月-2028年3月顺德区水环境跟踪监测项目）：</w:t>
      </w:r>
      <w:r>
        <w:rPr/>
        <w:t>本采购包整体专门面向小微企业采购，监狱企业、残疾人福利性单位视同小型、微型企业。 （1）中小企业评审及《中小企业声明函》填写要求： ① 本项目为服务类项目，投标人须根据本项目采购类别选择对应的《中小企业声明函》填写。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采购需求—2.技术标准与要求”，中小企业划型标准详见《关于印发中小企业划型标准规定的通知》（工信部联企业〔2011〕300号）（http://www.gov.cn/zwgk/2011-07/04/content_1898747.htm） ③ 投标人提交的《中小企业声明函》应按要求完整填写所有信息，填写说明详见本项目采购公告附件“工程类、服务类项目中小企业声明函模板（填写说明）”。 （2）监狱企业评审要求：提供由省级以上监狱管理局、戒毒管理局（含新疆生产建设兵团）出具的属于监狱企业的证明文件。 （3）残疾人福利性单位评审要求：提供《残疾人福利性单位声明函》。</w:t>
      </w:r>
    </w:p>
    <w:p>
      <w:pPr>
        <w:pStyle w:val="null3"/>
        <w:outlineLvl w:val="3"/>
      </w:pPr>
      <w:r>
        <w:rPr>
          <w:sz w:val="24"/>
          <w:b/>
        </w:rPr>
        <w:t>3.本项目特定的资格要求：</w:t>
      </w:r>
    </w:p>
    <w:p>
      <w:pPr>
        <w:pStyle w:val="null3"/>
      </w:pPr>
      <w:r>
        <w:rPr/>
        <w:t>采购包1（2026年4月-2028年3月顺德区水环境跟踪监测项目）：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详见投标（报价）函相关承诺要求内容。</w:t>
      </w:r>
    </w:p>
    <w:p>
      <w:pPr>
        <w:pStyle w:val="null3"/>
      </w:pPr>
      <w:r>
        <w:rPr/>
        <w:t>3)投标人具备有效的计量认证证书（CMA），提供有效期内的计量认证证书复印件。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广东省公共资源交易平台（佛山市）（https://ygp.gdzwfw.gov.cn/ggzy-portal/#/440600/jygg）及采购代理机构（http://www.gdzczb.com/）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佛山市生态环境局顺德分局</w:t>
      </w:r>
    </w:p>
    <w:p>
      <w:pPr>
        <w:pStyle w:val="null3"/>
        <w:ind w:firstLine="480"/>
      </w:pPr>
      <w:r>
        <w:rPr/>
        <w:t xml:space="preserve"> 地址：</w:t>
      </w:r>
      <w:r>
        <w:rPr/>
        <w:t>广东省佛山市顺德区德民路6号行政大楼7楼</w:t>
      </w:r>
    </w:p>
    <w:p>
      <w:pPr>
        <w:pStyle w:val="null3"/>
        <w:ind w:firstLine="480"/>
      </w:pPr>
      <w:r>
        <w:rPr/>
        <w:t xml:space="preserve"> 联系方式：</w:t>
      </w:r>
      <w:r>
        <w:rPr/>
        <w:t>0757-22831585</w:t>
      </w:r>
    </w:p>
    <w:p>
      <w:pPr>
        <w:pStyle w:val="null3"/>
        <w:outlineLvl w:val="3"/>
      </w:pPr>
      <w:r>
        <w:rPr>
          <w:sz w:val="24"/>
          <w:b/>
        </w:rPr>
        <w:t xml:space="preserve"> 2.采购代理机构信息</w:t>
      </w:r>
    </w:p>
    <w:p>
      <w:pPr>
        <w:pStyle w:val="null3"/>
        <w:ind w:firstLine="480"/>
      </w:pPr>
      <w:r>
        <w:rPr/>
        <w:t xml:space="preserve"> 名称：</w:t>
      </w:r>
      <w:r>
        <w:rPr/>
        <w:t>广东中采招标有限公司</w:t>
      </w:r>
    </w:p>
    <w:p>
      <w:pPr>
        <w:pStyle w:val="null3"/>
        <w:ind w:firstLine="480"/>
      </w:pPr>
      <w:r>
        <w:rPr/>
        <w:t xml:space="preserve"> 地址：</w:t>
      </w:r>
      <w:r>
        <w:rPr/>
        <w:t>广东省佛山市禅城区祖庙街道季华六路17号一座1603室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余先生</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为打好污染防治攻坚战，深入推进顺德区水污染防治工作，做好顺德区区内河涌水环境质量分析，为全面改善顺德区水环境质量提供数据支撑，</w:t>
      </w:r>
      <w:r>
        <w:rPr>
          <w:sz w:val="21"/>
        </w:rPr>
        <w:t>拟</w:t>
      </w:r>
      <w:r>
        <w:rPr>
          <w:sz w:val="21"/>
        </w:rPr>
        <w:t>委托第三方技术服务单位开展顺德区水环境水质监测和分析项目。本项目共有</w:t>
      </w:r>
      <w:r>
        <w:rPr>
          <w:sz w:val="21"/>
        </w:rPr>
        <w:t>219</w:t>
      </w:r>
      <w:r>
        <w:rPr>
          <w:sz w:val="21"/>
        </w:rPr>
        <w:t>条黑臭水体</w:t>
      </w:r>
      <w:r>
        <w:rPr>
          <w:sz w:val="21"/>
        </w:rPr>
        <w:t>，覆盖顺德区十个镇街，能较充分体现顺德区现有河涌水质情况</w:t>
      </w:r>
      <w:r>
        <w:rPr>
          <w:sz w:val="21"/>
        </w:rPr>
        <w:t>。</w:t>
      </w:r>
    </w:p>
    <w:p>
      <w:pPr>
        <w:pStyle w:val="null3"/>
      </w:pPr>
      <w:r>
        <w:rPr/>
        <w:t>采购包1（2026年4月-2028年3月顺德区水环境跟踪监测项目）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★自合同签订之日起两年内。（如因法定不可抗力原因导致项目整体服务期限需要顺延的，以经双方确认的法定不可抗力事由为准）。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1期：支付比例50%,★合同签订生效后，采购人在收到中标人提供的正式发票后10个工作日内向中标人支付合同总额的50%；</w:t>
            </w:r>
          </w:p>
          <w:p>
            <w:pPr>
              <w:pStyle w:val="null3"/>
            </w:pPr>
            <w:r>
              <w:rPr/>
              <w:t>2期：支付比例25%,★中标人向采购人提交至2027年第三季度的所有检测报告、季度分析报告和年度分析报告，并经采购人验收后，采购人自收到中标人提供的正式发票后10个工作日内支付合同总额的25%；</w:t>
            </w:r>
          </w:p>
          <w:p>
            <w:pPr>
              <w:pStyle w:val="null3"/>
            </w:pPr>
            <w:r>
              <w:rPr/>
              <w:t>3期：支付比例25%,尾款=结算价-已支付金额,★中标人完成合同期内服务，按要求向采购人提交所有检测报告、季度分析报告、年度分析报告，并经采购人验收后，采购人自收到中标人提供的正式发票后10个工作日内支付尾款。4.因采购人使用的是财政资金，采购人在合同约定的付款时间为办理财政支付手续的（不含政府财政支付部门审核的时间）时间；采购人应在收到财政当期用款额度60日内，将相应款项支付给中标人。因中标人未及时提供合法有效的发票或支付申请书或不可抗力原因导致中标人收款延误的，不视为采购人违约，采购人不承担迟延付款的责任，并且此情况不能成为中标人中止或拒绝履行合同项下义务的理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1期：一、验收主体 1.组织验收方：招标人（项目采购单位）； 2.验收组成员：采购单位项目负责人，必要时委托生态环境监测站参与技术复核； 3.中标人责任：中标单位为被验收方，负责提供全部验收资料、现场配合、答疑及整改。 二、验收时间 1.阶段验收时间：按合同约定节点中标人向采购人提交至2027年第三季度的所有检测报告、季度分析报告和年度分析报告后10 个工作日内； 2.最终验收时间：中标人完成合同期内服务，按要求向招标人提交所有检测报告、季度分析报告、年度分析报告后10个工作日内； 3.整改复验时间：验收不合格的，中标人须在7个工作日内完成整改并申请复验。 三、验收方式与程序 1.资料验收：台账核对、监测数据与报告核对。 四、验收程序 1.提交申请：中标方按照合同约定完成工作后，向采购人提交书面验收申请及全套验收资料； 2.资料审核：采购单位对提交资料的完整性、规范性进行审核。资料不全或不符合要求的，限期补充整改； 3.形成验收意见：形成《项目验收意见书》，明确“通过”或“不通过”的结论。若“不通过”，详细列出存在的问题和整改期限； 4.归档与支付：验收通过后，采购人完成项目资料归档，并依据合同约定支付款项。 五、验收内容 1.组织机构与人员配备：质量管理制度、安全制度、应急预案制定情况，项目负责人、监测人员持证上岗、到岗履职情况； 2.监测方案执行：监测点位、因子、频次、方法严格按招标文件与合同执行，无擅自变更点位、减少频次、降低标准等情况； 3.现场监测与采样规范性：现场记录、影像资料完整，样品保存、运输、交接符合规范； 4.监测数据与质量控制：数据真实、可追溯，无漏报、迟报情况； 5.成果报告与成果交付：监测报告、分析报告盖章、装订完整； 6.保密情况：数据保密、不泄露、不违规使用。 六、验收标准 验收结论依据以下标准判定，所有标准必须同时满足，方可认定为“验收合格”： 1.合规性标准：所有监测活动严格遵守国家、行业及地方现行的法律法规、技术规范和标准。 2.完整性标准：合同约定的监测点位、监测指标、监测频次完成，无缺测、漏测，提交的各类资料齐全，格式规范。 3.时效性标准：所有服务响应、任务完成时间均在合同约定的时限内，整改工作在规定期限内完成并通过复验。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付款要求（一）合同款项的支付方式：转账结算（银行转账）。（二）付款方：采购人；收款方：中标人。（三）开具发票：中标人收款时必须持有效发票。收款方、出具发票方、合同乙方均必须与中标人名称一致。（四）付款期间如因特殊情况需调整，由双方协商处理。 其他：（一）合同响应要求：响应招标文件的合同文本或合同条款。 （二）投标人及其投标文件中无法律法规和招标文件规定的其他无效情形。 （三）其他要求详见招标文件第四部分《合同书范本》的规定。</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本项目采用单价报价、汇总形成总价的形式报价，投标人须按监测点位报出单价，再据此汇总形成投标总价；总价投标报价指投标人为完成本项目所收取的全部费用，包含但不限于以下费用：样品采集费、样品前处理费、交通补贴、技术服务费、其他相关监测费用、分析报告费、专家评审费、各种税费以及项目实施过程中其它应预见和不可预见费用等完成本采购项目、达到采购人目的的一切费用及企业利润。（二）投标人须考虑本项目在实施期间的一切可能产生的费用。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合同单价调价申请将不被接受。（三）报价不得高于本项目的采购项目预算金额，否则视为无效报价，作无效投标处理。四）投标人报价时应详细列明报价的具体构成（合计不得超过本项目采购预算金额，详见附表1）</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人员要求</w:t>
            </w:r>
          </w:p>
        </w:tc>
        <w:tc>
          <w:tcPr>
            <w:tcW w:type="dxa" w:w="2076"/>
          </w:tcPr>
          <w:p>
            <w:pPr>
              <w:pStyle w:val="null3"/>
              <w:jc w:val="left"/>
            </w:pPr>
            <w:r>
              <w:rPr/>
              <w:t>（一）中标人须按其投标文件中承诺提供的项目组人员必须按要求投入到本项目中，在合同期内不得擅自更换。如无特殊原因原则上不能中途变更人员，确需变更人员的需经采购人书面同意。人员离开后，需在7天内作出补充。 （二）采购人有权以书面形式要求中标人更换不能按规定履行合同的人员。即使是采购人要求或同意更换的人员，其代替人员的资质仍应得到采购人的认可，且其资历和经验均不低于被更换人员。由此而产生的费用由中标人承担。 （三）如中标人未经采购人书面同意擅自更换项目组人员，采购人有权扣除中标人一定的违约金。发生本条上述情况累计达4次后，采购人有权终止合同，由此引致的经济损失，中标人须全额赔偿，采购人保留追究中标人相关责任的权利。（四）中标人对其雇员的人身安全负全部责任。</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服务要求</w:t>
            </w:r>
          </w:p>
        </w:tc>
        <w:tc>
          <w:tcPr>
            <w:tcW w:type="dxa" w:w="2076"/>
          </w:tcPr>
          <w:p>
            <w:pPr>
              <w:pStyle w:val="null3"/>
              <w:jc w:val="left"/>
            </w:pPr>
            <w:r>
              <w:rPr/>
              <w:t>（一）服务时间内，中标人须提供常设每周7天×24小时服务专线技术支持。 （二）对采购人的服务通知，中标人必须符合以下要求：（1）在接报后1小时内响应；（2）4小时内到达现场；（3）24小时内处理完毕。（三）上述服务要求费用包含在服务费中。注：上述费用报价时可不单列。</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在项目实施过程中，对采购人所提供的所有相关资料、数据，未经采购人书面同意不得向任何第三人泄露，且保密责任不因合同的终止或解除而失效。如采购人提出要求，中标人须无条件与采购人签订保密协议。项目完成后，中标人须把采购人提供的所有资料、数据完整归还。</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成果归属</w:t>
            </w:r>
          </w:p>
        </w:tc>
        <w:tc>
          <w:tcPr>
            <w:tcW w:type="dxa" w:w="2076"/>
          </w:tcPr>
          <w:p>
            <w:pPr>
              <w:pStyle w:val="null3"/>
              <w:jc w:val="left"/>
            </w:pPr>
            <w:r>
              <w:rPr/>
              <w:t>（一）项目的所有成果著作权等知识产权和所有权益归采购人所有。未经采购人书面同意，中标人不得引用、发表和向第三者提供。（二）采购人引用中标人的工作成果所完成的新的技术成果，属于采购人所有，采购人可依法享有就该项技术成果取得的精神权利、经济权利和其他权利。（三）中无论发生不限于合同何种情形（包括但提前终止或解除），采购人均有权利用中标人的阶段性工作成果，并且采购人引用中标人的阶段性工作成果所完成的新的技术成果，属于采购人所有，采购人可依法享有就该项技术成果取得的精神权利、经济权利和其他权利。</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违约责任</w:t>
            </w:r>
          </w:p>
        </w:tc>
        <w:tc>
          <w:tcPr>
            <w:tcW w:type="dxa" w:w="2076"/>
          </w:tcPr>
          <w:p>
            <w:pPr>
              <w:pStyle w:val="null3"/>
              <w:jc w:val="left"/>
            </w:pPr>
            <w:r>
              <w:rPr/>
              <w:t>1、中标人未按要求履行合同义务时，须从违约之日起每日按合同总额的 1‰ 比例向采购人支付违约金；逾期 30 日以上时，采购人有权终止合同，由此造成采购人的经济损失由中标人承担。违约金不足以弥补采购人损失的，中标人应赔偿采购人的全部损失。 2、采购人未按要求履行合同义务时，或无故拖延验收、付款时，采购人须向中标人支付滞纳金，标准为每日按逾期应付款总额的 1‰ 累计。 3、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 每月凡出现数据报送不及时（超过限定时限报送），每次扣除5000元整，金额次数累计；数据出错误的，每个错误扣除500元整，金额按错误个数累计。扣除金额上限为当期服务费金额。</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2026年4月-2028年3月顺德区水环境跟踪监测项目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2026年4月-2028年3月顺德区水环境跟踪监测项目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项目内容</w:t>
            </w:r>
          </w:p>
          <w:p>
            <w:pPr>
              <w:pStyle w:val="null3"/>
              <w:jc w:val="both"/>
            </w:pPr>
            <w:r>
              <w:rPr>
                <w:sz w:val="20"/>
              </w:rPr>
              <w:t>在服务期内，由中标人安排专业、专职工作人员完成河涌的水质监测工作，并按要求形成数据报告和分析报告。（包括：现场取样分析、实验室分析、原始记录、数据录入、审核并汇总分析、资料建档造册、数据分析报告及工作总结等）。</w:t>
            </w:r>
          </w:p>
          <w:p>
            <w:pPr>
              <w:pStyle w:val="null3"/>
              <w:numPr>
                <w:ilvl w:val="0"/>
                <w:numId w:val="1"/>
              </w:numPr>
              <w:jc w:val="both"/>
            </w:pPr>
            <w:r>
              <w:rPr>
                <w:sz w:val="20"/>
              </w:rPr>
              <w:t>分析服务要求</w:t>
            </w:r>
          </w:p>
          <w:p>
            <w:pPr>
              <w:pStyle w:val="null3"/>
              <w:jc w:val="both"/>
            </w:pPr>
            <w:r>
              <w:rPr>
                <w:sz w:val="20"/>
                <w:shd w:fill="FFFFFF" w:val="clear"/>
              </w:rPr>
              <w:t>1、熟悉了解顺德区水质情况，现场采样时要对采样点河涌现场情况做好记录，编写的分析报告，应符合技术要求，能充分反映监测工作及成果，并针对顺德区河涌水质情况，结合顺德区实际情况给出应对措施和建议。出具</w:t>
            </w:r>
            <w:r>
              <w:rPr>
                <w:sz w:val="20"/>
                <w:shd w:fill="FFFFFF" w:val="clear"/>
              </w:rPr>
              <w:t>季度分析报告</w:t>
            </w:r>
            <w:r>
              <w:rPr>
                <w:sz w:val="20"/>
                <w:shd w:fill="FFFFFF" w:val="clear"/>
              </w:rPr>
              <w:t>和年度分析报告。分析报告应包括但不限于：河涌水质类别判定、达标率统计、结合我区河涌整治情况对比历年河涌监测数据等进行环比、同比</w:t>
            </w:r>
            <w:r>
              <w:rPr>
                <w:sz w:val="20"/>
                <w:shd w:fill="FFFFFF" w:val="clear"/>
              </w:rPr>
              <w:t>等数据分析，得出水质变化原因并提出水质改善工作建议</w:t>
            </w:r>
            <w:r>
              <w:rPr>
                <w:sz w:val="20"/>
                <w:shd w:fill="FFFFFF" w:val="clear"/>
              </w:rPr>
              <w:t>。</w:t>
            </w:r>
          </w:p>
          <w:p>
            <w:pPr>
              <w:pStyle w:val="null3"/>
              <w:jc w:val="both"/>
            </w:pPr>
            <w:r>
              <w:rPr>
                <w:sz w:val="20"/>
                <w:shd w:fill="FFFFFF" w:val="clear"/>
              </w:rPr>
              <w:t>2、按采购人要求，配合采购人做好水质考核工作和河涌整治相关工作，对采购人提供监测数据进行整理和分析（包括数据整理归类、数据统计分析、数据录入及工作总结等）。</w:t>
            </w:r>
          </w:p>
          <w:p>
            <w:pPr>
              <w:pStyle w:val="null3"/>
            </w:pPr>
            <w:r>
              <w:rPr>
                <w:sz w:val="20"/>
                <w:shd w:fill="FFFFFF" w:val="clear"/>
              </w:rPr>
              <w:t>3.</w:t>
            </w:r>
            <w:r>
              <w:rPr>
                <w:sz w:val="20"/>
              </w:rPr>
              <w:t>分析报告</w:t>
            </w:r>
          </w:p>
          <w:p>
            <w:pPr>
              <w:pStyle w:val="null3"/>
            </w:pPr>
            <w:r>
              <w:rPr>
                <w:sz w:val="20"/>
              </w:rPr>
              <w:t>季度</w:t>
            </w:r>
            <w:r>
              <w:rPr>
                <w:sz w:val="20"/>
              </w:rPr>
              <w:t>分析报告于</w:t>
            </w:r>
            <w:r>
              <w:rPr>
                <w:sz w:val="20"/>
              </w:rPr>
              <w:t>次季度首月</w:t>
            </w:r>
            <w:r>
              <w:rPr>
                <w:sz w:val="20"/>
              </w:rPr>
              <w:t>15日</w:t>
            </w:r>
            <w:r>
              <w:rPr>
                <w:sz w:val="20"/>
              </w:rPr>
              <w:t>前报送采购人，年度分析报告于</w:t>
            </w:r>
            <w:r>
              <w:rPr>
                <w:sz w:val="20"/>
              </w:rPr>
              <w:t>次</w:t>
            </w:r>
            <w:r>
              <w:rPr>
                <w:sz w:val="20"/>
              </w:rPr>
              <w:t>年</w:t>
            </w:r>
            <w:r>
              <w:rPr>
                <w:sz w:val="20"/>
              </w:rPr>
              <w:t>1月31日</w:t>
            </w:r>
            <w:r>
              <w:rPr>
                <w:sz w:val="20"/>
              </w:rPr>
              <w:t>前报送采购人</w:t>
            </w:r>
            <w:r>
              <w:rPr>
                <w:sz w:val="20"/>
              </w:rPr>
              <w:t>。</w:t>
            </w:r>
          </w:p>
          <w:p>
            <w:pPr>
              <w:pStyle w:val="null3"/>
            </w:pPr>
            <w:r>
              <w:rPr>
                <w:sz w:val="20"/>
              </w:rPr>
              <w:t>注：报送季度分析报告、年度分析报告</w:t>
            </w:r>
            <w:r>
              <w:rPr>
                <w:sz w:val="20"/>
              </w:rPr>
              <w:t>同时报送电子版。</w:t>
            </w:r>
          </w:p>
          <w:p>
            <w:pPr>
              <w:pStyle w:val="null3"/>
              <w:numPr>
                <w:ilvl w:val="0"/>
                <w:numId w:val="1"/>
              </w:numPr>
              <w:jc w:val="both"/>
            </w:pPr>
            <w:r>
              <w:rPr>
                <w:sz w:val="20"/>
              </w:rPr>
              <w:t>监测服务要求</w:t>
            </w:r>
          </w:p>
          <w:p>
            <w:pPr>
              <w:pStyle w:val="null3"/>
              <w:jc w:val="both"/>
            </w:pPr>
            <w:r>
              <w:rPr>
                <w:sz w:val="20"/>
              </w:rPr>
              <w:t>按照《地表水环境质量标准》（</w:t>
            </w:r>
            <w:r>
              <w:rPr>
                <w:sz w:val="20"/>
              </w:rPr>
              <w:t>GB3838-2002），对顺德区开展约</w:t>
            </w:r>
            <w:r>
              <w:rPr>
                <w:sz w:val="20"/>
              </w:rPr>
              <w:t>657</w:t>
            </w:r>
            <w:r>
              <w:rPr>
                <w:sz w:val="20"/>
              </w:rPr>
              <w:t>个水质监测点位进行监测，并出具月度检测报告。检测指标项目为溶解氧</w:t>
            </w:r>
            <w:r>
              <w:rPr>
                <w:sz w:val="20"/>
              </w:rPr>
              <w:t>、</w:t>
            </w:r>
            <w:r>
              <w:rPr>
                <w:sz w:val="20"/>
              </w:rPr>
              <w:t>氨氮、透明度。</w:t>
            </w:r>
          </w:p>
          <w:p>
            <w:pPr>
              <w:pStyle w:val="null3"/>
            </w:pPr>
            <w:r>
              <w:rPr>
                <w:sz w:val="20"/>
              </w:rPr>
              <w:t>1、</w:t>
            </w:r>
            <w:r>
              <w:rPr>
                <w:sz w:val="20"/>
              </w:rPr>
              <w:t>监测任务：</w:t>
            </w:r>
            <w:r>
              <w:rPr>
                <w:sz w:val="20"/>
              </w:rPr>
              <w:t>合同签订之日起两年内</w:t>
            </w:r>
            <w:r>
              <w:rPr>
                <w:sz w:val="20"/>
              </w:rPr>
              <w:t>对</w:t>
            </w:r>
            <w:r>
              <w:rPr>
                <w:sz w:val="20"/>
              </w:rPr>
              <w:t>顺德区范围内</w:t>
            </w:r>
            <w:r>
              <w:rPr>
                <w:sz w:val="20"/>
              </w:rPr>
              <w:t>城乡黑臭水体、农村</w:t>
            </w:r>
            <w:r>
              <w:rPr>
                <w:sz w:val="20"/>
              </w:rPr>
              <w:t>黑臭水体开展采样、水质监测、数据报送，具体要求如下。</w:t>
            </w:r>
          </w:p>
          <w:p>
            <w:pPr>
              <w:pStyle w:val="null3"/>
            </w:pPr>
            <w:r>
              <w:rPr>
                <w:sz w:val="20"/>
              </w:rPr>
              <w:t>（</w:t>
            </w:r>
            <w:r>
              <w:rPr>
                <w:sz w:val="20"/>
              </w:rPr>
              <w:t>1</w:t>
            </w:r>
            <w:r>
              <w:rPr>
                <w:sz w:val="20"/>
              </w:rPr>
              <w:t>）城乡黑臭水体。共</w:t>
            </w:r>
            <w:r>
              <w:rPr>
                <w:sz w:val="20"/>
              </w:rPr>
              <w:t>67</w:t>
            </w:r>
            <w:r>
              <w:rPr>
                <w:sz w:val="20"/>
              </w:rPr>
              <w:t>条，每条设上、中、下游三个断面，共计</w:t>
            </w:r>
            <w:r>
              <w:rPr>
                <w:sz w:val="20"/>
              </w:rPr>
              <w:t>2</w:t>
            </w:r>
            <w:r>
              <w:rPr>
                <w:sz w:val="20"/>
              </w:rPr>
              <w:t>0</w:t>
            </w:r>
            <w:r>
              <w:rPr>
                <w:sz w:val="20"/>
              </w:rPr>
              <w:t>1个监测断面，监测指标为溶解氧、氨氮、透明度，</w:t>
            </w:r>
            <w:r>
              <w:rPr>
                <w:sz w:val="20"/>
              </w:rPr>
              <w:t>每季度</w:t>
            </w:r>
            <w:r>
              <w:rPr>
                <w:sz w:val="20"/>
              </w:rPr>
              <w:t>覆盖监测</w:t>
            </w:r>
            <w:r>
              <w:rPr>
                <w:sz w:val="20"/>
              </w:rPr>
              <w:t>1次。</w:t>
            </w:r>
          </w:p>
          <w:p>
            <w:pPr>
              <w:pStyle w:val="null3"/>
            </w:pPr>
            <w:r>
              <w:rPr>
                <w:sz w:val="20"/>
              </w:rPr>
              <w:t>（</w:t>
            </w:r>
            <w:r>
              <w:rPr>
                <w:sz w:val="20"/>
              </w:rPr>
              <w:t>2</w:t>
            </w:r>
            <w:r>
              <w:rPr>
                <w:sz w:val="20"/>
              </w:rPr>
              <w:t>）农村黑臭水体。共</w:t>
            </w:r>
            <w:r>
              <w:rPr>
                <w:sz w:val="20"/>
              </w:rPr>
              <w:t>1</w:t>
            </w:r>
            <w:r>
              <w:rPr>
                <w:sz w:val="20"/>
              </w:rPr>
              <w:t>52</w:t>
            </w:r>
            <w:r>
              <w:rPr>
                <w:sz w:val="20"/>
              </w:rPr>
              <w:t>条，每条设上、中、下游三个断面，共计</w:t>
            </w:r>
            <w:r>
              <w:rPr>
                <w:sz w:val="20"/>
              </w:rPr>
              <w:t>4</w:t>
            </w:r>
            <w:r>
              <w:rPr>
                <w:sz w:val="20"/>
              </w:rPr>
              <w:t>56</w:t>
            </w:r>
            <w:r>
              <w:rPr>
                <w:sz w:val="20"/>
              </w:rPr>
              <w:t>个监测断面，监测指标为溶解氧、氨氮、透明度，</w:t>
            </w:r>
            <w:r>
              <w:rPr>
                <w:sz w:val="20"/>
              </w:rPr>
              <w:t>每季度</w:t>
            </w:r>
            <w:r>
              <w:rPr>
                <w:sz w:val="20"/>
              </w:rPr>
              <w:t>覆盖监测</w:t>
            </w:r>
            <w:r>
              <w:rPr>
                <w:sz w:val="20"/>
              </w:rPr>
              <w:t>1次。</w:t>
            </w:r>
          </w:p>
          <w:p>
            <w:pPr>
              <w:pStyle w:val="null3"/>
            </w:pPr>
            <w:r>
              <w:rPr>
                <w:sz w:val="20"/>
              </w:rPr>
              <w:t>采样过程中记录实际采样点位经纬度信息，每个点现场采样照片。其中应急监测按需开展。</w:t>
            </w:r>
          </w:p>
          <w:p>
            <w:pPr>
              <w:pStyle w:val="null3"/>
            </w:pPr>
            <w:r>
              <w:rPr>
                <w:sz w:val="20"/>
              </w:rPr>
              <w:t>2、监测项目：</w:t>
            </w:r>
            <w:r>
              <w:rPr>
                <w:sz w:val="20"/>
              </w:rPr>
              <w:t>溶解氧、氨氮、透明度</w:t>
            </w:r>
            <w:r>
              <w:rPr>
                <w:sz w:val="20"/>
              </w:rPr>
              <w:t>。</w:t>
            </w:r>
          </w:p>
          <w:p>
            <w:pPr>
              <w:pStyle w:val="null3"/>
            </w:pPr>
            <w:r>
              <w:rPr>
                <w:sz w:val="20"/>
              </w:rPr>
              <w:t>3、特殊情况:如采样前，遇到气象部门发布台风、暴雨、洪流等极端天气或现场无法采样的紧急情况，中标人及时与采购人沟通后，再决定进行接下来的监测工作。</w:t>
            </w:r>
          </w:p>
          <w:p>
            <w:pPr>
              <w:pStyle w:val="null3"/>
            </w:pPr>
            <w:r>
              <w:rPr>
                <w:sz w:val="20"/>
              </w:rPr>
              <w:t>4、留样：分析完成后的留样由中标人按照相关的技术规范统一保存，并在保存有效期后清理失效样品。</w:t>
            </w:r>
          </w:p>
          <w:p>
            <w:pPr>
              <w:pStyle w:val="null3"/>
            </w:pPr>
            <w:r>
              <w:rPr>
                <w:sz w:val="20"/>
              </w:rPr>
              <w:t>5、</w:t>
            </w:r>
            <w:r>
              <w:rPr>
                <w:sz w:val="20"/>
              </w:rPr>
              <w:t>检测报告</w:t>
            </w:r>
            <w:r>
              <w:rPr>
                <w:sz w:val="20"/>
              </w:rPr>
              <w:t>报送</w:t>
            </w:r>
          </w:p>
          <w:p>
            <w:pPr>
              <w:pStyle w:val="null3"/>
            </w:pPr>
            <w:r>
              <w:rPr>
                <w:sz w:val="20"/>
              </w:rPr>
              <w:t>（</w:t>
            </w:r>
            <w:r>
              <w:rPr>
                <w:sz w:val="20"/>
              </w:rPr>
              <w:t>1）报告编写：所有监测原始数据由分析人员如实填写、复核人员复核，相关质量控制记录由质量管理人员审核后方可进行报告编写。所有</w:t>
            </w:r>
            <w:r>
              <w:rPr>
                <w:sz w:val="20"/>
              </w:rPr>
              <w:t>检测报告</w:t>
            </w:r>
            <w:r>
              <w:rPr>
                <w:sz w:val="20"/>
              </w:rPr>
              <w:t>均应由报告编写人、报告审核人、报告签发人三级审核后，加盖公章后才能对外发送和上报。</w:t>
            </w:r>
          </w:p>
          <w:p>
            <w:pPr>
              <w:pStyle w:val="null3"/>
            </w:pPr>
            <w:r>
              <w:rPr>
                <w:sz w:val="20"/>
              </w:rPr>
              <w:t>（</w:t>
            </w:r>
            <w:r>
              <w:rPr>
                <w:sz w:val="20"/>
              </w:rPr>
              <w:t>2）报告及原始记录：中标人所出具的正式报告内容应满足《检验检测机构资质认定评审准则》（2023年第21号）的要求。按要求保存原始记录，以备采购人有必要时到实验室抽查。</w:t>
            </w:r>
          </w:p>
          <w:p>
            <w:pPr>
              <w:pStyle w:val="null3"/>
            </w:pPr>
            <w:r>
              <w:rPr>
                <w:sz w:val="20"/>
              </w:rPr>
              <w:t>（</w:t>
            </w:r>
            <w:r>
              <w:rPr>
                <w:sz w:val="20"/>
              </w:rPr>
              <w:t>3）报送时间：</w:t>
            </w:r>
            <w:r>
              <w:rPr>
                <w:sz w:val="20"/>
              </w:rPr>
              <w:t>每月</w:t>
            </w:r>
            <w:r>
              <w:rPr>
                <w:sz w:val="20"/>
              </w:rPr>
              <w:t>10日前完成当月</w:t>
            </w:r>
            <w:r>
              <w:rPr>
                <w:sz w:val="21"/>
              </w:rPr>
              <w:t>监测采样，</w:t>
            </w:r>
            <w:r>
              <w:rPr>
                <w:sz w:val="20"/>
              </w:rPr>
              <w:t>月度检测结果于当月</w:t>
            </w:r>
            <w:r>
              <w:rPr>
                <w:sz w:val="20"/>
              </w:rPr>
              <w:t>2</w:t>
            </w:r>
            <w:r>
              <w:rPr>
                <w:sz w:val="20"/>
              </w:rPr>
              <w:t>0</w:t>
            </w:r>
            <w:r>
              <w:rPr>
                <w:sz w:val="20"/>
              </w:rPr>
              <w:t>日前按正式报告格式报送采购人，同时报送电子版。</w:t>
            </w:r>
          </w:p>
          <w:p>
            <w:pPr>
              <w:pStyle w:val="null3"/>
            </w:pPr>
            <w:r>
              <w:rPr>
                <w:sz w:val="20"/>
              </w:rPr>
              <w:t>6、</w:t>
            </w:r>
            <w:r>
              <w:rPr>
                <w:sz w:val="20"/>
              </w:rPr>
              <w:t>检测项目</w:t>
            </w:r>
            <w:r>
              <w:rPr>
                <w:sz w:val="20"/>
              </w:rPr>
              <w:t>采样及分析注意事项：</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检</w:t>
                  </w:r>
                  <w:r>
                    <w:rPr>
                      <w:sz w:val="20"/>
                    </w:rPr>
                    <w:t>测项目</w:t>
                  </w:r>
                </w:p>
              </w:tc>
              <w:tc>
                <w:tcPr>
                  <w:tcW w:type="dxa" w:w="11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采样容器</w:t>
                  </w:r>
                </w:p>
              </w:tc>
              <w:tc>
                <w:tcPr>
                  <w:tcW w:type="dxa" w:w="11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保存方法及保存剂用量</w:t>
                  </w:r>
                </w:p>
              </w:tc>
              <w:tc>
                <w:tcPr>
                  <w:tcW w:type="dxa" w:w="11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留样时间</w:t>
                  </w:r>
                </w:p>
              </w:tc>
              <w:tc>
                <w:tcPr>
                  <w:tcW w:type="dxa" w:w="11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备注</w:t>
                  </w:r>
                </w:p>
              </w:tc>
            </w:tr>
            <w:tr>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溶解氧</w:t>
                  </w:r>
                </w:p>
              </w:tc>
              <w:tc>
                <w:tcPr>
                  <w:tcW w:type="dxa" w:w="1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溶解氧瓶</w:t>
                  </w:r>
                </w:p>
              </w:tc>
              <w:tc>
                <w:tcPr>
                  <w:tcW w:type="dxa" w:w="1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加入硫酸锰，碱性</w:t>
                  </w:r>
                  <w:r>
                    <w:rPr>
                      <w:sz w:val="20"/>
                    </w:rPr>
                    <w:t>KI叠氮化钠溶液，现场固定</w:t>
                  </w:r>
                </w:p>
              </w:tc>
              <w:tc>
                <w:tcPr>
                  <w:tcW w:type="dxa" w:w="1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24h</w:t>
                  </w:r>
                </w:p>
              </w:tc>
              <w:tc>
                <w:tcPr>
                  <w:tcW w:type="dxa" w:w="1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现场测定</w:t>
                  </w:r>
                </w:p>
              </w:tc>
            </w:tr>
            <w:tr>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氨氮</w:t>
                  </w:r>
                </w:p>
              </w:tc>
              <w:tc>
                <w:tcPr>
                  <w:tcW w:type="dxa" w:w="1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P或G</w:t>
                  </w:r>
                </w:p>
              </w:tc>
              <w:tc>
                <w:tcPr>
                  <w:tcW w:type="dxa" w:w="1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用</w:t>
                  </w:r>
                  <w:r>
                    <w:rPr>
                      <w:sz w:val="20"/>
                    </w:rPr>
                    <w:t>H2SO4，pH＜2，2～5℃保存</w:t>
                  </w:r>
                </w:p>
              </w:tc>
              <w:tc>
                <w:tcPr>
                  <w:tcW w:type="dxa" w:w="1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7d</w:t>
                  </w:r>
                </w:p>
              </w:tc>
              <w:tc>
                <w:tcPr>
                  <w:tcW w:type="dxa" w:w="1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p>
              </w:tc>
            </w:tr>
          </w:tbl>
          <w:p>
            <w:pPr>
              <w:pStyle w:val="null3"/>
              <w:jc w:val="both"/>
            </w:pPr>
            <w:r>
              <w:rPr>
                <w:sz w:val="20"/>
              </w:rPr>
              <w:t>注：</w:t>
            </w:r>
            <w:r>
              <w:rPr>
                <w:sz w:val="20"/>
              </w:rPr>
              <w:t>①G为硬质玻璃瓶；P为聚乙烯瓶(桶)。</w:t>
            </w:r>
          </w:p>
          <w:p>
            <w:pPr>
              <w:pStyle w:val="null3"/>
            </w:pPr>
            <w:r>
              <w:rPr>
                <w:sz w:val="20"/>
              </w:rPr>
              <w:t>②样品保存要与分析方法对应，具体保存方法以最终使用的分析方法为准。</w:t>
            </w:r>
          </w:p>
          <w:p>
            <w:pPr>
              <w:pStyle w:val="null3"/>
            </w:pPr>
            <w:r>
              <w:rPr>
                <w:sz w:val="20"/>
              </w:rPr>
              <w:t>检测项目优先使用以下表格的方法，也可采用其他现行有效的等级方法。采用方法必须通过国家或广东省检验检测机构资质认定。</w:t>
            </w:r>
          </w:p>
          <w:tbl>
            <w:tblPr>
              <w:tblBorders>
                <w:top w:val="none" w:color="000000" w:sz="4"/>
                <w:left w:val="none" w:color="000000" w:sz="4"/>
                <w:bottom w:val="none" w:color="000000" w:sz="4"/>
                <w:right w:val="none" w:color="000000" w:sz="4"/>
                <w:insideH w:val="none"/>
                <w:insideV w:val="none"/>
              </w:tblBorders>
            </w:tblPr>
            <w:tblGrid>
              <w:gridCol w:w="1329"/>
              <w:gridCol w:w="2794"/>
              <w:gridCol w:w="1473"/>
            </w:tblGrid>
            <w:tr>
              <w:tc>
                <w:tcPr>
                  <w:tcW w:type="dxa" w:w="1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检测项目</w:t>
                  </w:r>
                </w:p>
              </w:tc>
              <w:tc>
                <w:tcPr>
                  <w:tcW w:type="dxa" w:w="2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检测方法（来源）</w:t>
                  </w:r>
                </w:p>
              </w:tc>
              <w:tc>
                <w:tcPr>
                  <w:tcW w:type="dxa" w:w="1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检出限</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溶解氧</w:t>
                  </w:r>
                </w:p>
              </w:tc>
              <w:tc>
                <w:tcPr>
                  <w:tcW w:type="dxa" w:w="2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《水质</w:t>
                  </w:r>
                  <w:r>
                    <w:rPr>
                      <w:sz w:val="20"/>
                    </w:rPr>
                    <w:t>溶解氧的测定</w:t>
                  </w:r>
                  <w:r>
                    <w:rPr>
                      <w:sz w:val="20"/>
                    </w:rPr>
                    <w:t>电化学探头法</w:t>
                  </w:r>
                  <w:r>
                    <w:rPr>
                      <w:sz w:val="20"/>
                    </w:rPr>
                    <w:t>》</w:t>
                  </w:r>
                  <w:r>
                    <w:rPr>
                      <w:sz w:val="20"/>
                    </w:rPr>
                    <w:t>HJ 506-2009</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0.01mg/L</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氨氮</w:t>
                  </w:r>
                </w:p>
              </w:tc>
              <w:tc>
                <w:tcPr>
                  <w:tcW w:type="dxa" w:w="2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《水质</w:t>
                  </w:r>
                  <w:r>
                    <w:rPr>
                      <w:sz w:val="20"/>
                    </w:rPr>
                    <w:t>氨氮的测定</w:t>
                  </w:r>
                  <w:r>
                    <w:rPr>
                      <w:sz w:val="20"/>
                    </w:rPr>
                    <w:t>纳氏试剂分光光度法》</w:t>
                  </w:r>
                  <w:r>
                    <w:rPr>
                      <w:sz w:val="20"/>
                    </w:rPr>
                    <w:t>HJ 535-2009</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0.025mg/L</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透明度</w:t>
                  </w:r>
                </w:p>
              </w:tc>
              <w:tc>
                <w:tcPr>
                  <w:tcW w:type="dxa" w:w="2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《水和废水监测分析方法》</w:t>
                  </w:r>
                  <w:r>
                    <w:rPr>
                      <w:sz w:val="20"/>
                    </w:rPr>
                    <w:t>(第四版增补版） 国家环境保护总局 2002年 塞氏盘法（B） 3.1.5（2）</w:t>
                  </w:r>
                </w:p>
              </w:tc>
              <w:tc>
                <w:tcPr>
                  <w:tcW w:type="dxa" w:w="1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bl>
          <w:p>
            <w:pPr>
              <w:pStyle w:val="null3"/>
            </w:pPr>
            <w:r>
              <w:rPr>
                <w:sz w:val="20"/>
              </w:rPr>
              <w:t>7、质量控制要求</w:t>
            </w:r>
          </w:p>
          <w:p>
            <w:pPr>
              <w:pStyle w:val="null3"/>
            </w:pPr>
            <w:r>
              <w:rPr>
                <w:sz w:val="20"/>
              </w:rPr>
              <w:t>各监测点位质量控制原则上按照《地表水环境质量监测技术规范》（</w:t>
            </w:r>
            <w:r>
              <w:rPr>
                <w:sz w:val="20"/>
              </w:rPr>
              <w:t>HJ/T 91.2- 2022）及《水和废水监测分析方法（第四版）》的有关规定执行。按照上级有关部门要求上报数据，能顺利通过上级有关部门的相关核查，配合采购人工作需求。</w:t>
            </w:r>
          </w:p>
          <w:p>
            <w:pPr>
              <w:pStyle w:val="null3"/>
            </w:pPr>
            <w:r>
              <w:rPr>
                <w:sz w:val="20"/>
              </w:rPr>
              <w:t>为保证数据质量，采样及样品保存方法符合相关标准要求，现场空白样品固定剂的添加、运输保存、分析与样品同等处理。现场采样随机抽取不少于样品总数</w:t>
            </w:r>
            <w:r>
              <w:rPr>
                <w:sz w:val="20"/>
              </w:rPr>
              <w:t>10%的现场平行双样，对于可测定加标回收率的样品，由分析人员随机抽取10%以上样品进行加标回收率测定。该质量控制内容须在原始记录上体现。</w:t>
            </w:r>
          </w:p>
          <w:p>
            <w:pPr>
              <w:pStyle w:val="null3"/>
            </w:pPr>
            <w:r>
              <w:rPr>
                <w:sz w:val="20"/>
              </w:rPr>
              <w:t>（</w:t>
            </w:r>
            <w:r>
              <w:rPr>
                <w:sz w:val="20"/>
              </w:rPr>
              <w:t>1）校准曲线：原子吸收分光光度法等大型仪器分析方法的校准曲线制作，必须与样品测定的同时进行；其它方法的校准曲线一般要求每个月制作一次，并在每批样品测定之前，对校准曲线进行检验，检验的方法是通过平行测定零点浓度和中点浓度标准溶液各两份，取均值相减后与原校准曲线上的相应点核对，其相对差值根据方法的精密度不得大于5%～10%，否则应重新绘制校准曲线；校准曲线系列的浓度值应较均匀分布，系列点不少于6个（包括零浓度）。截距和斜率应符合标准方法中规定的要求，相关系数(r)一般要求≥0.999。</w:t>
            </w:r>
          </w:p>
          <w:p>
            <w:pPr>
              <w:pStyle w:val="null3"/>
            </w:pPr>
            <w:r>
              <w:rPr>
                <w:sz w:val="20"/>
              </w:rPr>
              <w:t>（</w:t>
            </w:r>
            <w:r>
              <w:rPr>
                <w:sz w:val="20"/>
              </w:rPr>
              <w:t>2）室内空白：在进行室内分析时，应同步进行室内空白实验，在利用原有校准曲线进行样品测定时，每批样品应进行两份空白平行试验，平行双份测定值的相对差值不得大于50%。</w:t>
            </w:r>
          </w:p>
          <w:p>
            <w:pPr>
              <w:pStyle w:val="null3"/>
            </w:pPr>
            <w:r>
              <w:rPr>
                <w:sz w:val="20"/>
              </w:rPr>
              <w:t>（</w:t>
            </w:r>
            <w:r>
              <w:rPr>
                <w:sz w:val="20"/>
              </w:rPr>
              <w:t>3）现场空白：每批样品应抽取总数的10%样品进行现场空白试验。</w:t>
            </w:r>
          </w:p>
          <w:p>
            <w:pPr>
              <w:pStyle w:val="null3"/>
            </w:pPr>
            <w:r>
              <w:rPr>
                <w:sz w:val="20"/>
              </w:rPr>
              <w:t>（</w:t>
            </w:r>
            <w:r>
              <w:rPr>
                <w:sz w:val="20"/>
              </w:rPr>
              <w:t>4）现场平行与室内平行：对于氨氮能做平行双样的分析项目，每批次须采集不少于样品总数10%的现场平行双样，当批次样品量小于10个时至少采集1个现场平行双样，平行双样测定值的相对差值不得大于标准方法的要求。</w:t>
            </w:r>
          </w:p>
          <w:p>
            <w:pPr>
              <w:pStyle w:val="null3"/>
            </w:pPr>
            <w:r>
              <w:rPr>
                <w:sz w:val="20"/>
              </w:rPr>
              <w:t>（</w:t>
            </w:r>
            <w:r>
              <w:rPr>
                <w:sz w:val="20"/>
              </w:rPr>
              <w:t>5）加标回收或标样：在进行监测的同时，对于可以进行加标回收试验的分析项目应进行不少于样品总数10%的加标回收分析，加标量一般为待测组分浓度的0.5～2倍，但加标后的总浓度不应超过方法的测定上限浓度值，测得的绝对误差和回收率应符合方法规定的要求。（注：采购人会不定期对成交供应商进行质控抽查和原始记录抽查。）</w:t>
            </w:r>
          </w:p>
          <w:p>
            <w:pPr>
              <w:pStyle w:val="null3"/>
              <w:jc w:val="both"/>
            </w:pPr>
            <w:r>
              <w:rPr>
                <w:sz w:val="20"/>
              </w:rPr>
              <w:t>（</w:t>
            </w:r>
            <w:r>
              <w:rPr>
                <w:sz w:val="20"/>
              </w:rPr>
              <w:t>6）人员配备</w:t>
            </w:r>
          </w:p>
          <w:p>
            <w:pPr>
              <w:pStyle w:val="null3"/>
            </w:pPr>
            <w:r>
              <w:rPr>
                <w:sz w:val="20"/>
              </w:rPr>
              <w:t>中标人各岗位工作人员</w:t>
            </w:r>
            <w:r>
              <w:rPr>
                <w:sz w:val="20"/>
              </w:rPr>
              <w:t>(至少包含项目总负责人、技术负责人、服务人员)</w:t>
            </w:r>
            <w:r>
              <w:rPr>
                <w:sz w:val="20"/>
              </w:rPr>
              <w:t>均经过严格的专业培训，持证上岗，具备扎实的环境监测、分析化学基础理论和专业知识；正确熟练掌握地表水监测操作技术和质量控制程序；熟知有关环境监测管理的法规、标准和规定；了解国内外地下水监测新技术，新方法。熟悉顺德区内河涌基本情况。具有极高的工作效率，能够在短时间内高质量的完成检测任务。</w:t>
            </w:r>
            <w:r>
              <w:rPr>
                <w:sz w:val="20"/>
              </w:rPr>
              <w:t>中标人必须保证监测工作过程中</w:t>
            </w:r>
            <w:r>
              <w:rPr>
                <w:sz w:val="20"/>
              </w:rPr>
              <w:t>相关</w:t>
            </w:r>
            <w:r>
              <w:rPr>
                <w:sz w:val="20"/>
              </w:rPr>
              <w:t>工作人员</w:t>
            </w:r>
            <w:r>
              <w:rPr>
                <w:sz w:val="20"/>
              </w:rPr>
              <w:t>的稳定性，能全程跟进和落实环境监测专项工作。如无特殊原因原则上不能中途变更人员，确需变更人员的需经采购人书面同意。人员离开后，需在</w:t>
            </w:r>
            <w:r>
              <w:rPr>
                <w:sz w:val="20"/>
              </w:rPr>
              <w:t>7天内作出补充，代替人员资历和经验均不低于被更换人员。</w:t>
            </w:r>
          </w:p>
          <w:p>
            <w:pPr>
              <w:pStyle w:val="null3"/>
              <w:jc w:val="both"/>
            </w:pPr>
            <w:r>
              <w:rPr>
                <w:sz w:val="20"/>
              </w:rPr>
              <w:t>①</w:t>
            </w:r>
            <w:r>
              <w:rPr>
                <w:sz w:val="20"/>
              </w:rPr>
              <w:t>采样队伍：中标人应配有专业采样车（带冷藏设施），可以在运输途中很好的保存样品。对需要进行温度控制的样品，能够在冷冻或冷藏条件下保存和运输，保证样品在运输途中不变质、挥发、分解和发生变化。配合采样的人员能够很好的配合执行制定好的水质采样方案，做好完整的水样采样记录。中标人提供采样时用到的样品瓶、保温箱和固定试剂。</w:t>
            </w:r>
          </w:p>
          <w:p>
            <w:pPr>
              <w:pStyle w:val="null3"/>
              <w:jc w:val="both"/>
            </w:pPr>
            <w:r>
              <w:rPr>
                <w:sz w:val="20"/>
              </w:rPr>
              <w:t>②</w:t>
            </w:r>
            <w:r>
              <w:rPr>
                <w:sz w:val="20"/>
              </w:rPr>
              <w:t>接样人员：样品接收人员能够依据相应的管理程序和作业指导书，认真核对样品，并对样品进行登记和加贴唯一性标识，保证不同检测状态和传递过程中样品不被混淆。</w:t>
            </w:r>
          </w:p>
          <w:p>
            <w:pPr>
              <w:pStyle w:val="null3"/>
              <w:jc w:val="both"/>
            </w:pPr>
            <w:r>
              <w:rPr>
                <w:sz w:val="20"/>
              </w:rPr>
              <w:t>③</w:t>
            </w:r>
            <w:r>
              <w:rPr>
                <w:sz w:val="20"/>
              </w:rPr>
              <w:t>样品管理人员：样品管理人员具有丰富的样品保管知识与经验，可以对样品进行分类保存。拥有专业的样品保存室，包括常温样品保存室、</w:t>
            </w:r>
            <w:r>
              <w:rPr>
                <w:sz w:val="20"/>
              </w:rPr>
              <w:t>0-4℃样品保存室，可以很好的保存不同种类的样品。</w:t>
            </w:r>
          </w:p>
          <w:p>
            <w:pPr>
              <w:pStyle w:val="null3"/>
              <w:jc w:val="both"/>
            </w:pPr>
            <w:r>
              <w:rPr>
                <w:sz w:val="20"/>
              </w:rPr>
              <w:t>④</w:t>
            </w:r>
            <w:r>
              <w:rPr>
                <w:sz w:val="20"/>
              </w:rPr>
              <w:t>实验员：检验人员均经过严格的培训、考试合格后上岗。检验人员在检测过程中能够严格按照质量手册和程序文件中相关规定进行实验过程中的质量控制，样品优先交由参加过能力验证、实验室间比对活动实验员分析。</w:t>
            </w:r>
          </w:p>
          <w:p>
            <w:pPr>
              <w:pStyle w:val="null3"/>
              <w:jc w:val="both"/>
            </w:pPr>
            <w:r>
              <w:rPr>
                <w:sz w:val="20"/>
              </w:rPr>
              <w:t>⑤</w:t>
            </w:r>
            <w:r>
              <w:rPr>
                <w:sz w:val="20"/>
              </w:rPr>
              <w:t>报告编制人员：报告编制人员有三年以上环境检测报告编辑经验，熟知有关环境</w:t>
            </w:r>
            <w:r>
              <w:rPr>
                <w:sz w:val="20"/>
              </w:rPr>
              <w:t>监测</w:t>
            </w:r>
            <w:r>
              <w:rPr>
                <w:sz w:val="20"/>
              </w:rPr>
              <w:t>的标准和规定，能够准确的对各项检测指标进行判定。</w:t>
            </w:r>
          </w:p>
          <w:p>
            <w:pPr>
              <w:pStyle w:val="null3"/>
              <w:jc w:val="both"/>
            </w:pPr>
            <w:r>
              <w:rPr>
                <w:sz w:val="20"/>
              </w:rPr>
              <w:t>⑥</w:t>
            </w:r>
            <w:r>
              <w:rPr>
                <w:sz w:val="20"/>
              </w:rPr>
              <w:t>报告签字人：报告审核和签发人员须持有监测人员上岗证，通过报告审核和签发的相关培训和考核，并具备中级技术职称，了解实验室管理体制和质量控制要求。</w:t>
            </w:r>
          </w:p>
          <w:p>
            <w:pPr>
              <w:pStyle w:val="null3"/>
              <w:jc w:val="both"/>
            </w:pPr>
            <w:r>
              <w:rPr>
                <w:sz w:val="20"/>
              </w:rPr>
              <w:t>（</w:t>
            </w:r>
            <w:r>
              <w:rPr>
                <w:sz w:val="20"/>
              </w:rPr>
              <w:t>7）检验报告</w:t>
            </w:r>
          </w:p>
          <w:p>
            <w:pPr>
              <w:pStyle w:val="null3"/>
              <w:jc w:val="both"/>
            </w:pPr>
            <w:r>
              <w:rPr>
                <w:sz w:val="20"/>
              </w:rPr>
              <w:t>检验报告执行三级审核制度。第一级主要校对原始记录的完整性和规范性，仪器设备、分析方法的适用性和有效性，测试数据和计算结果的准确性。第二级主要校核检验报告和原始记录的一致性，报告内容的完整性、数据的准确性。第三级审核检验报告是否经过了校核，报告内容的完整性、符合性，检验结果的合理性。</w:t>
            </w:r>
          </w:p>
          <w:p>
            <w:pPr>
              <w:pStyle w:val="null3"/>
              <w:jc w:val="both"/>
            </w:pPr>
            <w:r>
              <w:rPr>
                <w:sz w:val="20"/>
              </w:rPr>
              <w:t>检验报告中检验项目浓度含量以</w:t>
            </w:r>
            <w:r>
              <w:rPr>
                <w:sz w:val="20"/>
              </w:rPr>
              <w:t>mg/L表示，浓度较低时，则以μg/L表示；平行双样测定结果在允许偏差范围之内时，则用其平均值表示测定结果；低于方法检出限时，报告中以小于方法检出限的形式表示；检验报告中注明质量监控结果。</w:t>
            </w:r>
          </w:p>
          <w:p>
            <w:pPr>
              <w:pStyle w:val="null3"/>
              <w:jc w:val="both"/>
            </w:pPr>
            <w:r>
              <w:rPr>
                <w:sz w:val="20"/>
              </w:rPr>
              <w:t>（</w:t>
            </w:r>
            <w:r>
              <w:rPr>
                <w:sz w:val="20"/>
              </w:rPr>
              <w:t>8）中标人建立月报制度，定期向采购人汇报，并接受采购人的工作指导要求。</w:t>
            </w:r>
          </w:p>
          <w:p>
            <w:pPr>
              <w:pStyle w:val="null3"/>
            </w:pPr>
            <w:r>
              <w:rPr>
                <w:sz w:val="20"/>
              </w:rPr>
              <w:t>（</w:t>
            </w:r>
            <w:r>
              <w:rPr>
                <w:sz w:val="20"/>
              </w:rPr>
              <w:t>9）中标人具有针对服务中断的特别应急机制及方案，经采购人确认后，双方保存备案。</w:t>
            </w:r>
          </w:p>
          <w:p>
            <w:pPr>
              <w:pStyle w:val="null3"/>
              <w:jc w:val="both"/>
            </w:pPr>
            <w:r>
              <w:rPr>
                <w:sz w:val="20"/>
              </w:rPr>
              <w:t>（</w:t>
            </w:r>
            <w:r>
              <w:rPr>
                <w:sz w:val="20"/>
              </w:rPr>
              <w:t>10）</w:t>
            </w:r>
            <w:r>
              <w:rPr>
                <w:sz w:val="20"/>
              </w:rPr>
              <w:t>中标人在采购人的指导下开展工作，并无条件接受采购人的监督和检查，严格对内河涌监测相关数据进行保密，不得做其它用途。</w:t>
            </w:r>
          </w:p>
        </w:tc>
      </w:tr>
      <w:tr>
        <w:tc>
          <w:tcPr>
            <w:tcW w:type="dxa" w:w="2076"/>
          </w:tcPr>
          <w:p/>
        </w:tc>
        <w:tc>
          <w:tcPr>
            <w:tcW w:type="dxa" w:w="415"/>
          </w:tcPr>
          <w:p>
            <w:pPr>
              <w:pStyle w:val="null3"/>
            </w:pPr>
            <w:r>
              <w:rPr/>
              <w:t>2</w:t>
            </w:r>
          </w:p>
        </w:tc>
        <w:tc>
          <w:tcPr>
            <w:tcW w:type="dxa" w:w="5814"/>
          </w:tcPr>
          <w:p>
            <w:pPr>
              <w:pStyle w:val="null3"/>
              <w:jc w:val="both"/>
            </w:pPr>
            <w:r>
              <w:rPr>
                <w:b/>
              </w:rPr>
              <w:t>服务单位要求</w:t>
            </w:r>
          </w:p>
          <w:p>
            <w:pPr>
              <w:pStyle w:val="null3"/>
              <w:jc w:val="both"/>
            </w:pPr>
            <w:r>
              <w:rPr/>
              <w:t>1</w:t>
            </w:r>
            <w:r>
              <w:rPr/>
              <w:t>、具有良好的商业信誉和履行合同所具备的技术能力；能够提供可靠的质量保证和完善的运行管理服务。</w:t>
            </w:r>
          </w:p>
          <w:p>
            <w:pPr>
              <w:pStyle w:val="null3"/>
              <w:jc w:val="both"/>
            </w:pPr>
            <w:r>
              <w:rPr/>
              <w:t>2</w:t>
            </w:r>
            <w:r>
              <w:rPr/>
              <w:t>、具有较强的项目管理和组织实施能力，具备环境监测及分析等</w:t>
            </w:r>
            <w:r>
              <w:rPr/>
              <w:t>环境保护</w:t>
            </w:r>
            <w:r>
              <w:rPr/>
              <w:t>相关工作的服务能力，能够独立承担本项目实施。</w:t>
            </w:r>
          </w:p>
          <w:p>
            <w:pPr>
              <w:pStyle w:val="null3"/>
              <w:jc w:val="both"/>
            </w:pPr>
            <w:r>
              <w:rPr/>
              <w:t>3</w:t>
            </w:r>
            <w:r>
              <w:rPr/>
              <w:t>、建立了现代企业管理制度，具备完善和有效的监督、考核、奖惩机制，建立层级管理制度，管理人员不少于</w:t>
            </w:r>
            <w:r>
              <w:rPr/>
              <w:t>5%</w:t>
            </w:r>
            <w:r>
              <w:rPr/>
              <w:t>，确保工作组的各项工作均在公司掌控之下。</w:t>
            </w:r>
          </w:p>
          <w:p>
            <w:pPr>
              <w:pStyle w:val="null3"/>
              <w:jc w:val="both"/>
            </w:pPr>
            <w:r>
              <w:rPr/>
              <w:t>4</w:t>
            </w:r>
            <w:r>
              <w:rPr/>
              <w:t>、中标人在采购人的指导下开展工作，并无条件接受采购人的监督和检查。</w:t>
            </w:r>
          </w:p>
          <w:p>
            <w:pPr>
              <w:pStyle w:val="null3"/>
              <w:jc w:val="both"/>
            </w:pPr>
            <w:r>
              <w:rPr/>
              <w:t>5</w:t>
            </w:r>
            <w:r>
              <w:rPr/>
              <w:t>、保证取样分析工作人员熟悉顺德区内河涌基本情况。</w:t>
            </w:r>
          </w:p>
          <w:p>
            <w:pPr>
              <w:pStyle w:val="null3"/>
              <w:jc w:val="both"/>
            </w:pPr>
            <w:r>
              <w:rPr/>
              <w:t>6</w:t>
            </w:r>
            <w:r>
              <w:rPr/>
              <w:t>、具备良好的业务处理能力，确保监测</w:t>
            </w:r>
            <w:r>
              <w:rPr/>
              <w:t>数据</w:t>
            </w:r>
            <w:r>
              <w:rPr/>
              <w:t>必须符合国家、省相关规定。</w:t>
            </w:r>
          </w:p>
          <w:p>
            <w:pPr>
              <w:pStyle w:val="null3"/>
              <w:jc w:val="both"/>
            </w:pPr>
            <w:r>
              <w:rPr/>
              <w:t>7</w:t>
            </w:r>
            <w:r>
              <w:rPr/>
              <w:t>、具有针对服务中断的特别应急机制、方案，该方案在投标人中标后，经采购人确认后，双方保存备案。</w:t>
            </w:r>
          </w:p>
          <w:p>
            <w:pPr>
              <w:pStyle w:val="null3"/>
              <w:jc w:val="both"/>
            </w:pPr>
            <w:r>
              <w:rPr/>
              <w:t>8</w:t>
            </w:r>
            <w:r>
              <w:rPr/>
              <w:t>、确保环境监测专项工作有效开展，不得擅自变更相关管理人员的配置；如果相关管理人员表现不称职，采购人有权要求中标人更换。</w:t>
            </w:r>
          </w:p>
          <w:p>
            <w:pPr>
              <w:pStyle w:val="null3"/>
              <w:jc w:val="both"/>
            </w:pPr>
            <w:r>
              <w:rPr/>
              <w:t>9</w:t>
            </w:r>
            <w:r>
              <w:rPr/>
              <w:t>、为采购人组建一支完整的、专职的监测工作人员队伍，并必须在合同签订后</w:t>
            </w:r>
            <w:r>
              <w:rPr/>
              <w:t>5</w:t>
            </w:r>
            <w:r>
              <w:rPr/>
              <w:t>日内完成环境监测专项工作人员的组建。</w:t>
            </w:r>
          </w:p>
          <w:p>
            <w:pPr>
              <w:pStyle w:val="null3"/>
              <w:jc w:val="both"/>
            </w:pPr>
            <w:r>
              <w:rPr/>
              <w:t>10</w:t>
            </w:r>
            <w:r>
              <w:rPr/>
              <w:t>、</w:t>
            </w:r>
            <w:r>
              <w:rPr/>
              <w:t>确保按时间节点完成每月采样、月度检测报告、季度分析报告及年度分析报告。</w:t>
            </w:r>
          </w:p>
          <w:p>
            <w:pPr>
              <w:pStyle w:val="null3"/>
              <w:jc w:val="both"/>
            </w:pPr>
            <w:r>
              <w:rPr/>
              <w:t>11</w:t>
            </w:r>
            <w:r>
              <w:rPr/>
              <w:t>、定期向采购人汇报，并接受采购人的工作指导要求。</w:t>
            </w:r>
          </w:p>
          <w:p>
            <w:pPr>
              <w:pStyle w:val="null3"/>
              <w:jc w:val="both"/>
            </w:pPr>
            <w:r>
              <w:rPr/>
              <w:t>12</w:t>
            </w:r>
            <w:r>
              <w:rPr/>
              <w:t>、保证工作过程中包括工作人员的稳定性，能全程跟进和落实工作推进。</w:t>
            </w:r>
          </w:p>
          <w:p>
            <w:pPr>
              <w:pStyle w:val="null3"/>
              <w:jc w:val="both"/>
            </w:pPr>
            <w:r>
              <w:rPr/>
              <w:t>13</w:t>
            </w:r>
            <w:r>
              <w:rPr/>
              <w:t>、本项目所涉及的环境监测相关工作均要求由中标人自行完成。</w:t>
            </w:r>
          </w:p>
          <w:p>
            <w:pPr>
              <w:pStyle w:val="null3"/>
              <w:jc w:val="both"/>
            </w:pPr>
            <w:r>
              <w:rPr/>
              <w:t>14</w:t>
            </w:r>
            <w:r>
              <w:rPr/>
              <w:t>、中标人应按照国家、省对环境监测工作有关要求开展工作，从完整性、规范性、逻辑性、合理性等方面对报表实行质量控制，并实行三级审核，即监测人员审核、相关部门内部审核、上级环保部门抽查核查。</w:t>
            </w:r>
          </w:p>
          <w:p>
            <w:pPr>
              <w:pStyle w:val="null3"/>
              <w:jc w:val="both"/>
            </w:pPr>
            <w:r>
              <w:rPr>
                <w:sz w:val="21"/>
              </w:rPr>
              <w:t>15</w:t>
            </w:r>
            <w:r>
              <w:rPr>
                <w:sz w:val="21"/>
              </w:rPr>
              <w:t>、中标人在采购人的指导下开展工作，并无条件接受采购人的监督和检查，并严格对内河涌监测相关数据进行保密，不得做其它用途。</w:t>
            </w:r>
          </w:p>
        </w:tc>
      </w:tr>
      <w:tr>
        <w:tc>
          <w:tcPr>
            <w:tcW w:type="dxa" w:w="2076"/>
          </w:tcPr>
          <w:p/>
        </w:tc>
        <w:tc>
          <w:tcPr>
            <w:tcW w:type="dxa" w:w="415"/>
          </w:tcPr>
          <w:p>
            <w:pPr>
              <w:pStyle w:val="null3"/>
            </w:pPr>
            <w:r>
              <w:rPr/>
              <w:t>3</w:t>
            </w:r>
          </w:p>
        </w:tc>
        <w:tc>
          <w:tcPr>
            <w:tcW w:type="dxa" w:w="5814"/>
          </w:tcPr>
          <w:p>
            <w:pPr>
              <w:pStyle w:val="null3"/>
              <w:jc w:val="both"/>
            </w:pPr>
            <w:r>
              <w:rPr>
                <w:b/>
              </w:rPr>
              <w:t>服务质量监管和考核方法</w:t>
            </w:r>
          </w:p>
          <w:p>
            <w:pPr>
              <w:pStyle w:val="null3"/>
              <w:jc w:val="both"/>
            </w:pPr>
            <w:r>
              <w:rPr/>
              <w:t>1</w:t>
            </w:r>
            <w:r>
              <w:rPr/>
              <w:t>、基本要求</w:t>
            </w:r>
          </w:p>
          <w:p>
            <w:pPr>
              <w:pStyle w:val="null3"/>
              <w:jc w:val="both"/>
            </w:pPr>
            <w:r>
              <w:rPr/>
              <w:t xml:space="preserve">    </w:t>
            </w:r>
            <w:r>
              <w:rPr/>
              <w:t>为保证内河涌监测工作能按时、按质完成，中标人严格按照招标文件要求接受采购人的全面监督，基本要求如下：</w:t>
            </w:r>
          </w:p>
          <w:p>
            <w:pPr>
              <w:pStyle w:val="null3"/>
              <w:jc w:val="both"/>
            </w:pPr>
            <w:r>
              <w:rPr/>
              <w:t>（</w:t>
            </w:r>
            <w:r>
              <w:rPr/>
              <w:t>1</w:t>
            </w:r>
            <w:r>
              <w:rPr/>
              <w:t>）中标人建立月报制度，定期向采购人汇报，并接受采购人的工作指导要求。</w:t>
            </w:r>
          </w:p>
          <w:p>
            <w:pPr>
              <w:pStyle w:val="null3"/>
              <w:jc w:val="both"/>
            </w:pPr>
            <w:r>
              <w:rPr/>
              <w:t>（</w:t>
            </w:r>
            <w:r>
              <w:rPr/>
              <w:t>2</w:t>
            </w:r>
            <w:r>
              <w:rPr/>
              <w:t>）中标人确保按时、按质完成内河涌水质的监测分析以及数据上报、分析报告编制等。</w:t>
            </w:r>
          </w:p>
          <w:p>
            <w:pPr>
              <w:pStyle w:val="null3"/>
              <w:jc w:val="both"/>
            </w:pPr>
            <w:r>
              <w:rPr/>
              <w:t>（</w:t>
            </w:r>
            <w:r>
              <w:rPr/>
              <w:t>3</w:t>
            </w:r>
            <w:r>
              <w:rPr/>
              <w:t xml:space="preserve">）中标人保证内河涌监测工作过程中包括所有工作人员的稳定性，能全程跟进和落实内河涌监测工作。如无特殊原因原则上不能中途变更人员，确需变更人员的需经采购人书面同意。人员离开后，中标人需在 </w:t>
            </w:r>
            <w:r>
              <w:rPr/>
              <w:t xml:space="preserve">7 </w:t>
            </w:r>
            <w:r>
              <w:rPr/>
              <w:t>天内作出补充</w:t>
            </w:r>
            <w:r>
              <w:rPr>
                <w:sz w:val="20"/>
              </w:rPr>
              <w:t>，代替人员资历和经验均不低于被更换人员</w:t>
            </w:r>
            <w:r>
              <w:rPr/>
              <w:t>。</w:t>
            </w:r>
          </w:p>
          <w:p>
            <w:pPr>
              <w:pStyle w:val="null3"/>
              <w:jc w:val="both"/>
            </w:pPr>
            <w:r>
              <w:rPr/>
              <w:t>（</w:t>
            </w:r>
            <w:r>
              <w:rPr/>
              <w:t>4</w:t>
            </w:r>
            <w:r>
              <w:rPr/>
              <w:t>）投标人应提供一份承诺书，承诺遵守本服务监管要求。</w:t>
            </w:r>
          </w:p>
          <w:p>
            <w:pPr>
              <w:pStyle w:val="null3"/>
              <w:jc w:val="both"/>
            </w:pPr>
            <w:r>
              <w:rPr/>
              <w:t>2</w:t>
            </w:r>
            <w:r>
              <w:rPr/>
              <w:t>、监督管理</w:t>
            </w:r>
          </w:p>
          <w:p>
            <w:pPr>
              <w:pStyle w:val="null3"/>
              <w:jc w:val="both"/>
            </w:pPr>
            <w:r>
              <w:rPr/>
              <w:t>采购人不定时组织相关人员进行检查。监督评估工作包含但不限于以下内容：</w:t>
            </w:r>
          </w:p>
          <w:p>
            <w:pPr>
              <w:pStyle w:val="null3"/>
              <w:jc w:val="both"/>
            </w:pPr>
            <w:r>
              <w:rPr/>
              <w:t>（</w:t>
            </w:r>
            <w:r>
              <w:rPr/>
              <w:t>1</w:t>
            </w:r>
            <w:r>
              <w:rPr/>
              <w:t>）作业规范性：是否遵守各项作业规范；</w:t>
            </w:r>
          </w:p>
          <w:p>
            <w:pPr>
              <w:pStyle w:val="null3"/>
              <w:jc w:val="both"/>
            </w:pPr>
            <w:r>
              <w:rPr/>
              <w:t>（</w:t>
            </w:r>
            <w:r>
              <w:rPr/>
              <w:t>2</w:t>
            </w:r>
            <w:r>
              <w:rPr/>
              <w:t>）检查任务完成质量：是否及时、准确、清晰、是否高质量、是否文档齐全；</w:t>
            </w:r>
          </w:p>
          <w:p>
            <w:pPr>
              <w:pStyle w:val="null3"/>
              <w:jc w:val="both"/>
            </w:pPr>
            <w:r>
              <w:rPr/>
              <w:t>（</w:t>
            </w:r>
            <w:r>
              <w:rPr/>
              <w:t>3</w:t>
            </w:r>
            <w:r>
              <w:rPr/>
              <w:t>）人员配备：是否按本项目要求配备内河涌监测工作专项工作人员；</w:t>
            </w:r>
          </w:p>
          <w:p>
            <w:pPr>
              <w:pStyle w:val="null3"/>
              <w:jc w:val="both"/>
            </w:pPr>
            <w:r>
              <w:rPr/>
              <w:t>（</w:t>
            </w:r>
            <w:r>
              <w:rPr/>
              <w:t>4</w:t>
            </w:r>
            <w:r>
              <w:rPr/>
              <w:t>）工作配合：是否遵守采购人各项管理规定、是否接受和服从采购人管理人员的管理；</w:t>
            </w:r>
          </w:p>
          <w:p>
            <w:pPr>
              <w:pStyle w:val="null3"/>
              <w:jc w:val="both"/>
            </w:pPr>
            <w:r>
              <w:rPr>
                <w:sz w:val="21"/>
              </w:rPr>
              <w:t>（</w:t>
            </w:r>
            <w:r>
              <w:rPr>
                <w:sz w:val="21"/>
              </w:rPr>
              <w:t>5</w:t>
            </w:r>
            <w:r>
              <w:rPr>
                <w:sz w:val="21"/>
              </w:rPr>
              <w:t>）其它监督评估内容。</w:t>
            </w:r>
          </w:p>
        </w:tc>
      </w:tr>
      <w:tr>
        <w:tc>
          <w:tcPr>
            <w:tcW w:type="dxa" w:w="2076"/>
          </w:tcPr>
          <w:p/>
        </w:tc>
        <w:tc>
          <w:tcPr>
            <w:tcW w:type="dxa" w:w="415"/>
          </w:tcPr>
          <w:p>
            <w:pPr>
              <w:pStyle w:val="null3"/>
            </w:pPr>
            <w:r>
              <w:rPr/>
              <w:t>4</w:t>
            </w:r>
          </w:p>
        </w:tc>
        <w:tc>
          <w:tcPr>
            <w:tcW w:type="dxa" w:w="5814"/>
          </w:tcPr>
          <w:p>
            <w:pPr>
              <w:pStyle w:val="null3"/>
              <w:jc w:val="both"/>
            </w:pPr>
            <w:r>
              <w:rPr>
                <w:b/>
              </w:rPr>
              <w:t>其他要求</w:t>
            </w:r>
          </w:p>
          <w:p>
            <w:pPr>
              <w:pStyle w:val="null3"/>
              <w:jc w:val="both"/>
            </w:pPr>
            <w:r>
              <w:rPr/>
              <w:t>1</w:t>
            </w:r>
            <w:r>
              <w:rPr/>
              <w:t>、本项目</w:t>
            </w:r>
            <w:r>
              <w:rPr/>
              <w:t>657</w:t>
            </w:r>
            <w:r>
              <w:rPr/>
              <w:t>个水质监测点位数为暂定</w:t>
            </w:r>
            <w:r>
              <w:rPr/>
              <w:t>量，采购人可能根据上级要求或其他工作需要原因随时调整监测点位</w:t>
            </w:r>
            <w:r>
              <w:rPr/>
              <w:t>位置</w:t>
            </w:r>
            <w:r>
              <w:rPr/>
              <w:t>，具体以采购人实际通知为准。在合同履行期间，若监测点位数量需增加（减）而引起合同款调整的项目，中标人须作好现场记录，留下相应影像或实物资料，并得到采购人书面确认，采购人将根据中标人单项的合同价作为结算依据，</w:t>
            </w:r>
            <w:r>
              <w:rPr/>
              <w:t>按实际完成</w:t>
            </w:r>
            <w:r>
              <w:rPr/>
              <w:t>的监测点位数</w:t>
            </w:r>
            <w:r>
              <w:rPr/>
              <w:t>计算结算价</w:t>
            </w:r>
            <w:r>
              <w:rPr/>
              <w:t>。增</w:t>
            </w:r>
            <w:r>
              <w:rPr/>
              <w:t>减</w:t>
            </w:r>
            <w:r>
              <w:rPr/>
              <w:t>金额不作为项目进度款支付，结算时统一支付</w:t>
            </w:r>
            <w:r>
              <w:rPr/>
              <w:t>(</w:t>
            </w:r>
            <w:r>
              <w:rPr/>
              <w:t>增减</w:t>
            </w:r>
            <w:r>
              <w:rPr/>
              <w:t>)</w:t>
            </w:r>
            <w:r>
              <w:rPr/>
              <w:t>。</w:t>
            </w:r>
          </w:p>
          <w:p>
            <w:pPr>
              <w:pStyle w:val="null3"/>
              <w:jc w:val="both"/>
            </w:pPr>
            <w:r>
              <w:rPr/>
              <w:t>2</w:t>
            </w:r>
            <w:r>
              <w:rPr/>
              <w:t>、每月凡出现数据报送不及时（超过限定时限报送），每次扣除</w:t>
            </w:r>
            <w:r>
              <w:rPr/>
              <w:t>5000</w:t>
            </w:r>
            <w:r>
              <w:rPr/>
              <w:t>元整，金额次数累计；数据出错误的，每个错误扣除</w:t>
            </w:r>
            <w:r>
              <w:rPr/>
              <w:t>500</w:t>
            </w:r>
            <w:r>
              <w:rPr/>
              <w:t>元整，金额按错误个数累计。扣除金额上限为当期服务费金额。</w:t>
            </w:r>
          </w:p>
          <w:p>
            <w:pPr>
              <w:pStyle w:val="null3"/>
              <w:jc w:val="both"/>
            </w:pPr>
            <w:r>
              <w:rPr/>
              <w:t>3</w:t>
            </w:r>
            <w:r>
              <w:rPr/>
              <w:t>、对于检测过程中在用的所有计量仪器设备，必须由国家计量部门或其授权单位按有关要求检定合同并在有效期内。</w:t>
            </w:r>
          </w:p>
          <w:p>
            <w:pPr>
              <w:pStyle w:val="null3"/>
              <w:jc w:val="both"/>
            </w:pPr>
            <w:r>
              <w:rPr/>
              <w:t>4</w:t>
            </w:r>
            <w:r>
              <w:rPr/>
              <w:t>、具备水样运输保存的必要条件：冷藏（</w:t>
            </w:r>
            <w:r>
              <w:rPr/>
              <w:t>2</w:t>
            </w:r>
            <w:r>
              <w:rPr/>
              <w:t>～</w:t>
            </w:r>
            <w:r>
              <w:rPr/>
              <w:t>5</w:t>
            </w:r>
            <w:r>
              <w:rPr/>
              <w:t>℃）、控制</w:t>
            </w:r>
            <w:r>
              <w:rPr/>
              <w:t xml:space="preserve">pH </w:t>
            </w:r>
            <w:r>
              <w:rPr/>
              <w:t>和加化学保存剂（生物抑制剂、氧化剂或还原剂）等。</w:t>
            </w:r>
          </w:p>
          <w:p>
            <w:pPr>
              <w:pStyle w:val="null3"/>
              <w:jc w:val="both"/>
            </w:pPr>
            <w:r>
              <w:rPr>
                <w:sz w:val="21"/>
              </w:rPr>
              <w:t>5</w:t>
            </w:r>
            <w:r>
              <w:rPr>
                <w:sz w:val="21"/>
              </w:rPr>
              <w:t>、在检测期间，中标人必须遵守国家的有关</w:t>
            </w:r>
            <w:r>
              <w:rPr>
                <w:sz w:val="21"/>
              </w:rPr>
              <w:t>法律法规</w:t>
            </w:r>
            <w:r>
              <w:rPr>
                <w:sz w:val="21"/>
              </w:rPr>
              <w:t>及其他规定，本着为采购人负责的精神，依照规范，科学管理，确保河涌水质检测运行达到国家及行业颁布的技术标准和采购人要求的考核指标要求，真正发挥河涌水质检测效能和作用。</w:t>
            </w:r>
          </w:p>
        </w:tc>
      </w:tr>
      <w:tr>
        <w:tc>
          <w:tcPr>
            <w:tcW w:type="dxa" w:w="2076"/>
          </w:tcPr>
          <w:p/>
        </w:tc>
        <w:tc>
          <w:tcPr>
            <w:tcW w:type="dxa" w:w="415"/>
          </w:tcPr>
          <w:p>
            <w:pPr>
              <w:pStyle w:val="null3"/>
            </w:pPr>
            <w:r>
              <w:rPr/>
              <w:t>5</w:t>
            </w:r>
          </w:p>
        </w:tc>
        <w:tc>
          <w:tcPr>
            <w:tcW w:type="dxa" w:w="5814"/>
          </w:tcPr>
          <w:p>
            <w:pPr>
              <w:pStyle w:val="null3"/>
              <w:jc w:val="both"/>
            </w:pPr>
            <w:r>
              <w:rPr/>
              <w:t>附表</w:t>
            </w:r>
            <w:r>
              <w:rPr/>
              <w:t>1</w:t>
            </w:r>
            <w:r>
              <w:rPr/>
              <w:t>：《报价清单明细表》</w:t>
            </w:r>
          </w:p>
          <w:tbl>
            <w:tblPr>
              <w:tblBorders>
                <w:top w:val="none" w:color="000000" w:sz="4"/>
                <w:left w:val="none" w:color="000000" w:sz="4"/>
                <w:bottom w:val="none" w:color="000000" w:sz="4"/>
                <w:right w:val="none" w:color="000000" w:sz="4"/>
                <w:insideH w:val="none"/>
                <w:insideV w:val="none"/>
              </w:tblBorders>
            </w:tblPr>
            <w:tblGrid>
              <w:gridCol w:w="700"/>
              <w:gridCol w:w="700"/>
              <w:gridCol w:w="700"/>
              <w:gridCol w:w="700"/>
              <w:gridCol w:w="700"/>
              <w:gridCol w:w="700"/>
              <w:gridCol w:w="700"/>
              <w:gridCol w:w="700"/>
            </w:tblGrid>
            <w:tr>
              <w:tc>
                <w:tcPr>
                  <w:tcW w:type="dxa" w:w="700"/>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color w:val="000000"/>
                    </w:rPr>
                    <w:t>序号</w:t>
                  </w:r>
                </w:p>
              </w:tc>
              <w:tc>
                <w:tcPr>
                  <w:tcW w:type="dxa" w:w="700"/>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color w:val="000000"/>
                    </w:rPr>
                    <w:t>服务项目</w:t>
                  </w:r>
                </w:p>
              </w:tc>
              <w:tc>
                <w:tcPr>
                  <w:tcW w:type="dxa" w:w="700"/>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color w:val="000000"/>
                    </w:rPr>
                    <w:t>服务内容</w:t>
                  </w:r>
                </w:p>
              </w:tc>
              <w:tc>
                <w:tcPr>
                  <w:tcW w:type="dxa" w:w="700"/>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color w:val="000000"/>
                    </w:rPr>
                    <w:t>数量（监测点数）</w:t>
                  </w:r>
                </w:p>
              </w:tc>
              <w:tc>
                <w:tcPr>
                  <w:tcW w:type="dxa" w:w="700"/>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color w:val="000000"/>
                    </w:rPr>
                    <w:t>频次</w:t>
                  </w:r>
                </w:p>
              </w:tc>
              <w:tc>
                <w:tcPr>
                  <w:tcW w:type="dxa" w:w="700"/>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color w:val="000000"/>
                    </w:rPr>
                    <w:t>单价</w:t>
                  </w:r>
                </w:p>
              </w:tc>
              <w:tc>
                <w:tcPr>
                  <w:tcW w:type="dxa" w:w="700"/>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color w:val="000000"/>
                    </w:rPr>
                    <w:t>小计</w:t>
                  </w:r>
                </w:p>
              </w:tc>
              <w:tc>
                <w:tcPr>
                  <w:tcW w:type="dxa" w:w="700"/>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0"/>
                      <w:b/>
                      <w:color w:val="000000"/>
                    </w:rPr>
                    <w:t>备注</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67条城乡黑臭水体，每个季度全覆盖监测</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开展上、中、下游断面水质监测，监测项目：溶解氧、氨氮、透明度共</w:t>
                  </w:r>
                  <w:r>
                    <w:rPr>
                      <w:sz w:val="20"/>
                      <w:color w:val="000000"/>
                    </w:rPr>
                    <w:t>3个项目，并按月报送检测报告。</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r>
                    <w:rPr>
                      <w:sz w:val="20"/>
                      <w:color w:val="000000"/>
                    </w:rPr>
                    <w:t>52</w:t>
                  </w:r>
                  <w:r>
                    <w:rPr>
                      <w:sz w:val="20"/>
                      <w:color w:val="000000"/>
                    </w:rPr>
                    <w:t>条农村黑臭水体，每个季度全覆盖监测</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开展上、中、下游断面水质监测，监测项目：溶解氧、氨氮、透明度共</w:t>
                  </w:r>
                  <w:r>
                    <w:rPr>
                      <w:sz w:val="20"/>
                      <w:color w:val="000000"/>
                    </w:rPr>
                    <w:t>3个项目，并按月报送检测报告。</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456</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季度数据分析报告</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分析报告应包括但不限于：河涌水质类别判定、达标率统计、结合我区河涌整治情况对比历年河涌监测数据等进行环比、同比等数据分析，得出水质变化原因并提出水质改善工作建议。</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2026、2027年度数据分析报告</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分析报告应包括但不限于：河涌水质类别判定、达标率统计、结合我区河涌整治情况对比历年河涌监测数据等进行环比、同比等数据分析，得出水质变化原因并提出水质改善工作建议。</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0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合计</w:t>
                  </w: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60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报价汇总：人民币</w:t>
                  </w:r>
                  <w:r>
                    <w:rPr>
                      <w:sz w:val="21"/>
                      <w:b/>
                      <w:u w:val="single"/>
                    </w:rPr>
                    <w:t xml:space="preserve">           </w:t>
                  </w:r>
                  <w:r>
                    <w:rPr>
                      <w:sz w:val="20"/>
                      <w:b/>
                      <w:color w:val="000000"/>
                    </w:rPr>
                    <w:t>元。</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佛山市生态环境局顺德分局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采购机构代理服务收费标准：以本项目的中标金额作为招标代理服务费的计算基数下浮15%计算。 招标代理服务费收费采用差额定率累进法计算方式。【中标金额：100万元以下，费率：1.5%。 （2）中标金额：100～500万元，费率：0.8%。 （3）中标金额：500～1000万元，费率：0.45%。（4）中标金额：1000～5000万元，费率：0.25%】。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二、中小企业划分标准所属行业，本项目对应所属行业：其他未列明企业。其他未列明行业：从业人员300人以下的为中小微型企业。其中，从业人员100人及以上的为中型企业；从业人员10人及以上的为小型企业；从业人员10人以下的为微型企业。三、异常低价审查要求 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；请各投标人在投标文件递交截止时间前按须知前附表规定的金额递交至</w:t>
      </w:r>
      <w:r>
        <w:rPr/>
        <w:t>广东中采招标有限公司</w:t>
      </w:r>
      <w:r>
        <w:rPr/>
        <w:t>，到账情况以开标时</w:t>
      </w:r>
      <w:r>
        <w:rPr/>
        <w:t>广东中采招标有限公司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广东省公共资源交易平台（佛山市）（https://ygp.gdzwfw.gov.cn/ggzy-portal/#/440600/jygg）及采购代理机构（http://www.gdzczb.com/）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广东省公共资源交易平台（佛山市）（https://ygp.gdzwfw.gov.cn/ggzy-portal/#/440600/jygg）及采购代理机构（http://www.gdzczb.com/）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余先生</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4月-2028年3月顺德区水环境跟踪监测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w:t>
      </w:r>
      <w:r>
        <w:rPr/>
        <w:t>统一对外发布。</w:t>
      </w:r>
    </w:p>
    <w:p>
      <w:pPr>
        <w:pStyle w:val="null3"/>
        <w:ind w:firstLine="480"/>
      </w:pPr>
      <w:r>
        <w:rPr/>
        <w:t>（2）对</w:t>
      </w:r>
      <w:r>
        <w:rPr/>
        <w:t>广东中采招标有限公司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采购包1（2026年4月-2028年3月顺德区水环境跟踪监测项目）：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采购包1（2026年4月-2028年3月顺德区水环境跟踪监测项目）：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政府采购供应商资格信用承诺函》（承诺函格式见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一项证明材料：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若供应商成立不足一年的，可提供本年度近1个月的财务状况报告）；③基本开户银行出具投标截止前6个月内（含投标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须提供下列任一项证明材料：1.提供《政府采购供应商资格信用承诺函》；2.按投标（响应）文件格式填报设备及专业技术能力情况。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详见投标（报价）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投标人具备有效的计量认证证书（CMA），提供有效期内的计量认证证书复印件。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本采购包整体专门面向小微企业采购，监狱企业、残疾人福利性单位视同小型、微型企业。 （1）中小企业评审及《中小企业声明函》填写要求： ① 本项目为服务类项目，投标人须根据本项目采购类别选择对应的《中小企业声明函》填写。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采购需求—2.技术标准与要求”，中小企业划型标准详见《关于印发中小企业划型标准规定的通知》（工信部联企业〔2011〕300号）（http://www.gov.cn/zwgk/2011-07/04/content_1898747.htm） ③ 投标人提交的《中小企业声明函》应按要求完整填写所有信息，填写说明详见本项目采购公告附件“工程类、服务类项目中小企业声明函模板（填写说明）”。 （2）监狱企业评审要求：提供由省级以上监狱管理局、戒毒管理局（含新疆生产建设兵团）出具的属于监狱企业的证明文件。 （3）残疾人福利性单位评审要求：提供《残疾人福利性单位声明函》。</w:t>
            </w:r>
          </w:p>
        </w:tc>
      </w:tr>
    </w:tbl>
    <w:p>
      <w:pPr>
        <w:pStyle w:val="null3"/>
        <w:ind w:firstLine="480"/>
      </w:pPr>
      <w:r>
        <w:rPr/>
        <w:t>表二符合性审查表：</w:t>
      </w:r>
    </w:p>
    <w:p>
      <w:pPr>
        <w:pStyle w:val="null3"/>
      </w:pPr>
      <w:r>
        <w:rPr/>
        <w:t>采购包1（2026年4月-2028年3月顺德区水环境跟踪监测项目）：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法定代表人证明书和法定代表人授权书</w:t>
            </w:r>
          </w:p>
        </w:tc>
        <w:tc>
          <w:tcPr>
            <w:tcW w:type="dxa" w:w="4238"/>
          </w:tcPr>
          <w:p>
            <w:pPr>
              <w:pStyle w:val="null3"/>
            </w:pPr>
            <w:r>
              <w:rPr/>
              <w:t>有效的法定代表人证明书和法定代表人授权书(如为法定代表人参与投标,只提供有效的法定代表人证明书)。</w:t>
            </w:r>
          </w:p>
        </w:tc>
      </w:tr>
      <w:tr>
        <w:tc>
          <w:tcPr>
            <w:tcW w:type="dxa" w:w="890"/>
          </w:tcPr>
          <w:p>
            <w:pPr>
              <w:pStyle w:val="null3"/>
            </w:pPr>
            <w:r>
              <w:rPr/>
              <w:t>2</w:t>
            </w:r>
          </w:p>
        </w:tc>
        <w:tc>
          <w:tcPr>
            <w:tcW w:type="dxa" w:w="3178"/>
          </w:tcPr>
          <w:p>
            <w:pPr>
              <w:pStyle w:val="null3"/>
            </w:pPr>
            <w:r>
              <w:rPr/>
              <w:t>签署和盖章</w:t>
            </w:r>
          </w:p>
        </w:tc>
        <w:tc>
          <w:tcPr>
            <w:tcW w:type="dxa" w:w="4238"/>
          </w:tcPr>
          <w:p>
            <w:pPr>
              <w:pStyle w:val="null3"/>
            </w:pPr>
            <w:r>
              <w:rPr/>
              <w:t>投标文件符合招标文件规定的签署和盖章要求。</w:t>
            </w:r>
          </w:p>
        </w:tc>
      </w:tr>
      <w:tr>
        <w:tc>
          <w:tcPr>
            <w:tcW w:type="dxa" w:w="890"/>
          </w:tcPr>
          <w:p>
            <w:pPr>
              <w:pStyle w:val="null3"/>
            </w:pPr>
            <w:r>
              <w:rPr/>
              <w:t>3</w:t>
            </w:r>
          </w:p>
        </w:tc>
        <w:tc>
          <w:tcPr>
            <w:tcW w:type="dxa" w:w="3178"/>
          </w:tcPr>
          <w:p>
            <w:pPr>
              <w:pStyle w:val="null3"/>
            </w:pPr>
            <w:r>
              <w:rPr/>
              <w:t>标注“★”的实质性条款响应情况</w:t>
            </w:r>
          </w:p>
        </w:tc>
        <w:tc>
          <w:tcPr>
            <w:tcW w:type="dxa" w:w="4238"/>
          </w:tcPr>
          <w:p>
            <w:pPr>
              <w:pStyle w:val="null3"/>
            </w:pPr>
            <w:r>
              <w:rPr/>
              <w:t>完全满足招标文件的实质性条款（即标注★号条款）无负偏离的。</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1.报价符合招标文件要求且报价是固定唯一的。 2.若评标委员会认为投标供应商的报价明显低于其他通过符合性审查投标供应商的报价，有可能影响产品质量或者不能诚信履约的，应当要求其在评标现场合理的时间内提供书面说明，必要时提交相关证明材料；投标供应商不能证明其报价合理性的，评标委员会应当将其作为无效投标处理。</w:t>
            </w:r>
          </w:p>
        </w:tc>
      </w:tr>
      <w:tr>
        <w:tc>
          <w:tcPr>
            <w:tcW w:type="dxa" w:w="890"/>
          </w:tcPr>
          <w:p>
            <w:pPr>
              <w:pStyle w:val="null3"/>
            </w:pPr>
            <w:r>
              <w:rPr/>
              <w:t>5</w:t>
            </w:r>
          </w:p>
        </w:tc>
        <w:tc>
          <w:tcPr>
            <w:tcW w:type="dxa" w:w="3178"/>
          </w:tcPr>
          <w:p>
            <w:pPr>
              <w:pStyle w:val="null3"/>
            </w:pPr>
            <w:r>
              <w:rPr/>
              <w:t>其它</w:t>
            </w:r>
          </w:p>
        </w:tc>
        <w:tc>
          <w:tcPr>
            <w:tcW w:type="dxa" w:w="4238"/>
          </w:tcPr>
          <w:p>
            <w:pPr>
              <w:pStyle w:val="null3"/>
            </w:pPr>
            <w:r>
              <w:rPr/>
              <w:t>投标文件没有招标文件中规定的其它无效投标条款的。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采购包1(2026年4月-2028年3月顺德区水环境跟踪监测项目):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对项目的了解情况 (10.0分)</w:t>
            </w:r>
          </w:p>
        </w:tc>
        <w:tc>
          <w:tcPr>
            <w:tcW w:type="dxa" w:w="5076"/>
          </w:tcPr>
          <w:p>
            <w:pPr>
              <w:pStyle w:val="null3"/>
              <w:jc w:val="left"/>
            </w:pPr>
            <w:r>
              <w:rPr/>
              <w:t>根据投标人对本项目了解程度进行评价（内容包括但不限于以下内容：（1）对项目概况、服务范围、技术要求、成果报告交付等理解；（2）针对本项目所在地实际情况的考量）： 1）对招标文件项目概况、服务范围、技术要求、成果报告交付等理解极其深刻透彻，能够深入结合项目所在地的水域特点、环境现状、污染源分布及政策要求等实际情况，提出高度契合本地需求的针对性方案，成果交付标准清晰明确，完全满足或优于招标需求的，得10分； 2）对招标文件项目概况、服务范围、技术要求、成果报告交付等理解全面准确，能够结合项目所在地的实际情况进行方案设计对技术要求的响应充分，成果交付标准表述清晰，方案具有较强的针对性，满足招标需求的，得7分； 3）对招标文件项目概况、服务范围等有基本了解，能够正确复述招标文件中的主要内容，对技术要求、成果报告交付的理解基本准确，对项目所在地实际情况有所提及但未充分结合，基本符合招标需求的，得4分； 4）对招标文件对项目概况、服务范围的理解较为片面，存在对部分技术要求或成果交付标准解读不清的情况，对项目所在地实际情况考虑不足，基本符合招标需求的，得2分； 5）没有提供得0分。</w:t>
            </w:r>
          </w:p>
        </w:tc>
      </w:tr>
      <w:tr>
        <w:tc>
          <w:tcPr>
            <w:tcW w:type="dxa" w:w="922"/>
            <w:gridSpan w:val="2"/>
            <w:vMerge/>
          </w:tcPr>
          <w:p/>
        </w:tc>
        <w:tc>
          <w:tcPr>
            <w:tcW w:type="dxa" w:w="2307"/>
          </w:tcPr>
          <w:p>
            <w:pPr>
              <w:pStyle w:val="null3"/>
              <w:jc w:val="left"/>
            </w:pPr>
            <w:r>
              <w:rPr/>
              <w:t>项目重点难点分析 (10.0分)</w:t>
            </w:r>
          </w:p>
        </w:tc>
        <w:tc>
          <w:tcPr>
            <w:tcW w:type="dxa" w:w="5076"/>
          </w:tcPr>
          <w:p>
            <w:pPr>
              <w:pStyle w:val="null3"/>
              <w:jc w:val="left"/>
            </w:pPr>
            <w:r>
              <w:rPr/>
              <w:t>根据投标人对本项目重点难点的分析进行评价（内容包括但不限于以下内容：（1）对本项目重点难点分析；（2）针对本项目重点难点提出的解决方案）： 1）对项目重点难点的理解十分到位，提出的重点难点有利于项目实施，解决方案内容专业高效，完全满足或优于招标需求的，得10分； 2）对项目重点难点的理解分析比较到位，提出的重点难点利于项目实施，解决方案内容合理可行，满足招标需求的，得7分； 3）对项目重点难点的理解分析基本到位，解决方案内容较为简单，基本符合招标需求的，得4分； 4）对项目重点难点的理解分析不够到位，解决方案内容可行度低或粗略，基本符合招标需求的，得2分； 5）没有提供得0分。</w:t>
            </w:r>
          </w:p>
        </w:tc>
      </w:tr>
      <w:tr>
        <w:tc>
          <w:tcPr>
            <w:tcW w:type="dxa" w:w="922"/>
            <w:gridSpan w:val="2"/>
            <w:vMerge/>
          </w:tcPr>
          <w:p/>
        </w:tc>
        <w:tc>
          <w:tcPr>
            <w:tcW w:type="dxa" w:w="2307"/>
          </w:tcPr>
          <w:p>
            <w:pPr>
              <w:pStyle w:val="null3"/>
              <w:jc w:val="left"/>
            </w:pPr>
            <w:r>
              <w:rPr/>
              <w:t>运营管理措施 (10.0分)</w:t>
            </w:r>
          </w:p>
        </w:tc>
        <w:tc>
          <w:tcPr>
            <w:tcW w:type="dxa" w:w="5076"/>
          </w:tcPr>
          <w:p>
            <w:pPr>
              <w:pStyle w:val="null3"/>
              <w:jc w:val="left"/>
            </w:pPr>
            <w:r>
              <w:rPr/>
              <w:t>根据项目运营方案进行评价（包括但不限于以下内容：（1）质量控制措施方案；（2）维护方案；（3）进度安排；（4）预防性管理方案；（5）交接期的实施方案）： 1）投标人针对本项目制定的运营管理措施清楚、详细，考虑周全完整、切实可行的，得10分； 2）投标人针对本项目制定的运营管理措施清楚、但不详细，考虑不完整、可行性一般的，得7分； 3）投标人针对本项目制定的运营管理措施不清楚，考虑不完整、可行性较低的，得4分； 4）投标人针对本项目制定的运营管理措施不清楚，考虑不完整、可行性低的，得2分； 5）没有提供得0分。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根据投标人应急方案进行评价（内容包括但不限于以下内容：（1）汛期水环境应急监测方案；（2）突发污染特征污染物快速监测方案）： 1）应急方案非常具备可行性、合理性、科学性，得5分； 2）应急方案具备可行性、合理性、科学性，得4分； 3）应急方案的可行性、合理性、科学性一般，得3分； 4）应急方案的可行性、合理性、科学性，部分偏离项目实际情况，得2分。 5）没有提供得0分。</w:t>
            </w:r>
          </w:p>
        </w:tc>
      </w:tr>
      <w:tr>
        <w:tc>
          <w:tcPr>
            <w:tcW w:type="dxa" w:w="922"/>
            <w:gridSpan w:val="2"/>
            <w:vMerge/>
          </w:tcPr>
          <w:p/>
        </w:tc>
        <w:tc>
          <w:tcPr>
            <w:tcW w:type="dxa" w:w="2307"/>
          </w:tcPr>
          <w:p>
            <w:pPr>
              <w:pStyle w:val="null3"/>
              <w:jc w:val="left"/>
            </w:pPr>
            <w:r>
              <w:rPr/>
              <w:t>数据采集及分析方案 (10.0分)</w:t>
            </w:r>
          </w:p>
        </w:tc>
        <w:tc>
          <w:tcPr>
            <w:tcW w:type="dxa" w:w="5076"/>
          </w:tcPr>
          <w:p>
            <w:pPr>
              <w:pStyle w:val="null3"/>
              <w:jc w:val="left"/>
            </w:pPr>
            <w:r>
              <w:rPr/>
              <w:t>根据投标人提出的分析报告需求对分析方案进行评价（内容包括但不限于以下内容：（1）数据整理；（2）对比；（3）分析及工作总结）： 1）方案内容全面完善、细致、切合项目实际且可操作性强的得10分； 2）方案内容全面完善、切合项目实际，但可操作性一般的得7分； 3）方案内容基本完善、基本符合项目实际的得4分； 4）方案内容基本完善，但未能符合项目实际的得2分； 5）方案内容不完善或不提供方案的得0分。</w:t>
            </w:r>
          </w:p>
        </w:tc>
      </w:tr>
      <w:tr>
        <w:tc>
          <w:tcPr>
            <w:tcW w:type="dxa" w:w="922"/>
            <w:gridSpan w:val="2"/>
            <w:vMerge/>
          </w:tcPr>
          <w:p/>
        </w:tc>
        <w:tc>
          <w:tcPr>
            <w:tcW w:type="dxa" w:w="2307"/>
          </w:tcPr>
          <w:p>
            <w:pPr>
              <w:pStyle w:val="null3"/>
              <w:jc w:val="left"/>
            </w:pPr>
            <w:r>
              <w:rPr/>
              <w:t>实验室 (4.0分)</w:t>
            </w:r>
          </w:p>
        </w:tc>
        <w:tc>
          <w:tcPr>
            <w:tcW w:type="dxa" w:w="5076"/>
          </w:tcPr>
          <w:p>
            <w:pPr>
              <w:pStyle w:val="null3"/>
              <w:jc w:val="left"/>
            </w:pPr>
            <w:r>
              <w:rPr/>
              <w:t>投标人自有或合作的实验室，得4分。 若投标人自有的，提供实验室现场照片、房产证或土地权属证明材料复印件并加盖投标人公章；若投标人合作的，提供实验室现场照片、合作协议复印件并加盖投标人公章，合作期限覆盖本项目服务期的，如未覆盖本项目服务期的，提供承诺函，承诺保证续签至服务期结束。</w:t>
            </w:r>
          </w:p>
        </w:tc>
      </w:tr>
      <w:tr>
        <w:tc>
          <w:tcPr>
            <w:tcW w:type="dxa" w:w="922"/>
            <w:gridSpan w:val="2"/>
            <w:vMerge/>
          </w:tcPr>
          <w:p/>
        </w:tc>
        <w:tc>
          <w:tcPr>
            <w:tcW w:type="dxa" w:w="2307"/>
          </w:tcPr>
          <w:p>
            <w:pPr>
              <w:pStyle w:val="null3"/>
              <w:jc w:val="left"/>
            </w:pPr>
            <w:r>
              <w:rPr/>
              <w:t>运输能力 (2.0分)</w:t>
            </w:r>
          </w:p>
        </w:tc>
        <w:tc>
          <w:tcPr>
            <w:tcW w:type="dxa" w:w="5076"/>
          </w:tcPr>
          <w:p>
            <w:pPr>
              <w:pStyle w:val="null3"/>
              <w:jc w:val="left"/>
            </w:pPr>
            <w:r>
              <w:rPr/>
              <w:t>投标人自有或租赁的拟投入用于本项目车辆，配备有恒温箱的运输车辆每提供1辆得1分；本项最高得2分。 若投标人自有的，提供车辆的购买发票、车辆行驶证扫描件及显示车牌和清晰显示车上制冷设备或备有恒温箱位置的车辆照片并加盖投标人公章；若投标人租赁的，提供租赁协议、车辆行驶证扫描件及显示车牌的车辆照片并加盖投标人公章。租赁期限覆盖本项目服务期的，如未覆盖本项目服务期的，提供承诺函，承诺保证续签至服务期结束。</w:t>
            </w:r>
          </w:p>
        </w:tc>
      </w:tr>
      <w:tr>
        <w:tc>
          <w:tcPr>
            <w:tcW w:type="dxa" w:w="922"/>
            <w:gridSpan w:val="2"/>
            <w:vMerge/>
          </w:tcPr>
          <w:p/>
        </w:tc>
        <w:tc>
          <w:tcPr>
            <w:tcW w:type="dxa" w:w="2307"/>
          </w:tcPr>
          <w:p>
            <w:pPr>
              <w:pStyle w:val="null3"/>
              <w:jc w:val="left"/>
            </w:pPr>
            <w:r>
              <w:rPr/>
              <w:t>仪器设备 (4.0分)</w:t>
            </w:r>
          </w:p>
        </w:tc>
        <w:tc>
          <w:tcPr>
            <w:tcW w:type="dxa" w:w="5076"/>
          </w:tcPr>
          <w:p>
            <w:pPr>
              <w:pStyle w:val="null3"/>
              <w:jc w:val="left"/>
            </w:pPr>
            <w:r>
              <w:rPr/>
              <w:t>投标人自有(或租赁)仪器设备配置情况：1、可见分光光度计，每提供1个得0.5分，最高得1.5分；2、溶解氧测定仪，每提供1个得0.5分，最高得1.5分；3、塞氏盘，每提供1个得0.5分，最高得1分。 【注:同时提供仪器设备清单、图片及购置发票(或租赁合同)，租赁合同期限覆盖本项目服务期，如未能覆盖本项目服务期，提供承诺书，承诺保证续签至服务期结束(格式自拟)。以上材料不提供或提供不全不得分。</w:t>
            </w:r>
          </w:p>
        </w:tc>
      </w:tr>
      <w:tr>
        <w:tc>
          <w:tcPr>
            <w:tcW w:type="dxa" w:w="922"/>
            <w:gridSpan w:val="2"/>
            <w:vMerge/>
          </w:tcPr>
          <w:p/>
        </w:tc>
        <w:tc>
          <w:tcPr>
            <w:tcW w:type="dxa" w:w="2307"/>
          </w:tcPr>
          <w:p>
            <w:pPr>
              <w:pStyle w:val="null3"/>
              <w:jc w:val="left"/>
            </w:pPr>
            <w:r>
              <w:rPr/>
              <w:t>质量保障制度和措施 (5.0分)</w:t>
            </w:r>
          </w:p>
        </w:tc>
        <w:tc>
          <w:tcPr>
            <w:tcW w:type="dxa" w:w="5076"/>
          </w:tcPr>
          <w:p>
            <w:pPr>
              <w:pStyle w:val="null3"/>
              <w:jc w:val="left"/>
            </w:pPr>
            <w:r>
              <w:rPr/>
              <w:t>根据内部管理制度、标准体系、质量管理措施等情况进行评价： 1）投标人对本项目制定的质量保障制度及措施详尽、具体，可行性、可操作性高的，得5分； 2）投标人对本项目制定的质量保障制度及措施较详尽，可行性、可操作性一般的，得4分； 3）投标人对本项目制定的质量保障制度及措施简单，可行性、可操作性较低的，得3分； 4）投标人对本项目制定的质量保障制度及措施粗糙，可行性、可操作性差，得2分； 5）没有提供得0分。</w:t>
            </w:r>
          </w:p>
        </w:tc>
      </w:tr>
      <w:tr>
        <w:tc>
          <w:tcPr>
            <w:tcW w:type="dxa" w:w="922"/>
            <w:gridSpan w:val="2"/>
            <w:vMerge w:val="restart"/>
          </w:tcPr>
          <w:p>
            <w:pPr>
              <w:pStyle w:val="null3"/>
              <w:jc w:val="center"/>
            </w:pPr>
            <w:r>
              <w:rPr/>
              <w:t>商务部分</w:t>
            </w:r>
          </w:p>
        </w:tc>
        <w:tc>
          <w:tcPr>
            <w:tcW w:type="dxa" w:w="2307"/>
          </w:tcPr>
          <w:p>
            <w:pPr>
              <w:pStyle w:val="null3"/>
              <w:jc w:val="left"/>
            </w:pPr>
            <w:r>
              <w:rPr/>
              <w:t>企业信誉 (3.0分)</w:t>
            </w:r>
          </w:p>
        </w:tc>
        <w:tc>
          <w:tcPr>
            <w:tcW w:type="dxa" w:w="5076"/>
          </w:tcPr>
          <w:p>
            <w:pPr>
              <w:pStyle w:val="null3"/>
              <w:jc w:val="left"/>
            </w:pPr>
            <w:r>
              <w:rPr/>
              <w:t>投标人具有环境管理体系认证证书、质量管理体系认证证书、职业健康安全管理体系认证证书，每个得1分； 注：本项最高3分。需提供以上证书扫描件及网页查询截图（网址以http://www.cnca.gov.cn/网站公布为准）作为证明材料（已失效或撤销或暂停的不得分），否则不得分。如因企业成立时间不满足认证时间要求且办理认证所需要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2023年1月1日起至投标截止时间（以合同签订时间为准），投标人承接过河流（或河涌）水质检测委托项目的，每项有效业绩得1分，本项满分10分； 注：以上业绩提供合同复印件并加盖投标人公章。</w:t>
            </w:r>
          </w:p>
        </w:tc>
      </w:tr>
      <w:tr>
        <w:tc>
          <w:tcPr>
            <w:tcW w:type="dxa" w:w="922"/>
            <w:gridSpan w:val="2"/>
            <w:vMerge/>
          </w:tcPr>
          <w:p/>
        </w:tc>
        <w:tc>
          <w:tcPr>
            <w:tcW w:type="dxa" w:w="2307"/>
          </w:tcPr>
          <w:p>
            <w:pPr>
              <w:pStyle w:val="null3"/>
              <w:jc w:val="left"/>
            </w:pPr>
            <w:r>
              <w:rPr/>
              <w:t>人员配备及安排 (12.0分)</w:t>
            </w:r>
          </w:p>
        </w:tc>
        <w:tc>
          <w:tcPr>
            <w:tcW w:type="dxa" w:w="5076"/>
          </w:tcPr>
          <w:p>
            <w:pPr>
              <w:pStyle w:val="null3"/>
              <w:jc w:val="left"/>
            </w:pPr>
            <w:r>
              <w:rPr/>
              <w:t>投标人参与本项目的持证技术服务人员情况： 1.项目总负责人（限1人）：具有环保类中级职称的，得2分；具有环保类高级（或以上）职称的，得3分；本小项最高3分。 2.技术负责人（限1人）：具有环境监测类中级职称的，得2分；或具有环境监测类高级（或以上）职称的，得3分；本小项最高3分。 3.本项目服务人员（不包含项目经理、技术负责人）：具有环境监测类中级职称，每提供1位得2分；具有环境监测类高级（或以上）职称的，每提供1位得3分；本小项最高得6分， 注：以上人员不能兼任且不包括外聘、兼职人员。同一人只计最高资历，不重复计分，同时提供人员职称证书复印件及投标截止时间前6个月内任意一个月在投标人单位的社保证明文件。未提供或其他情况不得分。</w:t>
            </w:r>
          </w:p>
        </w:tc>
      </w:tr>
      <w:tr>
        <w:tc>
          <w:tcPr>
            <w:tcW w:type="dxa" w:w="922"/>
            <w:gridSpan w:val="2"/>
            <w:vMerge/>
          </w:tcPr>
          <w:p/>
        </w:tc>
        <w:tc>
          <w:tcPr>
            <w:tcW w:type="dxa" w:w="2307"/>
          </w:tcPr>
          <w:p>
            <w:pPr>
              <w:pStyle w:val="null3"/>
              <w:jc w:val="left"/>
            </w:pPr>
            <w:r>
              <w:rPr/>
              <w:t>应急响应能力 (5.0分)</w:t>
            </w:r>
          </w:p>
        </w:tc>
        <w:tc>
          <w:tcPr>
            <w:tcW w:type="dxa" w:w="5076"/>
          </w:tcPr>
          <w:p>
            <w:pPr>
              <w:pStyle w:val="null3"/>
              <w:jc w:val="left"/>
            </w:pPr>
            <w:r>
              <w:rPr/>
              <w:t>根据投标人的服务响应时间及实施方案进行评价： （1）投标人承诺接到采购人通知后能够在1小时内响应，并提供合理可行的实施方案的，得5分； （2）投标人承诺接到采购人通知后能够在1.0-1.5小时（含）响应，并提供合理可行的实施方案的，得4分； （3）投标人承诺接到采购人通知后能够在1.5-2.0小时（含）响应，并提供合理可行的实施方案的，得3分； （4）投标人承诺接到采购人通知后能够在2.0-2.5小时（含）响应，并提供合理可行的实施方案的，得2分 （5）投标人承诺接到采购人通知后超过2.5小时响应的，不得分。 注:需提供服务承诺函（格式自拟），并提供实施方案，未提供不得分。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rPr>
        <w:t>佛山市政府采购项目</w:t>
      </w:r>
    </w:p>
    <w:p>
      <w:pPr>
        <w:pStyle w:val="null3"/>
        <w:jc w:val="center"/>
      </w:pPr>
      <w:r>
        <w:rPr>
          <w:sz w:val="68"/>
          <w:color w:val="000000"/>
        </w:rPr>
        <w:t>合</w:t>
      </w:r>
      <w:r>
        <w:rPr>
          <w:sz w:val="68"/>
          <w:color w:val="000000"/>
        </w:rPr>
        <w:t>同</w:t>
      </w:r>
      <w:r>
        <w:rPr>
          <w:sz w:val="68"/>
          <w:color w:val="000000"/>
        </w:rPr>
        <w:t>书</w:t>
      </w:r>
    </w:p>
    <w:p>
      <w:pPr>
        <w:pStyle w:val="null3"/>
        <w:jc w:val="center"/>
      </w:pPr>
      <w:r>
        <w:rPr>
          <w:sz w:val="28"/>
          <w:b/>
          <w:color w:val="000000"/>
        </w:rPr>
        <w:t>项目编号：</w:t>
      </w:r>
      <w:r>
        <w:rPr>
          <w:sz w:val="28"/>
          <w:color w:val="000000"/>
          <w:u w:val="single"/>
        </w:rPr>
        <w:t>GDZC-26GZ012</w:t>
      </w:r>
    </w:p>
    <w:p>
      <w:pPr>
        <w:pStyle w:val="null3"/>
        <w:jc w:val="left"/>
      </w:pPr>
      <w:r>
        <w:rPr>
          <w:sz w:val="28"/>
          <w:b/>
          <w:color w:val="000000"/>
        </w:rPr>
        <w:t>项目名称：</w:t>
      </w:r>
      <w:r>
        <w:rPr>
          <w:sz w:val="28"/>
          <w:color w:val="000000"/>
          <w:u w:val="single"/>
        </w:rPr>
        <w:t>2026年4月-2028年3月顺德区水环境跟踪监测项目</w:t>
      </w:r>
    </w:p>
    <w:tbl>
      <w:tblPr>
        <w:tblW w:w="0" w:type="auto"/>
        <w:tblBorders>
          <w:top w:val="none" w:color="000000" w:sz="4"/>
          <w:left w:val="none" w:color="000000" w:sz="4"/>
          <w:bottom w:val="none" w:color="000000" w:sz="4"/>
          <w:right w:val="none" w:color="000000" w:sz="4"/>
          <w:insideH w:val="none"/>
          <w:insideV w:val="none"/>
        </w:tblBorders>
      </w:tblPr>
      <w:tblGrid>
        <w:gridCol w:w="1605"/>
        <w:gridCol w:w="4260"/>
      </w:tblGrid>
      <w:tr>
        <w:tc>
          <w:tcPr>
            <w:tcW w:type="dxa" w:w="16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w:t>
            </w:r>
            <w:r>
              <w:rPr>
                <w:sz w:val="28"/>
                <w:color w:val="000000"/>
              </w:rPr>
              <w:t xml:space="preserve">    </w:t>
            </w:r>
            <w:r>
              <w:rPr>
                <w:sz w:val="28"/>
                <w:color w:val="000000"/>
              </w:rPr>
              <w:t>方：</w:t>
            </w:r>
          </w:p>
        </w:tc>
        <w:tc>
          <w:tcPr>
            <w:tcW w:type="dxa" w:w="4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rPr>
              <w:t xml:space="preserve"> </w:t>
            </w:r>
            <w:r>
              <w:rPr>
                <w:sz w:val="19"/>
                <w:u w:val="single"/>
              </w:rPr>
              <w:t xml:space="preserve"> </w:t>
            </w:r>
            <w:r>
              <w:rPr>
                <w:sz w:val="24"/>
                <w:color w:val="000000"/>
                <w:u w:val="single"/>
              </w:rPr>
              <w:t>佛山市生态环境局顺德分局</w:t>
            </w:r>
            <w:r>
              <w:rPr>
                <w:sz w:val="19"/>
                <w:u w:val="single"/>
              </w:rPr>
              <w:t xml:space="preserve">     </w:t>
            </w:r>
          </w:p>
        </w:tc>
      </w:tr>
      <w:tr>
        <w:tc>
          <w:tcPr>
            <w:tcW w:type="dxa" w:w="16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w:t>
            </w:r>
            <w:r>
              <w:rPr>
                <w:sz w:val="28"/>
                <w:color w:val="000000"/>
              </w:rPr>
              <w:t xml:space="preserve">    </w:t>
            </w:r>
            <w:r>
              <w:rPr>
                <w:sz w:val="28"/>
                <w:color w:val="000000"/>
              </w:rPr>
              <w:t>方：</w:t>
            </w:r>
          </w:p>
        </w:tc>
        <w:tc>
          <w:tcPr>
            <w:tcW w:type="dxa" w:w="4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u w:val="single"/>
              </w:rPr>
              <w:t xml:space="preserve"> </w:t>
            </w:r>
            <w:r>
              <w:rPr>
                <w:sz w:val="24"/>
                <w:color w:val="000000"/>
                <w:u w:val="single"/>
              </w:rPr>
              <w:t>（中标</w:t>
            </w:r>
            <w:r>
              <w:rPr>
                <w:sz w:val="24"/>
                <w:color w:val="000000"/>
                <w:u w:val="single"/>
              </w:rPr>
              <w:t>/成交供应商名称）</w:t>
            </w:r>
            <w:r>
              <w:rPr>
                <w:sz w:val="19"/>
                <w:u w:val="single"/>
              </w:rPr>
              <w:t xml:space="preserve">   </w:t>
            </w:r>
          </w:p>
        </w:tc>
      </w:tr>
      <w:tr>
        <w:tc>
          <w:tcPr>
            <w:tcW w:type="dxa" w:w="16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42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u w:val="single"/>
              </w:rPr>
              <w:t xml:space="preserve">  </w:t>
            </w:r>
            <w:r>
              <w:rPr>
                <w:sz w:val="28"/>
                <w:color w:val="000000"/>
                <w:u w:val="single"/>
              </w:rPr>
              <w:t>年</w:t>
            </w:r>
            <w:r>
              <w:rPr>
                <w:sz w:val="19"/>
                <w:u w:val="single"/>
              </w:rPr>
              <w:t xml:space="preserve">  </w:t>
            </w:r>
            <w:r>
              <w:rPr>
                <w:sz w:val="28"/>
                <w:color w:val="000000"/>
                <w:u w:val="single"/>
              </w:rPr>
              <w:t xml:space="preserve"> </w:t>
            </w:r>
            <w:r>
              <w:rPr>
                <w:sz w:val="28"/>
                <w:color w:val="000000"/>
                <w:u w:val="single"/>
              </w:rPr>
              <w:t>月</w:t>
            </w:r>
            <w:r>
              <w:rPr>
                <w:sz w:val="19"/>
                <w:u w:val="single"/>
              </w:rPr>
              <w:t xml:space="preserve">  </w:t>
            </w:r>
            <w:r>
              <w:rPr>
                <w:sz w:val="28"/>
                <w:color w:val="000000"/>
                <w:u w:val="single"/>
              </w:rPr>
              <w:t xml:space="preserve"> </w:t>
            </w:r>
            <w:r>
              <w:rPr>
                <w:sz w:val="28"/>
                <w:color w:val="000000"/>
                <w:u w:val="single"/>
              </w:rPr>
              <w:t>日</w:t>
            </w:r>
            <w:r>
              <w:rPr>
                <w:sz w:val="28"/>
                <w:color w:val="000000"/>
                <w:u w:val="single"/>
              </w:rPr>
              <w:t xml:space="preserve">        </w:t>
            </w:r>
          </w:p>
        </w:tc>
      </w:tr>
    </w:tbl>
    <w:p>
      <w:pPr>
        <w:pStyle w:val="null3"/>
        <w:jc w:val="center"/>
      </w:pPr>
      <w:r>
        <w:rPr>
          <w:sz w:val="21"/>
          <w:color w:val="222222"/>
          <w:shd w:fill="FFFFFF" w:val="clear"/>
        </w:rPr>
        <w:t>注：本合同仅为合同的参考文本，可根据项目的具体要求进行修订。</w:t>
      </w:r>
    </w:p>
    <w:p>
      <w:pPr>
        <w:pStyle w:val="null3"/>
        <w:jc w:val="center"/>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1"/>
        <w:gridCol w:w="6659"/>
      </w:tblGrid>
      <w:tr>
        <w:tc>
          <w:tcPr>
            <w:tcW w:type="dxa" w:w="1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项目名称：</w:t>
            </w:r>
          </w:p>
        </w:tc>
        <w:tc>
          <w:tcPr>
            <w:tcW w:type="dxa" w:w="6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color w:val="000000"/>
                <w:u w:val="single"/>
              </w:rPr>
              <w:t>2026年4月-2028年3月顺德区水环境跟踪监测项目</w:t>
            </w:r>
            <w:r>
              <w:rPr>
                <w:sz w:val="19"/>
                <w:u w:val="single"/>
              </w:rPr>
              <w:t xml:space="preserve">                             </w:t>
            </w:r>
          </w:p>
        </w:tc>
      </w:tr>
      <w:tr>
        <w:tc>
          <w:tcPr>
            <w:tcW w:type="dxa" w:w="1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项目编号：</w:t>
            </w:r>
          </w:p>
        </w:tc>
        <w:tc>
          <w:tcPr>
            <w:tcW w:type="dxa" w:w="6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color w:val="000000"/>
                <w:u w:val="single"/>
              </w:rPr>
              <w:t xml:space="preserve">GDZC-26GZ012          </w:t>
            </w:r>
          </w:p>
        </w:tc>
      </w:tr>
      <w:tr>
        <w:tc>
          <w:tcPr>
            <w:tcW w:type="dxa" w:w="1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甲</w:t>
            </w:r>
            <w:r>
              <w:rPr>
                <w:sz w:val="20"/>
                <w:b/>
                <w:color w:val="000000"/>
              </w:rPr>
              <w:t xml:space="preserve">    </w:t>
            </w:r>
            <w:r>
              <w:rPr>
                <w:sz w:val="20"/>
                <w:b/>
                <w:color w:val="000000"/>
              </w:rPr>
              <w:t>方：</w:t>
            </w:r>
          </w:p>
        </w:tc>
        <w:tc>
          <w:tcPr>
            <w:tcW w:type="dxa" w:w="6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color w:val="000000"/>
                <w:u w:val="single"/>
              </w:rPr>
              <w:t>佛山市生态环境局顺德分局</w:t>
            </w:r>
            <w:r>
              <w:rPr>
                <w:sz w:val="20"/>
                <w:color w:val="000000"/>
                <w:u w:val="single"/>
              </w:rPr>
              <w:t xml:space="preserve">                    </w:t>
            </w:r>
            <w:r>
              <w:rPr>
                <w:sz w:val="19"/>
                <w:u w:val="single"/>
              </w:rPr>
              <w:t xml:space="preserve"> </w:t>
            </w:r>
            <w:r>
              <w:rPr>
                <w:sz w:val="19"/>
                <w:u w:val="single"/>
              </w:rPr>
              <w:t xml:space="preserve">        </w:t>
            </w:r>
          </w:p>
        </w:tc>
      </w:tr>
      <w:tr>
        <w:tc>
          <w:tcPr>
            <w:tcW w:type="dxa" w:w="1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乙</w:t>
            </w:r>
            <w:r>
              <w:rPr>
                <w:sz w:val="20"/>
                <w:b/>
                <w:color w:val="000000"/>
              </w:rPr>
              <w:t xml:space="preserve">    </w:t>
            </w:r>
            <w:r>
              <w:rPr>
                <w:sz w:val="20"/>
                <w:b/>
                <w:color w:val="000000"/>
              </w:rPr>
              <w:t>方：</w:t>
            </w:r>
          </w:p>
        </w:tc>
        <w:tc>
          <w:tcPr>
            <w:tcW w:type="dxa" w:w="6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color w:val="000000"/>
                <w:u w:val="single"/>
              </w:rPr>
              <w:t>（中标</w:t>
            </w:r>
            <w:r>
              <w:rPr>
                <w:sz w:val="20"/>
                <w:color w:val="000000"/>
                <w:u w:val="single"/>
              </w:rPr>
              <w:t>/成交供应商）</w:t>
            </w:r>
            <w:r>
              <w:rPr>
                <w:sz w:val="19"/>
                <w:u w:val="single"/>
              </w:rPr>
              <w:t xml:space="preserve">                     </w:t>
            </w:r>
            <w:r>
              <w:rPr>
                <w:sz w:val="19"/>
                <w:u w:val="single"/>
              </w:rPr>
              <w:t xml:space="preserve"> </w:t>
            </w:r>
            <w:r>
              <w:rPr>
                <w:sz w:val="19"/>
                <w:u w:val="single"/>
              </w:rPr>
              <w:t xml:space="preserve">      </w:t>
            </w:r>
          </w:p>
        </w:tc>
      </w:tr>
      <w:tr>
        <w:tc>
          <w:tcPr>
            <w:tcW w:type="dxa" w:w="16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合同性质：</w:t>
            </w:r>
          </w:p>
        </w:tc>
        <w:tc>
          <w:tcPr>
            <w:tcW w:type="dxa" w:w="66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i/>
                <w:u w:val="single"/>
              </w:rPr>
              <w:t xml:space="preserve"> </w:t>
            </w:r>
            <w:r>
              <w:rPr>
                <w:sz w:val="20"/>
                <w:color w:val="000000"/>
                <w:u w:val="single"/>
              </w:rPr>
              <w:t>本合同为小微企业预留合同</w:t>
            </w:r>
            <w:r>
              <w:rPr>
                <w:sz w:val="19"/>
                <w:b/>
                <w:i/>
                <w:u w:val="single"/>
              </w:rPr>
              <w:t xml:space="preserve">   </w:t>
            </w:r>
            <w:r>
              <w:rPr>
                <w:sz w:val="19"/>
                <w:b/>
                <w:i/>
                <w:u w:val="single"/>
              </w:rPr>
              <w:t xml:space="preserve"> </w:t>
            </w:r>
            <w:r>
              <w:rPr>
                <w:sz w:val="19"/>
                <w:b/>
                <w:i/>
                <w:u w:val="single"/>
              </w:rPr>
              <w:t xml:space="preserve">   </w:t>
            </w:r>
          </w:p>
        </w:tc>
      </w:tr>
    </w:tbl>
    <w:p>
      <w:pPr>
        <w:pStyle w:val="null3"/>
        <w:ind w:firstLine="400"/>
        <w:jc w:val="both"/>
      </w:pPr>
      <w:r>
        <w:rPr>
          <w:sz w:val="20"/>
        </w:rPr>
        <w:t>根据</w:t>
      </w:r>
      <w:r>
        <w:rPr>
          <w:sz w:val="20"/>
          <w:u w:val="single"/>
        </w:rPr>
        <w:t>2026年-2028年</w:t>
      </w:r>
      <w:r>
        <w:rPr>
          <w:sz w:val="20"/>
          <w:u w:val="single"/>
        </w:rPr>
        <w:t>顺德区水环境水质监测和分析项目</w:t>
      </w:r>
      <w:r>
        <w:rPr>
          <w:sz w:val="20"/>
        </w:rPr>
        <w:t>的采购结果，按照《《中华人民共和国政府采购法》《中华人民共和国民法典》和本项目采购文件的要求，经双方协商，本着平等互利和诚实信用的原则，一致同意签订本合同如下</w:t>
      </w:r>
      <w:r>
        <w:rPr>
          <w:sz w:val="20"/>
        </w:rPr>
        <w:t>。</w:t>
      </w:r>
    </w:p>
    <w:p>
      <w:pPr>
        <w:pStyle w:val="null3"/>
        <w:numPr>
          <w:ilvl w:val="0"/>
          <w:numId w:val="1"/>
        </w:numPr>
      </w:pPr>
      <w:r>
        <w:rPr>
          <w:sz w:val="20"/>
          <w:b/>
          <w:color w:val="000000"/>
        </w:rPr>
        <w:t>项目内容</w:t>
      </w:r>
      <w:r>
        <w:rPr>
          <w:sz w:val="20"/>
          <w:b/>
          <w:color w:val="000000"/>
        </w:rPr>
        <w:t>：</w:t>
      </w:r>
    </w:p>
    <w:p>
      <w:pPr>
        <w:pStyle w:val="null3"/>
        <w:ind w:firstLine="400"/>
        <w:jc w:val="both"/>
      </w:pPr>
      <w:r>
        <w:rPr>
          <w:sz w:val="20"/>
        </w:rPr>
        <w:t>在服务期内，由</w:t>
      </w:r>
      <w:r>
        <w:rPr>
          <w:sz w:val="20"/>
        </w:rPr>
        <w:t>乙方</w:t>
      </w:r>
      <w:r>
        <w:rPr>
          <w:sz w:val="20"/>
        </w:rPr>
        <w:t>安排专业、专职工作人员完成河涌的水质监测工作，并按要求形成数据报告和分析报告。（包括：现场取样分析、实验室分析、原始记录、数据录入、审核并汇总分析、资料建档造册、数据分析报告及工作总结等）。</w:t>
      </w:r>
    </w:p>
    <w:p>
      <w:pPr>
        <w:pStyle w:val="null3"/>
        <w:numPr>
          <w:ilvl w:val="0"/>
          <w:numId w:val="1"/>
        </w:numPr>
        <w:jc w:val="both"/>
      </w:pPr>
      <w:r>
        <w:rPr>
          <w:sz w:val="20"/>
        </w:rPr>
        <w:t>分析服务要求</w:t>
      </w:r>
    </w:p>
    <w:p>
      <w:pPr>
        <w:pStyle w:val="null3"/>
        <w:ind w:firstLine="400"/>
        <w:jc w:val="both"/>
      </w:pPr>
      <w:r>
        <w:rPr>
          <w:sz w:val="20"/>
          <w:shd w:fill="FFFFFF" w:val="clear"/>
        </w:rPr>
        <w:t>1、熟悉了解顺德区水质情况，现场采样时要对采样点河涌现场情况做好记录，编写的分析报告，应符合技术要求，能充分反映监测工作及成果，并针对顺德区河涌水质情况，结合顺德区实际情况给出应对措施和建议。出具</w:t>
      </w:r>
      <w:r>
        <w:rPr>
          <w:sz w:val="20"/>
          <w:shd w:fill="FFFFFF" w:val="clear"/>
        </w:rPr>
        <w:t>季度分析报告</w:t>
      </w:r>
      <w:r>
        <w:rPr>
          <w:sz w:val="20"/>
          <w:shd w:fill="FFFFFF" w:val="clear"/>
        </w:rPr>
        <w:t>和年度分析报告。分析报告应包括但不限于：河涌水质类别判定、达标率统计、结合我区河涌整治情况对比历年河涌监测数据等进行环比、同比</w:t>
      </w:r>
      <w:r>
        <w:rPr>
          <w:sz w:val="20"/>
          <w:shd w:fill="FFFFFF" w:val="clear"/>
        </w:rPr>
        <w:t>等数据分析，得出水质变化原因并提出水质改善工作建议</w:t>
      </w:r>
      <w:r>
        <w:rPr>
          <w:sz w:val="20"/>
          <w:shd w:fill="FFFFFF" w:val="clear"/>
        </w:rPr>
        <w:t>。</w:t>
      </w:r>
    </w:p>
    <w:p>
      <w:pPr>
        <w:pStyle w:val="null3"/>
        <w:ind w:firstLine="400"/>
        <w:jc w:val="both"/>
      </w:pPr>
      <w:r>
        <w:rPr>
          <w:sz w:val="20"/>
          <w:shd w:fill="FFFFFF" w:val="clear"/>
        </w:rPr>
        <w:t>2、按</w:t>
      </w:r>
      <w:r>
        <w:rPr>
          <w:sz w:val="20"/>
          <w:shd w:fill="FFFFFF" w:val="clear"/>
        </w:rPr>
        <w:t>甲方</w:t>
      </w:r>
      <w:r>
        <w:rPr>
          <w:sz w:val="20"/>
          <w:shd w:fill="FFFFFF" w:val="clear"/>
        </w:rPr>
        <w:t>要求，配合</w:t>
      </w:r>
      <w:r>
        <w:rPr>
          <w:sz w:val="20"/>
          <w:shd w:fill="FFFFFF" w:val="clear"/>
        </w:rPr>
        <w:t>甲方</w:t>
      </w:r>
      <w:r>
        <w:rPr>
          <w:sz w:val="20"/>
          <w:shd w:fill="FFFFFF" w:val="clear"/>
        </w:rPr>
        <w:t>做好水质考核工作和河涌整治相关工作，对</w:t>
      </w:r>
      <w:r>
        <w:rPr>
          <w:sz w:val="20"/>
          <w:shd w:fill="FFFFFF" w:val="clear"/>
        </w:rPr>
        <w:t>甲方</w:t>
      </w:r>
      <w:r>
        <w:rPr>
          <w:sz w:val="20"/>
          <w:shd w:fill="FFFFFF" w:val="clear"/>
        </w:rPr>
        <w:t>提供监测数据进行整理和分析（包括数据整理归类、数据统计分析、数据录入及工作总结等）。</w:t>
      </w:r>
    </w:p>
    <w:p>
      <w:pPr>
        <w:pStyle w:val="null3"/>
        <w:ind w:firstLine="400"/>
      </w:pPr>
      <w:r>
        <w:rPr>
          <w:sz w:val="20"/>
          <w:shd w:fill="FFFFFF" w:val="clear"/>
        </w:rPr>
        <w:t>3.</w:t>
      </w:r>
      <w:r>
        <w:rPr>
          <w:sz w:val="20"/>
        </w:rPr>
        <w:t>分析报告</w:t>
      </w:r>
    </w:p>
    <w:p>
      <w:pPr>
        <w:pStyle w:val="null3"/>
        <w:ind w:firstLine="400"/>
      </w:pPr>
      <w:r>
        <w:rPr>
          <w:sz w:val="20"/>
        </w:rPr>
        <w:t>季度分析报告于次季度首月</w:t>
      </w:r>
      <w:r>
        <w:rPr>
          <w:sz w:val="20"/>
        </w:rPr>
        <w:t>15日前报送</w:t>
      </w:r>
      <w:r>
        <w:rPr>
          <w:sz w:val="20"/>
        </w:rPr>
        <w:t>甲方</w:t>
      </w:r>
      <w:r>
        <w:rPr>
          <w:sz w:val="20"/>
        </w:rPr>
        <w:t>，年度分析报告于次年</w:t>
      </w:r>
      <w:r>
        <w:rPr>
          <w:sz w:val="20"/>
        </w:rPr>
        <w:t>1月31日前报送</w:t>
      </w:r>
      <w:r>
        <w:rPr>
          <w:sz w:val="20"/>
        </w:rPr>
        <w:t>甲方</w:t>
      </w:r>
      <w:r>
        <w:rPr>
          <w:sz w:val="20"/>
        </w:rPr>
        <w:t>。注：报送季度分析报告、年度分析报告同时报送电子版。</w:t>
      </w:r>
    </w:p>
    <w:p>
      <w:pPr>
        <w:pStyle w:val="null3"/>
        <w:numPr>
          <w:ilvl w:val="0"/>
          <w:numId w:val="1"/>
        </w:numPr>
        <w:jc w:val="both"/>
      </w:pPr>
      <w:r>
        <w:rPr>
          <w:sz w:val="20"/>
        </w:rPr>
        <w:t>监测服务要求</w:t>
      </w:r>
    </w:p>
    <w:p>
      <w:pPr>
        <w:pStyle w:val="null3"/>
        <w:ind w:firstLine="400"/>
        <w:jc w:val="both"/>
      </w:pPr>
      <w:r>
        <w:rPr>
          <w:sz w:val="20"/>
        </w:rPr>
        <w:t>按照《地表水环境质量标准》（</w:t>
      </w:r>
      <w:r>
        <w:rPr>
          <w:sz w:val="20"/>
        </w:rPr>
        <w:t>GB3838-2002），对顺德区开展约</w:t>
      </w:r>
      <w:r>
        <w:rPr>
          <w:sz w:val="20"/>
        </w:rPr>
        <w:t>657</w:t>
      </w:r>
      <w:r>
        <w:rPr>
          <w:sz w:val="20"/>
        </w:rPr>
        <w:t>个水质监测点位进行监测，并出具月度检测报告。检测指标项目为溶解氧</w:t>
      </w:r>
      <w:r>
        <w:rPr>
          <w:sz w:val="20"/>
        </w:rPr>
        <w:t>、</w:t>
      </w:r>
      <w:r>
        <w:rPr>
          <w:sz w:val="20"/>
        </w:rPr>
        <w:t>氨氮、透明度。</w:t>
      </w:r>
    </w:p>
    <w:p>
      <w:pPr>
        <w:pStyle w:val="null3"/>
        <w:ind w:firstLine="400"/>
      </w:pPr>
      <w:r>
        <w:rPr>
          <w:sz w:val="20"/>
        </w:rPr>
        <w:t>1、</w:t>
      </w:r>
      <w:r>
        <w:rPr>
          <w:sz w:val="20"/>
        </w:rPr>
        <w:t>监测任务：</w:t>
      </w:r>
      <w:r>
        <w:rPr>
          <w:sz w:val="20"/>
        </w:rPr>
        <w:t>合同签订之日起两年内</w:t>
      </w:r>
      <w:r>
        <w:rPr>
          <w:sz w:val="20"/>
        </w:rPr>
        <w:t>对</w:t>
      </w:r>
      <w:r>
        <w:rPr>
          <w:sz w:val="20"/>
        </w:rPr>
        <w:t>顺德区范围内</w:t>
      </w:r>
      <w:r>
        <w:rPr>
          <w:sz w:val="20"/>
        </w:rPr>
        <w:t>城乡黑臭水体、农村</w:t>
      </w:r>
      <w:r>
        <w:rPr>
          <w:sz w:val="20"/>
        </w:rPr>
        <w:t>黑臭水体开展采样、水质监测、数据报送，具体要求如下。</w:t>
      </w:r>
    </w:p>
    <w:p>
      <w:pPr>
        <w:pStyle w:val="null3"/>
        <w:ind w:firstLine="400"/>
      </w:pPr>
      <w:r>
        <w:rPr>
          <w:sz w:val="20"/>
        </w:rPr>
        <w:t>（</w:t>
      </w:r>
      <w:r>
        <w:rPr>
          <w:sz w:val="20"/>
        </w:rPr>
        <w:t>1</w:t>
      </w:r>
      <w:r>
        <w:rPr>
          <w:sz w:val="20"/>
        </w:rPr>
        <w:t>）城乡黑臭水体。共</w:t>
      </w:r>
      <w:r>
        <w:rPr>
          <w:sz w:val="20"/>
        </w:rPr>
        <w:t>67</w:t>
      </w:r>
      <w:r>
        <w:rPr>
          <w:sz w:val="20"/>
        </w:rPr>
        <w:t>条，每条设上、中、下游三个断面，共计</w:t>
      </w:r>
      <w:r>
        <w:rPr>
          <w:sz w:val="20"/>
        </w:rPr>
        <w:t>2</w:t>
      </w:r>
      <w:r>
        <w:rPr>
          <w:sz w:val="20"/>
        </w:rPr>
        <w:t>0</w:t>
      </w:r>
      <w:r>
        <w:rPr>
          <w:sz w:val="20"/>
        </w:rPr>
        <w:t>1个监测断面，监测指标为溶解氧、氨氮、透明度，</w:t>
      </w:r>
      <w:r>
        <w:rPr>
          <w:sz w:val="20"/>
        </w:rPr>
        <w:t>每季度</w:t>
      </w:r>
      <w:r>
        <w:rPr>
          <w:sz w:val="20"/>
        </w:rPr>
        <w:t>覆盖监测</w:t>
      </w:r>
      <w:r>
        <w:rPr>
          <w:sz w:val="20"/>
        </w:rPr>
        <w:t>1次。</w:t>
      </w:r>
    </w:p>
    <w:p>
      <w:pPr>
        <w:pStyle w:val="null3"/>
        <w:ind w:firstLine="400"/>
      </w:pPr>
      <w:r>
        <w:rPr>
          <w:sz w:val="20"/>
        </w:rPr>
        <w:t>（</w:t>
      </w:r>
      <w:r>
        <w:rPr>
          <w:sz w:val="20"/>
        </w:rPr>
        <w:t>2</w:t>
      </w:r>
      <w:r>
        <w:rPr>
          <w:sz w:val="20"/>
        </w:rPr>
        <w:t>）农村黑臭水体。共</w:t>
      </w:r>
      <w:r>
        <w:rPr>
          <w:sz w:val="20"/>
        </w:rPr>
        <w:t>1</w:t>
      </w:r>
      <w:r>
        <w:rPr>
          <w:sz w:val="20"/>
        </w:rPr>
        <w:t>52</w:t>
      </w:r>
      <w:r>
        <w:rPr>
          <w:sz w:val="20"/>
        </w:rPr>
        <w:t>条，每条设上、中、下游三个断面，共计</w:t>
      </w:r>
      <w:r>
        <w:rPr>
          <w:sz w:val="20"/>
        </w:rPr>
        <w:t>4</w:t>
      </w:r>
      <w:r>
        <w:rPr>
          <w:sz w:val="20"/>
        </w:rPr>
        <w:t>56</w:t>
      </w:r>
      <w:r>
        <w:rPr>
          <w:sz w:val="20"/>
        </w:rPr>
        <w:t>个监测断面，监测指标为溶解氧、氨氮、透明度，</w:t>
      </w:r>
      <w:r>
        <w:rPr>
          <w:sz w:val="20"/>
        </w:rPr>
        <w:t>每季度</w:t>
      </w:r>
      <w:r>
        <w:rPr>
          <w:sz w:val="20"/>
        </w:rPr>
        <w:t>覆盖监测</w:t>
      </w:r>
      <w:r>
        <w:rPr>
          <w:sz w:val="20"/>
        </w:rPr>
        <w:t>1次。</w:t>
      </w:r>
    </w:p>
    <w:p>
      <w:pPr>
        <w:pStyle w:val="null3"/>
        <w:ind w:firstLine="400"/>
      </w:pPr>
      <w:r>
        <w:rPr>
          <w:sz w:val="20"/>
        </w:rPr>
        <w:t>采样过程中记录实际采样点位经纬度信息，每个点现场采样照片。其中应急监测按需开展。</w:t>
      </w:r>
    </w:p>
    <w:p>
      <w:pPr>
        <w:pStyle w:val="null3"/>
        <w:ind w:firstLine="400"/>
      </w:pPr>
      <w:r>
        <w:rPr>
          <w:sz w:val="20"/>
        </w:rPr>
        <w:t>2、监测项目：</w:t>
      </w:r>
      <w:r>
        <w:rPr>
          <w:sz w:val="20"/>
        </w:rPr>
        <w:t>溶解氧、氨氮、透明度</w:t>
      </w:r>
      <w:r>
        <w:rPr>
          <w:sz w:val="20"/>
        </w:rPr>
        <w:t>。</w:t>
      </w:r>
    </w:p>
    <w:p>
      <w:pPr>
        <w:pStyle w:val="null3"/>
        <w:ind w:firstLine="400"/>
      </w:pPr>
      <w:r>
        <w:rPr>
          <w:sz w:val="20"/>
        </w:rPr>
        <w:t>3、特殊情况:如采样前，遇到气象部门发布台风、暴雨、洪流等极端天气或现场无法采样的紧急情况，</w:t>
      </w:r>
      <w:r>
        <w:rPr>
          <w:sz w:val="20"/>
        </w:rPr>
        <w:t>乙方</w:t>
      </w:r>
      <w:r>
        <w:rPr>
          <w:sz w:val="20"/>
        </w:rPr>
        <w:t>及时与</w:t>
      </w:r>
      <w:r>
        <w:rPr>
          <w:sz w:val="20"/>
        </w:rPr>
        <w:t>甲方</w:t>
      </w:r>
      <w:r>
        <w:rPr>
          <w:sz w:val="20"/>
        </w:rPr>
        <w:t>沟通后，再决定进行接下来的监测工作。</w:t>
      </w:r>
    </w:p>
    <w:p>
      <w:pPr>
        <w:pStyle w:val="null3"/>
        <w:ind w:firstLine="400"/>
      </w:pPr>
      <w:r>
        <w:rPr>
          <w:sz w:val="20"/>
        </w:rPr>
        <w:t>4、留样：分析完成后的留样由</w:t>
      </w:r>
      <w:r>
        <w:rPr>
          <w:sz w:val="20"/>
        </w:rPr>
        <w:t>乙方</w:t>
      </w:r>
      <w:r>
        <w:rPr>
          <w:sz w:val="20"/>
        </w:rPr>
        <w:t>按照相关的技术规范统一保存，并在保存有效期后清理失效样品。</w:t>
      </w:r>
    </w:p>
    <w:p>
      <w:pPr>
        <w:pStyle w:val="null3"/>
        <w:ind w:firstLine="400"/>
      </w:pPr>
      <w:r>
        <w:rPr>
          <w:sz w:val="20"/>
        </w:rPr>
        <w:t>5、</w:t>
      </w:r>
      <w:r>
        <w:rPr>
          <w:sz w:val="20"/>
        </w:rPr>
        <w:t>检测报告</w:t>
      </w:r>
      <w:r>
        <w:rPr>
          <w:sz w:val="20"/>
        </w:rPr>
        <w:t>报送</w:t>
      </w:r>
    </w:p>
    <w:p>
      <w:pPr>
        <w:pStyle w:val="null3"/>
        <w:ind w:firstLine="400"/>
      </w:pPr>
      <w:r>
        <w:rPr>
          <w:sz w:val="20"/>
        </w:rPr>
        <w:t>（</w:t>
      </w:r>
      <w:r>
        <w:rPr>
          <w:sz w:val="20"/>
        </w:rPr>
        <w:t>1）报告编写：所有监测原始数据由分析人员如实填写、复核人员复核，相关质量控制记录由质量管理人员审核后方可进行报告编写。所有</w:t>
      </w:r>
      <w:r>
        <w:rPr>
          <w:sz w:val="20"/>
        </w:rPr>
        <w:t>检测报告</w:t>
      </w:r>
      <w:r>
        <w:rPr>
          <w:sz w:val="20"/>
        </w:rPr>
        <w:t>均应由报告编写人、报告审核人、报告签发人三级审核后，加盖公章后才能对外发送和上报。</w:t>
      </w:r>
    </w:p>
    <w:p>
      <w:pPr>
        <w:pStyle w:val="null3"/>
        <w:ind w:firstLine="400"/>
      </w:pPr>
      <w:r>
        <w:rPr>
          <w:sz w:val="20"/>
        </w:rPr>
        <w:t>（</w:t>
      </w:r>
      <w:r>
        <w:rPr>
          <w:sz w:val="20"/>
        </w:rPr>
        <w:t>2）报告及原始记录：</w:t>
      </w:r>
      <w:r>
        <w:rPr>
          <w:sz w:val="20"/>
        </w:rPr>
        <w:t>乙方</w:t>
      </w:r>
      <w:r>
        <w:rPr>
          <w:sz w:val="20"/>
        </w:rPr>
        <w:t>所出具的正式报告内容应满足《检验检测机构资质认定评审准则》（</w:t>
      </w:r>
      <w:r>
        <w:rPr>
          <w:sz w:val="20"/>
        </w:rPr>
        <w:t>2023年第21号）的要求。按要求保存原始记录，以备</w:t>
      </w:r>
      <w:r>
        <w:rPr>
          <w:sz w:val="20"/>
        </w:rPr>
        <w:t>甲方</w:t>
      </w:r>
      <w:r>
        <w:rPr>
          <w:sz w:val="20"/>
        </w:rPr>
        <w:t>有必要时到实验室抽查。</w:t>
      </w:r>
    </w:p>
    <w:p>
      <w:pPr>
        <w:pStyle w:val="null3"/>
        <w:ind w:firstLine="400"/>
      </w:pPr>
      <w:r>
        <w:rPr>
          <w:sz w:val="20"/>
        </w:rPr>
        <w:t>（</w:t>
      </w:r>
      <w:r>
        <w:rPr>
          <w:sz w:val="20"/>
        </w:rPr>
        <w:t>3）报送时间：</w:t>
      </w:r>
      <w:r>
        <w:rPr>
          <w:sz w:val="20"/>
        </w:rPr>
        <w:t>每月</w:t>
      </w:r>
      <w:r>
        <w:rPr>
          <w:sz w:val="20"/>
        </w:rPr>
        <w:t>10日前完成当月监测采样，</w:t>
      </w:r>
      <w:r>
        <w:rPr>
          <w:sz w:val="20"/>
        </w:rPr>
        <w:t>月度检测结果于当月</w:t>
      </w:r>
      <w:r>
        <w:rPr>
          <w:sz w:val="20"/>
        </w:rPr>
        <w:t>2</w:t>
      </w:r>
      <w:r>
        <w:rPr>
          <w:sz w:val="20"/>
        </w:rPr>
        <w:t>0</w:t>
      </w:r>
      <w:r>
        <w:rPr>
          <w:sz w:val="20"/>
        </w:rPr>
        <w:t>日前按正式报告格式报送</w:t>
      </w:r>
      <w:r>
        <w:rPr>
          <w:sz w:val="20"/>
        </w:rPr>
        <w:t>甲方</w:t>
      </w:r>
      <w:r>
        <w:rPr>
          <w:sz w:val="20"/>
        </w:rPr>
        <w:t>，同时报送电子版。</w:t>
      </w:r>
    </w:p>
    <w:p>
      <w:pPr>
        <w:pStyle w:val="null3"/>
        <w:ind w:firstLine="400"/>
      </w:pPr>
      <w:r>
        <w:rPr>
          <w:sz w:val="20"/>
        </w:rPr>
        <w:t>6、</w:t>
      </w:r>
      <w:r>
        <w:rPr>
          <w:sz w:val="20"/>
        </w:rPr>
        <w:t>检测项目</w:t>
      </w:r>
      <w:r>
        <w:rPr>
          <w:sz w:val="20"/>
        </w:rPr>
        <w:t>采样及分析注意事项：</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检</w:t>
            </w:r>
            <w:r>
              <w:rPr>
                <w:sz w:val="20"/>
              </w:rPr>
              <w:t>测项目</w:t>
            </w:r>
          </w:p>
        </w:tc>
        <w:tc>
          <w:tcPr>
            <w:tcW w:type="dxa" w:w="16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采样容器</w:t>
            </w:r>
          </w:p>
        </w:tc>
        <w:tc>
          <w:tcPr>
            <w:tcW w:type="dxa" w:w="16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保存方法及保存剂用量</w:t>
            </w:r>
          </w:p>
        </w:tc>
        <w:tc>
          <w:tcPr>
            <w:tcW w:type="dxa" w:w="16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留样时间</w:t>
            </w:r>
          </w:p>
        </w:tc>
        <w:tc>
          <w:tcPr>
            <w:tcW w:type="dxa" w:w="166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备注</w:t>
            </w:r>
          </w:p>
        </w:tc>
      </w:tr>
      <w:tr>
        <w:tc>
          <w:tcPr>
            <w:tcW w:type="dxa" w:w="1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溶解氧</w:t>
            </w:r>
          </w:p>
        </w:tc>
        <w:tc>
          <w:tcPr>
            <w:tcW w:type="dxa" w:w="16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溶解氧瓶</w:t>
            </w:r>
          </w:p>
        </w:tc>
        <w:tc>
          <w:tcPr>
            <w:tcW w:type="dxa" w:w="16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加入硫酸锰，碱性</w:t>
            </w:r>
            <w:r>
              <w:rPr>
                <w:sz w:val="20"/>
              </w:rPr>
              <w:t>KI叠氮化钠溶液，现场固定</w:t>
            </w:r>
          </w:p>
        </w:tc>
        <w:tc>
          <w:tcPr>
            <w:tcW w:type="dxa" w:w="16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24h</w:t>
            </w:r>
          </w:p>
        </w:tc>
        <w:tc>
          <w:tcPr>
            <w:tcW w:type="dxa" w:w="16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现场测定</w:t>
            </w:r>
          </w:p>
        </w:tc>
      </w:tr>
      <w:tr>
        <w:tc>
          <w:tcPr>
            <w:tcW w:type="dxa" w:w="1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氨氮</w:t>
            </w:r>
          </w:p>
        </w:tc>
        <w:tc>
          <w:tcPr>
            <w:tcW w:type="dxa" w:w="16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P或G</w:t>
            </w:r>
          </w:p>
        </w:tc>
        <w:tc>
          <w:tcPr>
            <w:tcW w:type="dxa" w:w="16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用</w:t>
            </w:r>
            <w:r>
              <w:rPr>
                <w:sz w:val="20"/>
              </w:rPr>
              <w:t>H2SO4，pH＜2，2～5℃保存</w:t>
            </w:r>
          </w:p>
        </w:tc>
        <w:tc>
          <w:tcPr>
            <w:tcW w:type="dxa" w:w="16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7d</w:t>
            </w:r>
          </w:p>
        </w:tc>
        <w:tc>
          <w:tcPr>
            <w:tcW w:type="dxa" w:w="166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p>
        </w:tc>
      </w:tr>
    </w:tbl>
    <w:p>
      <w:pPr>
        <w:pStyle w:val="null3"/>
        <w:ind w:firstLine="400"/>
        <w:jc w:val="both"/>
      </w:pPr>
      <w:r>
        <w:rPr>
          <w:sz w:val="20"/>
        </w:rPr>
        <w:t>注：</w:t>
      </w:r>
      <w:r>
        <w:rPr>
          <w:sz w:val="20"/>
        </w:rPr>
        <w:t>①G为硬质玻璃瓶；P为聚乙烯瓶(桶)。</w:t>
      </w:r>
    </w:p>
    <w:p>
      <w:pPr>
        <w:pStyle w:val="null3"/>
        <w:ind w:firstLine="400"/>
      </w:pPr>
      <w:r>
        <w:rPr>
          <w:sz w:val="20"/>
        </w:rPr>
        <w:t>②样品保存要与分析方法对应，具体保存方法以最终使用的分析方法为准。</w:t>
      </w:r>
    </w:p>
    <w:p>
      <w:pPr>
        <w:pStyle w:val="null3"/>
        <w:ind w:firstLine="400"/>
      </w:pPr>
      <w:r>
        <w:rPr>
          <w:sz w:val="20"/>
        </w:rPr>
        <w:t>检测项目优先使用以下表格的方法，也可采用其他现行有效的等级方法。采用方法必须通过国家或广东省检验检测机构资质认定。</w:t>
      </w:r>
    </w:p>
    <w:tbl>
      <w:tblPr>
        <w:tblW w:w="0" w:type="auto"/>
        <w:tblBorders>
          <w:top w:val="none" w:color="000000" w:sz="4"/>
          <w:left w:val="none" w:color="000000" w:sz="4"/>
          <w:bottom w:val="none" w:color="000000" w:sz="4"/>
          <w:right w:val="none" w:color="000000" w:sz="4"/>
          <w:insideH w:val="none"/>
          <w:insideV w:val="none"/>
        </w:tblBorders>
      </w:tblPr>
      <w:tblGrid>
        <w:gridCol w:w="1970"/>
        <w:gridCol w:w="4479"/>
        <w:gridCol w:w="1854"/>
      </w:tblGrid>
      <w:tr>
        <w:tc>
          <w:tcPr>
            <w:tcW w:type="dxa" w:w="1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检测项目</w:t>
            </w:r>
          </w:p>
        </w:tc>
        <w:tc>
          <w:tcPr>
            <w:tcW w:type="dxa" w:w="4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检测方法（来源）</w:t>
            </w:r>
          </w:p>
        </w:tc>
        <w:tc>
          <w:tcPr>
            <w:tcW w:type="dxa" w:w="1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检出限</w:t>
            </w:r>
          </w:p>
        </w:tc>
      </w:tr>
      <w:tr>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溶解氧</w:t>
            </w:r>
          </w:p>
        </w:tc>
        <w:tc>
          <w:tcPr>
            <w:tcW w:type="dxa" w:w="4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《水质</w:t>
            </w:r>
            <w:r>
              <w:rPr>
                <w:sz w:val="20"/>
              </w:rPr>
              <w:t>溶解氧的测定</w:t>
            </w:r>
            <w:r>
              <w:rPr>
                <w:sz w:val="20"/>
              </w:rPr>
              <w:t>电化学探头法</w:t>
            </w:r>
            <w:r>
              <w:rPr>
                <w:sz w:val="20"/>
              </w:rPr>
              <w:t>》</w:t>
            </w:r>
            <w:r>
              <w:rPr>
                <w:sz w:val="20"/>
              </w:rPr>
              <w:t>HJ 506-2009</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0.01mg/L</w:t>
            </w:r>
          </w:p>
        </w:tc>
      </w:tr>
      <w:tr>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氨氮</w:t>
            </w:r>
          </w:p>
        </w:tc>
        <w:tc>
          <w:tcPr>
            <w:tcW w:type="dxa" w:w="4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《水质</w:t>
            </w:r>
            <w:r>
              <w:rPr>
                <w:sz w:val="20"/>
              </w:rPr>
              <w:t>氨氮的测定</w:t>
            </w:r>
            <w:r>
              <w:rPr>
                <w:sz w:val="20"/>
              </w:rPr>
              <w:t>纳氏试剂分光光度法》</w:t>
            </w:r>
            <w:r>
              <w:rPr>
                <w:sz w:val="20"/>
              </w:rPr>
              <w:t>HJ 535-2009</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0.025mg/L</w:t>
            </w:r>
          </w:p>
        </w:tc>
      </w:tr>
      <w:tr>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透明度</w:t>
            </w:r>
          </w:p>
        </w:tc>
        <w:tc>
          <w:tcPr>
            <w:tcW w:type="dxa" w:w="4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《水和废水监测分析方法》</w:t>
            </w:r>
            <w:r>
              <w:rPr>
                <w:sz w:val="20"/>
              </w:rPr>
              <w:t>(第四版增补版） 国家环境保护总局 2002年 塞氏盘法（B） 3.1.5（2）</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r>
    </w:tbl>
    <w:p>
      <w:pPr>
        <w:pStyle w:val="null3"/>
        <w:ind w:firstLine="400"/>
      </w:pPr>
      <w:r>
        <w:rPr>
          <w:sz w:val="20"/>
        </w:rPr>
        <w:t>7、质量控制要求</w:t>
      </w:r>
    </w:p>
    <w:p>
      <w:pPr>
        <w:pStyle w:val="null3"/>
        <w:ind w:firstLine="400"/>
      </w:pPr>
      <w:r>
        <w:rPr>
          <w:sz w:val="20"/>
        </w:rPr>
        <w:t>各监测点位质量控制原则上按照《地表水环境质量监测技术规范》（</w:t>
      </w:r>
      <w:r>
        <w:rPr>
          <w:sz w:val="20"/>
        </w:rPr>
        <w:t>HJ/T 91.2- 2022）及《水和废水监测分析方法（第四版）》的有关规定执行。按照上级有关部门要求上报数据，能顺利通过上级有关部门的相关核查，配合</w:t>
      </w:r>
      <w:r>
        <w:rPr>
          <w:sz w:val="20"/>
        </w:rPr>
        <w:t>甲方</w:t>
      </w:r>
      <w:r>
        <w:rPr>
          <w:sz w:val="20"/>
        </w:rPr>
        <w:t>工作需求。</w:t>
      </w:r>
    </w:p>
    <w:p>
      <w:pPr>
        <w:pStyle w:val="null3"/>
        <w:ind w:firstLine="400"/>
      </w:pPr>
      <w:r>
        <w:rPr>
          <w:sz w:val="20"/>
        </w:rPr>
        <w:t>为保证数据质量，采样及样品保存方法符合相关标准要求，现场空白样品固定剂的添加、运输保存、分析与样品同等处理。现场采样随机抽取不少于样品总数</w:t>
      </w:r>
      <w:r>
        <w:rPr>
          <w:sz w:val="20"/>
        </w:rPr>
        <w:t>10%的现场平行双样，对于可测定加标回收率的样品，由分析人员随机抽取10%以上样品进行加标回收率测定。该质量控制内容须在原始记录上体现。</w:t>
      </w:r>
    </w:p>
    <w:p>
      <w:pPr>
        <w:pStyle w:val="null3"/>
        <w:ind w:firstLine="400"/>
      </w:pPr>
      <w:r>
        <w:rPr>
          <w:sz w:val="20"/>
        </w:rPr>
        <w:t>（</w:t>
      </w:r>
      <w:r>
        <w:rPr>
          <w:sz w:val="20"/>
        </w:rPr>
        <w:t>1）校准曲线：原子吸收分光光度法等大型仪器分析方法的校准曲线制作，必须与样品测定的同时进行；其它方法的校准曲线一般要求每个月制作一次，并在每批样品测定之前，对校准曲线进行检验，检验的方法是通过平行测定零点浓度和中点浓度标准溶液各两份，取均值相减后与原校准曲线上的相应点核对，其相对差值根据方法的精密度不得大于5%～10%，否则应重新绘制校准曲线；校准曲线系列的浓度值应较均匀分布，系列点不少于6个（包括零浓度）。截距和斜率应符合标准方法中规定的要求，相关系数(r)一般要求≥0.999。</w:t>
      </w:r>
    </w:p>
    <w:p>
      <w:pPr>
        <w:pStyle w:val="null3"/>
        <w:ind w:firstLine="400"/>
      </w:pPr>
      <w:r>
        <w:rPr>
          <w:sz w:val="20"/>
        </w:rPr>
        <w:t>（</w:t>
      </w:r>
      <w:r>
        <w:rPr>
          <w:sz w:val="20"/>
        </w:rPr>
        <w:t>2）室内空白：在进行室内分析时，应同步进行室内空白实验，在利用原有校准曲线进行样品测定时，每批样品应进行两份空白平行试验，平行双份测定值的相对差值不得大于50%。</w:t>
      </w:r>
    </w:p>
    <w:p>
      <w:pPr>
        <w:pStyle w:val="null3"/>
        <w:ind w:firstLine="400"/>
      </w:pPr>
      <w:r>
        <w:rPr>
          <w:sz w:val="20"/>
        </w:rPr>
        <w:t>（</w:t>
      </w:r>
      <w:r>
        <w:rPr>
          <w:sz w:val="20"/>
        </w:rPr>
        <w:t>3）现场空白：每批样品应抽取总数的10%样品进行现场空白试验。</w:t>
      </w:r>
    </w:p>
    <w:p>
      <w:pPr>
        <w:pStyle w:val="null3"/>
        <w:ind w:firstLine="400"/>
      </w:pPr>
      <w:r>
        <w:rPr>
          <w:sz w:val="20"/>
        </w:rPr>
        <w:t>（</w:t>
      </w:r>
      <w:r>
        <w:rPr>
          <w:sz w:val="20"/>
        </w:rPr>
        <w:t>4）现场平行与室内平行：对于氨氮能做平行双样的分析项目，每批次须采集不少于样品总数10%的现场平行双样，当批次样品量小于10个时至少采集1个现场平行双样，平行双样测定值的相对差值不得大于标准方法的要求。</w:t>
      </w:r>
    </w:p>
    <w:p>
      <w:pPr>
        <w:pStyle w:val="null3"/>
        <w:ind w:firstLine="400"/>
      </w:pPr>
      <w:r>
        <w:rPr>
          <w:sz w:val="20"/>
        </w:rPr>
        <w:t>（</w:t>
      </w:r>
      <w:r>
        <w:rPr>
          <w:sz w:val="20"/>
        </w:rPr>
        <w:t>5）加标回收或标样：在进行监测的同时，对于可以进行加标回收试验的分析项目应进行不少于样品总数10%的加标回收分析，加标量一般为待测组分浓度的0.5～2倍，但加标后的总浓度不应超过方法的测定上限浓度值，测得的绝对误差和回收率应符合方法规定的要求。（注：</w:t>
      </w:r>
      <w:r>
        <w:rPr>
          <w:sz w:val="20"/>
        </w:rPr>
        <w:t>甲方</w:t>
      </w:r>
      <w:r>
        <w:rPr>
          <w:sz w:val="20"/>
        </w:rPr>
        <w:t>会不定期对成交</w:t>
      </w:r>
      <w:r>
        <w:rPr>
          <w:sz w:val="20"/>
        </w:rPr>
        <w:t>乙方</w:t>
      </w:r>
      <w:r>
        <w:rPr>
          <w:sz w:val="20"/>
        </w:rPr>
        <w:t>进行质控抽查和原始记录抽查。）</w:t>
      </w:r>
    </w:p>
    <w:p>
      <w:pPr>
        <w:pStyle w:val="null3"/>
        <w:ind w:firstLine="400"/>
        <w:jc w:val="both"/>
      </w:pPr>
      <w:r>
        <w:rPr>
          <w:sz w:val="20"/>
        </w:rPr>
        <w:t>（</w:t>
      </w:r>
      <w:r>
        <w:rPr>
          <w:sz w:val="20"/>
        </w:rPr>
        <w:t>6）人员配备</w:t>
      </w:r>
    </w:p>
    <w:p>
      <w:pPr>
        <w:pStyle w:val="null3"/>
        <w:ind w:firstLine="400"/>
      </w:pPr>
      <w:r>
        <w:rPr>
          <w:sz w:val="20"/>
        </w:rPr>
        <w:t>乙方</w:t>
      </w:r>
      <w:r>
        <w:rPr>
          <w:sz w:val="20"/>
        </w:rPr>
        <w:t>各岗位工作人员</w:t>
      </w:r>
      <w:r>
        <w:rPr>
          <w:sz w:val="20"/>
        </w:rPr>
        <w:t>(至少包含项目总负责人、技术负责人、服务人员)</w:t>
      </w:r>
      <w:r>
        <w:rPr>
          <w:sz w:val="20"/>
        </w:rPr>
        <w:t>均经过严格的专业培训，持证上岗，具备扎实的环境监测、分析化学基础理论和专业知识；正确熟练掌握地表水监测操作技术和质量控制程序；熟知有关环境监测管理的法规、标准和规定；了解国内外地下水监测新技术，新方法。熟悉顺德区内河涌基本情况。具有极高的工作效率，能够在短时间内高质量的完成检测任务。</w:t>
      </w:r>
      <w:r>
        <w:rPr>
          <w:sz w:val="20"/>
        </w:rPr>
        <w:t>乙方</w:t>
      </w:r>
      <w:r>
        <w:rPr>
          <w:sz w:val="20"/>
        </w:rPr>
        <w:t>必须保证监测工作过程中</w:t>
      </w:r>
      <w:r>
        <w:rPr>
          <w:sz w:val="20"/>
        </w:rPr>
        <w:t>相关</w:t>
      </w:r>
      <w:r>
        <w:rPr>
          <w:sz w:val="20"/>
        </w:rPr>
        <w:t>工作人员</w:t>
      </w:r>
      <w:r>
        <w:rPr>
          <w:sz w:val="20"/>
        </w:rPr>
        <w:t>的稳定性，能全程跟进和落实环境监测专项工作。如无特殊原因原则上不能中途变更人员，确需变更人员的需经</w:t>
      </w:r>
      <w:r>
        <w:rPr>
          <w:sz w:val="20"/>
        </w:rPr>
        <w:t>甲方</w:t>
      </w:r>
      <w:r>
        <w:rPr>
          <w:sz w:val="20"/>
        </w:rPr>
        <w:t>书面同意。人员离开后，需在</w:t>
      </w:r>
      <w:r>
        <w:rPr>
          <w:sz w:val="20"/>
        </w:rPr>
        <w:t>7天内作出补充，代替人员资历和经验均不低于被更换人员。</w:t>
      </w:r>
    </w:p>
    <w:p>
      <w:pPr>
        <w:pStyle w:val="null3"/>
        <w:ind w:firstLine="400"/>
        <w:jc w:val="both"/>
      </w:pPr>
      <w:r>
        <w:rPr>
          <w:sz w:val="20"/>
        </w:rPr>
        <w:t>①</w:t>
      </w:r>
      <w:r>
        <w:rPr>
          <w:sz w:val="20"/>
        </w:rPr>
        <w:t>采样队伍：</w:t>
      </w:r>
      <w:r>
        <w:rPr>
          <w:sz w:val="20"/>
        </w:rPr>
        <w:t>乙方</w:t>
      </w:r>
      <w:r>
        <w:rPr>
          <w:sz w:val="20"/>
        </w:rPr>
        <w:t>应配有专业采样车（带冷藏设施），可以在运输途中很好的保存样品。对需要进行温度控制的样品，能够在冷冻或冷藏条件下保存和运输，保证样品在运输途中不变质、挥发、分解和发生变化。配合采样的人员能够很好的配合执行制定好的水质采样方案，做好完整的水样采样记录。</w:t>
      </w:r>
      <w:r>
        <w:rPr>
          <w:sz w:val="20"/>
        </w:rPr>
        <w:t>乙方</w:t>
      </w:r>
      <w:r>
        <w:rPr>
          <w:sz w:val="20"/>
        </w:rPr>
        <w:t>提供采样时用到的样品瓶、保温箱和固定试剂。</w:t>
      </w:r>
    </w:p>
    <w:p>
      <w:pPr>
        <w:pStyle w:val="null3"/>
        <w:ind w:firstLine="400"/>
        <w:jc w:val="both"/>
      </w:pPr>
      <w:r>
        <w:rPr>
          <w:sz w:val="20"/>
        </w:rPr>
        <w:t>②</w:t>
      </w:r>
      <w:r>
        <w:rPr>
          <w:sz w:val="20"/>
        </w:rPr>
        <w:t>接样人员：样品接收人员能够依据相应的管理程序和作业指导书，认真核对样品，并对样品进行登记和加贴唯一性标识，保证不同检测状态和传递过程中样品不被混淆。</w:t>
      </w:r>
    </w:p>
    <w:p>
      <w:pPr>
        <w:pStyle w:val="null3"/>
        <w:ind w:firstLine="400"/>
        <w:jc w:val="both"/>
      </w:pPr>
      <w:r>
        <w:rPr>
          <w:sz w:val="20"/>
        </w:rPr>
        <w:t>③</w:t>
      </w:r>
      <w:r>
        <w:rPr>
          <w:sz w:val="20"/>
        </w:rPr>
        <w:t>样品管理人员：样品管理人员具有丰富的样品保管知识与经验，可以对样品进行分类保存。拥有专业的样品保存室，包括常温样品保存室、</w:t>
      </w:r>
      <w:r>
        <w:rPr>
          <w:sz w:val="20"/>
        </w:rPr>
        <w:t>0-4℃样品保存室，可以很好的保存不同种类的样品。</w:t>
      </w:r>
    </w:p>
    <w:p>
      <w:pPr>
        <w:pStyle w:val="null3"/>
        <w:ind w:firstLine="400"/>
        <w:jc w:val="both"/>
      </w:pPr>
      <w:r>
        <w:rPr>
          <w:sz w:val="20"/>
        </w:rPr>
        <w:t>④</w:t>
      </w:r>
      <w:r>
        <w:rPr>
          <w:sz w:val="20"/>
        </w:rPr>
        <w:t>实验员：检验人员均经过严格的培训、考试合格后上岗。检验人员在检测过程中能够严格按照质量手册和程序文件中相关规定进行实验过程中的质量控制，样品优先交由参加过能力验证、实验室间比对活动实验员分析。</w:t>
      </w:r>
    </w:p>
    <w:p>
      <w:pPr>
        <w:pStyle w:val="null3"/>
        <w:ind w:firstLine="400"/>
        <w:jc w:val="both"/>
      </w:pPr>
      <w:r>
        <w:rPr>
          <w:sz w:val="20"/>
        </w:rPr>
        <w:t>⑤</w:t>
      </w:r>
      <w:r>
        <w:rPr>
          <w:sz w:val="20"/>
        </w:rPr>
        <w:t>报告编制人员：报告编制人员有三年以上环境检测报告编辑经验，熟知有关环境</w:t>
      </w:r>
      <w:r>
        <w:rPr>
          <w:sz w:val="20"/>
        </w:rPr>
        <w:t>监测</w:t>
      </w:r>
      <w:r>
        <w:rPr>
          <w:sz w:val="20"/>
        </w:rPr>
        <w:t>的标准和规定，能够准确的对各项检测指标进行判定。</w:t>
      </w:r>
    </w:p>
    <w:p>
      <w:pPr>
        <w:pStyle w:val="null3"/>
        <w:ind w:firstLine="400"/>
        <w:jc w:val="both"/>
      </w:pPr>
      <w:r>
        <w:rPr>
          <w:sz w:val="20"/>
        </w:rPr>
        <w:t>⑥</w:t>
      </w:r>
      <w:r>
        <w:rPr>
          <w:sz w:val="20"/>
        </w:rPr>
        <w:t>报告签字人：报告审核和签发人员须持有监测人员上岗证，通过报告审核和签发的相关培训和考核，并具备中级技术职称，了解实验室管理体制和质量控制要求。</w:t>
      </w:r>
    </w:p>
    <w:p>
      <w:pPr>
        <w:pStyle w:val="null3"/>
        <w:ind w:firstLine="400"/>
        <w:jc w:val="both"/>
      </w:pPr>
      <w:r>
        <w:rPr>
          <w:sz w:val="20"/>
        </w:rPr>
        <w:t>（</w:t>
      </w:r>
      <w:r>
        <w:rPr>
          <w:sz w:val="20"/>
        </w:rPr>
        <w:t>7）检验报告</w:t>
      </w:r>
    </w:p>
    <w:p>
      <w:pPr>
        <w:pStyle w:val="null3"/>
        <w:ind w:firstLine="400"/>
        <w:jc w:val="both"/>
      </w:pPr>
      <w:r>
        <w:rPr>
          <w:sz w:val="20"/>
        </w:rPr>
        <w:t>检验报告执行三级审核制度。第一级主要校对原始记录的完整性和规范性，仪器设备、分析方法的适用性和有效性，测试数据和计算结果的准确性。第二级主要校核检验报告和原始记录的一致性，报告内容的完整性、数据的准确性。第三级审核检验报告是否经过了校核，报告内容的完整性、符合性，检验结果的合理性。</w:t>
      </w:r>
    </w:p>
    <w:p>
      <w:pPr>
        <w:pStyle w:val="null3"/>
        <w:ind w:firstLine="400"/>
        <w:jc w:val="both"/>
      </w:pPr>
      <w:r>
        <w:rPr>
          <w:sz w:val="20"/>
        </w:rPr>
        <w:t>检验报告中检验项目浓度含量以</w:t>
      </w:r>
      <w:r>
        <w:rPr>
          <w:sz w:val="20"/>
        </w:rPr>
        <w:t>mg/L表示，浓度较低时，则以μg/L表示；平行双样测定结果在允许偏差范围之内时，则用其平均值表示测定结果；低于方法检出限时，报告中以小于方法检出限的形式表示；检验报告中注明质量监控结果。</w:t>
      </w:r>
    </w:p>
    <w:p>
      <w:pPr>
        <w:pStyle w:val="null3"/>
        <w:ind w:firstLine="400"/>
        <w:jc w:val="both"/>
      </w:pPr>
      <w:r>
        <w:rPr>
          <w:sz w:val="20"/>
        </w:rPr>
        <w:t>（</w:t>
      </w:r>
      <w:r>
        <w:rPr>
          <w:sz w:val="20"/>
        </w:rPr>
        <w:t>8）</w:t>
      </w:r>
      <w:r>
        <w:rPr>
          <w:sz w:val="20"/>
        </w:rPr>
        <w:t>乙方</w:t>
      </w:r>
      <w:r>
        <w:rPr>
          <w:sz w:val="20"/>
        </w:rPr>
        <w:t>建立月报制度，定期向</w:t>
      </w:r>
      <w:r>
        <w:rPr>
          <w:sz w:val="20"/>
        </w:rPr>
        <w:t>甲方</w:t>
      </w:r>
      <w:r>
        <w:rPr>
          <w:sz w:val="20"/>
        </w:rPr>
        <w:t>汇报，并接受</w:t>
      </w:r>
      <w:r>
        <w:rPr>
          <w:sz w:val="20"/>
        </w:rPr>
        <w:t>甲方</w:t>
      </w:r>
      <w:r>
        <w:rPr>
          <w:sz w:val="20"/>
        </w:rPr>
        <w:t>的工作指导要求。</w:t>
      </w:r>
    </w:p>
    <w:p>
      <w:pPr>
        <w:pStyle w:val="null3"/>
        <w:ind w:firstLine="400"/>
      </w:pPr>
      <w:r>
        <w:rPr>
          <w:sz w:val="20"/>
        </w:rPr>
        <w:t>（</w:t>
      </w:r>
      <w:r>
        <w:rPr>
          <w:sz w:val="20"/>
        </w:rPr>
        <w:t>9）</w:t>
      </w:r>
      <w:r>
        <w:rPr>
          <w:sz w:val="20"/>
        </w:rPr>
        <w:t>乙方</w:t>
      </w:r>
      <w:r>
        <w:rPr>
          <w:sz w:val="20"/>
        </w:rPr>
        <w:t>具有针对服务中断的特别应急机制及方案，经</w:t>
      </w:r>
      <w:r>
        <w:rPr>
          <w:sz w:val="20"/>
        </w:rPr>
        <w:t>甲方</w:t>
      </w:r>
      <w:r>
        <w:rPr>
          <w:sz w:val="20"/>
        </w:rPr>
        <w:t>确认后，双方保存备案。</w:t>
      </w:r>
    </w:p>
    <w:p>
      <w:pPr>
        <w:pStyle w:val="null3"/>
        <w:ind w:firstLine="400"/>
        <w:jc w:val="both"/>
      </w:pPr>
      <w:r>
        <w:rPr>
          <w:sz w:val="20"/>
        </w:rPr>
        <w:t>（</w:t>
      </w:r>
      <w:r>
        <w:rPr>
          <w:sz w:val="20"/>
        </w:rPr>
        <w:t>10）</w:t>
      </w:r>
      <w:r>
        <w:rPr>
          <w:sz w:val="20"/>
        </w:rPr>
        <w:t>乙方</w:t>
      </w:r>
      <w:r>
        <w:rPr>
          <w:sz w:val="20"/>
        </w:rPr>
        <w:t>在</w:t>
      </w:r>
      <w:r>
        <w:rPr>
          <w:sz w:val="20"/>
        </w:rPr>
        <w:t>甲方</w:t>
      </w:r>
      <w:r>
        <w:rPr>
          <w:sz w:val="20"/>
        </w:rPr>
        <w:t>的指导下开展工作，并无条件接受</w:t>
      </w:r>
      <w:r>
        <w:rPr>
          <w:sz w:val="20"/>
        </w:rPr>
        <w:t>甲方</w:t>
      </w:r>
      <w:r>
        <w:rPr>
          <w:sz w:val="20"/>
        </w:rPr>
        <w:t>的监督和检查，严格对内河涌监测相关数据进行保密，不得做其它用途</w:t>
      </w:r>
      <w:r>
        <w:rPr>
          <w:sz w:val="20"/>
          <w:color w:val="000000"/>
        </w:rPr>
        <w:t>。</w:t>
      </w:r>
    </w:p>
    <w:p>
      <w:pPr>
        <w:pStyle w:val="null3"/>
        <w:numPr>
          <w:ilvl w:val="0"/>
          <w:numId w:val="1"/>
        </w:numPr>
      </w:pPr>
      <w:r>
        <w:rPr>
          <w:sz w:val="20"/>
          <w:b/>
          <w:color w:val="000000"/>
        </w:rPr>
        <w:t>产品及服务供应清单：</w:t>
      </w:r>
      <w:r>
        <w:rPr>
          <w:sz w:val="20"/>
          <w:color w:val="000000"/>
        </w:rPr>
        <w:t>见附件一</w:t>
      </w:r>
      <w:r>
        <w:rPr>
          <w:sz w:val="20"/>
          <w:color w:val="000000"/>
        </w:rPr>
        <w:t>《报价清单明细表》。</w:t>
      </w:r>
    </w:p>
    <w:p>
      <w:pPr>
        <w:pStyle w:val="null3"/>
        <w:numPr>
          <w:ilvl w:val="0"/>
          <w:numId w:val="1"/>
        </w:numPr>
      </w:pPr>
      <w:r>
        <w:rPr>
          <w:sz w:val="20"/>
          <w:b/>
          <w:color w:val="000000"/>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7"/>
        <w:gridCol w:w="1433"/>
        <w:gridCol w:w="6191"/>
      </w:tblGrid>
      <w:tr>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合同条款</w:t>
            </w:r>
          </w:p>
        </w:tc>
        <w:tc>
          <w:tcPr>
            <w:tcW w:type="dxa" w:w="6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内</w:t>
            </w:r>
            <w:r>
              <w:rPr>
                <w:sz w:val="20"/>
                <w:b/>
                <w:color w:val="000000"/>
              </w:rPr>
              <w:t xml:space="preserve">  </w:t>
            </w:r>
            <w:r>
              <w:rPr>
                <w:sz w:val="20"/>
                <w:b/>
                <w:color w:val="000000"/>
              </w:rPr>
              <w:t>容</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合同总额</w:t>
            </w:r>
          </w:p>
        </w:tc>
        <w:tc>
          <w:tcPr>
            <w:tcW w:type="dxa" w:w="6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人民币</w:t>
            </w:r>
            <w:r>
              <w:rPr>
                <w:sz w:val="20"/>
                <w:color w:val="000000"/>
              </w:rPr>
              <w:t xml:space="preserve">  </w:t>
            </w:r>
            <w:r>
              <w:rPr>
                <w:sz w:val="20"/>
                <w:color w:val="000000"/>
              </w:rPr>
              <w:t>小写：</w:t>
            </w:r>
            <w:r>
              <w:rPr>
                <w:sz w:val="20"/>
                <w:color w:val="000000"/>
                <w:u w:val="single"/>
              </w:rPr>
              <w:t xml:space="preserve"> </w:t>
            </w:r>
            <w:r>
              <w:rPr>
                <w:sz w:val="20"/>
                <w:color w:val="000000"/>
                <w:u w:val="single"/>
              </w:rPr>
              <w:t>￥元</w:t>
            </w:r>
            <w:r>
              <w:rPr>
                <w:sz w:val="20"/>
                <w:color w:val="000000"/>
              </w:rPr>
              <w:t>；</w:t>
            </w:r>
          </w:p>
          <w:p>
            <w:pPr>
              <w:pStyle w:val="null3"/>
            </w:pPr>
            <w:r>
              <w:rPr>
                <w:sz w:val="20"/>
                <w:color w:val="000000"/>
              </w:rPr>
              <w:t>大写：</w:t>
            </w:r>
            <w:r>
              <w:rPr>
                <w:sz w:val="20"/>
                <w:color w:val="000000"/>
                <w:u w:val="single"/>
              </w:rPr>
              <w:t xml:space="preserve">  </w:t>
            </w:r>
            <w:r>
              <w:rPr>
                <w:sz w:val="20"/>
                <w:color w:val="000000"/>
                <w:u w:val="single"/>
              </w:rPr>
              <w:t>人民币</w:t>
            </w:r>
            <w:r>
              <w:rPr>
                <w:sz w:val="20"/>
                <w:color w:val="000000"/>
                <w:u w:val="single"/>
              </w:rPr>
              <w:t>整</w:t>
            </w:r>
            <w:r>
              <w:rPr>
                <w:sz w:val="19"/>
                <w:u w:val="single"/>
              </w:rPr>
              <w:t xml:space="preserve"> </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合同总额内容</w:t>
            </w:r>
          </w:p>
        </w:tc>
        <w:tc>
          <w:tcPr>
            <w:tcW w:type="dxa" w:w="6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该费用包括项目开展费用、税费以及其他不可预见费用等全部费用</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项目服务地点</w:t>
            </w:r>
          </w:p>
        </w:tc>
        <w:tc>
          <w:tcPr>
            <w:tcW w:type="dxa" w:w="6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甲方（用户）指定地点。详细地址为：佛山市顺德区</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服务期</w:t>
            </w:r>
          </w:p>
        </w:tc>
        <w:tc>
          <w:tcPr>
            <w:tcW w:type="dxa" w:w="6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自合同签订之日起</w:t>
            </w:r>
            <w:r>
              <w:rPr>
                <w:sz w:val="20"/>
                <w:color w:val="000000"/>
              </w:rPr>
              <w:t>两年内</w:t>
            </w:r>
            <w:r>
              <w:rPr>
                <w:sz w:val="20"/>
                <w:color w:val="000000"/>
              </w:rPr>
              <w:t>。（如因法定不可抗力原因导致项目整体服务期限需要顺延的，以经双方确认的法定不可抗力事由为准）。</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合同签订方式及情况</w:t>
            </w:r>
          </w:p>
        </w:tc>
        <w:tc>
          <w:tcPr>
            <w:tcW w:type="dxa" w:w="6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  一次性签订本项目采购合同。</w:t>
            </w:r>
          </w:p>
          <w:p>
            <w:pPr>
              <w:pStyle w:val="null3"/>
              <w:numPr>
                <w:ilvl w:val="0"/>
                <w:numId w:val="1"/>
              </w:numPr>
            </w:pPr>
            <w:r>
              <w:rPr>
                <w:sz w:val="20"/>
                <w:color w:val="000000"/>
              </w:rPr>
              <w:t>本项目分</w:t>
            </w:r>
            <w:r>
              <w:rPr>
                <w:sz w:val="19"/>
                <w:u w:val="single"/>
              </w:rPr>
              <w:t xml:space="preserve">   </w:t>
            </w:r>
            <w:r>
              <w:rPr>
                <w:sz w:val="20"/>
                <w:color w:val="000000"/>
              </w:rPr>
              <w:t>次签订合同，</w:t>
            </w:r>
            <w:r>
              <w:rPr>
                <w:sz w:val="20"/>
                <w:color w:val="000000"/>
              </w:rPr>
              <w:t>每次合同服务期为一年。本次情况如下：</w:t>
            </w:r>
          </w:p>
          <w:p>
            <w:pPr>
              <w:pStyle w:val="null3"/>
            </w:pPr>
            <w:r>
              <w:rPr>
                <w:sz w:val="20"/>
                <w:color w:val="000000"/>
              </w:rPr>
              <w:t>（</w:t>
            </w:r>
            <w:r>
              <w:rPr>
                <w:sz w:val="20"/>
                <w:color w:val="000000"/>
              </w:rPr>
              <w:t>1）本次签订为第</w:t>
            </w:r>
            <w:r>
              <w:rPr>
                <w:sz w:val="19"/>
                <w:u w:val="single"/>
              </w:rPr>
              <w:t xml:space="preserve">   </w:t>
            </w:r>
            <w:r>
              <w:rPr>
                <w:sz w:val="20"/>
                <w:color w:val="000000"/>
              </w:rPr>
              <w:t>次；</w:t>
            </w:r>
          </w:p>
          <w:p>
            <w:pPr>
              <w:pStyle w:val="null3"/>
            </w:pPr>
            <w:r>
              <w:rPr>
                <w:sz w:val="20"/>
                <w:color w:val="000000"/>
              </w:rPr>
              <w:t>（</w:t>
            </w:r>
            <w:r>
              <w:rPr>
                <w:sz w:val="20"/>
                <w:color w:val="000000"/>
              </w:rPr>
              <w:t>2）本次合同金额为（大写）：</w:t>
            </w:r>
            <w:r>
              <w:rPr>
                <w:sz w:val="19"/>
                <w:u w:val="single"/>
              </w:rPr>
              <w:t xml:space="preserve">       </w:t>
            </w:r>
            <w:r>
              <w:rPr>
                <w:sz w:val="20"/>
                <w:color w:val="000000"/>
              </w:rPr>
              <w:t>元，</w:t>
            </w:r>
            <w:r>
              <w:rPr>
                <w:sz w:val="20"/>
                <w:color w:val="000000"/>
                <w:u w:val="single"/>
              </w:rPr>
              <w:t>（￥</w:t>
            </w:r>
            <w:r>
              <w:rPr>
                <w:sz w:val="20"/>
                <w:color w:val="000000"/>
                <w:u w:val="single"/>
              </w:rPr>
              <w:t xml:space="preserve">        </w:t>
            </w:r>
            <w:r>
              <w:rPr>
                <w:sz w:val="20"/>
                <w:color w:val="000000"/>
                <w:u w:val="single"/>
              </w:rPr>
              <w:t>元）；</w:t>
            </w:r>
          </w:p>
          <w:p>
            <w:pPr>
              <w:pStyle w:val="null3"/>
            </w:pPr>
            <w:r>
              <w:rPr>
                <w:sz w:val="20"/>
                <w:color w:val="000000"/>
              </w:rPr>
              <w:t>（</w:t>
            </w:r>
            <w:r>
              <w:rPr>
                <w:sz w:val="20"/>
                <w:color w:val="000000"/>
              </w:rPr>
              <w:t>3）本次服务期起止时间：</w:t>
            </w:r>
            <w:r>
              <w:rPr>
                <w:sz w:val="19"/>
                <w:u w:val="single"/>
              </w:rPr>
              <w:t xml:space="preserve">   </w:t>
            </w:r>
            <w:r>
              <w:rPr>
                <w:sz w:val="20"/>
                <w:color w:val="000000"/>
              </w:rPr>
              <w:t>年</w:t>
            </w:r>
            <w:r>
              <w:rPr>
                <w:sz w:val="19"/>
                <w:u w:val="single"/>
              </w:rPr>
              <w:t xml:space="preserve">   </w:t>
            </w:r>
            <w:r>
              <w:rPr>
                <w:sz w:val="20"/>
                <w:color w:val="000000"/>
              </w:rPr>
              <w:t>月</w:t>
            </w:r>
            <w:r>
              <w:rPr>
                <w:sz w:val="19"/>
                <w:u w:val="single"/>
              </w:rPr>
              <w:t xml:space="preserve">   </w:t>
            </w:r>
            <w:r>
              <w:rPr>
                <w:sz w:val="20"/>
                <w:color w:val="000000"/>
              </w:rPr>
              <w:t>日至</w:t>
            </w:r>
            <w:r>
              <w:rPr>
                <w:sz w:val="19"/>
                <w:u w:val="single"/>
              </w:rPr>
              <w:t xml:space="preserve">    </w:t>
            </w:r>
            <w:r>
              <w:rPr>
                <w:sz w:val="20"/>
                <w:color w:val="000000"/>
              </w:rPr>
              <w:t>年</w:t>
            </w:r>
            <w:r>
              <w:rPr>
                <w:sz w:val="19"/>
                <w:u w:val="single"/>
              </w:rPr>
              <w:t xml:space="preserve">  </w:t>
            </w:r>
            <w:r>
              <w:rPr>
                <w:sz w:val="20"/>
                <w:color w:val="000000"/>
              </w:rPr>
              <w:t>月</w:t>
            </w:r>
            <w:r>
              <w:rPr>
                <w:sz w:val="19"/>
                <w:u w:val="single"/>
              </w:rPr>
              <w:t xml:space="preserve">  </w:t>
            </w:r>
            <w:r>
              <w:rPr>
                <w:sz w:val="20"/>
                <w:color w:val="000000"/>
              </w:rPr>
              <w:t>日</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付款方式</w:t>
            </w:r>
          </w:p>
        </w:tc>
        <w:tc>
          <w:tcPr>
            <w:tcW w:type="dxa" w:w="6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w:t>
            </w:r>
            <w:r>
              <w:rPr>
                <w:sz w:val="19"/>
              </w:rPr>
              <w:t>1</w:t>
            </w:r>
            <w:r>
              <w:rPr>
                <w:sz w:val="19"/>
              </w:rPr>
              <w:t>）</w:t>
            </w:r>
            <w:r>
              <w:rPr>
                <w:sz w:val="19"/>
              </w:rPr>
              <w:t>1</w:t>
            </w:r>
            <w:r>
              <w:rPr>
                <w:sz w:val="19"/>
              </w:rPr>
              <w:t>期：支付比例</w:t>
            </w:r>
            <w:r>
              <w:rPr>
                <w:sz w:val="19"/>
              </w:rPr>
              <w:t>50</w:t>
            </w:r>
            <w:r>
              <w:rPr>
                <w:sz w:val="19"/>
              </w:rPr>
              <w:t>%,</w:t>
            </w:r>
            <w:r>
              <w:rPr>
                <w:sz w:val="19"/>
              </w:rPr>
              <w:t>合同签订生效后，</w:t>
            </w:r>
            <w:r>
              <w:rPr>
                <w:sz w:val="19"/>
              </w:rPr>
              <w:t>甲方</w:t>
            </w:r>
            <w:r>
              <w:rPr>
                <w:sz w:val="19"/>
              </w:rPr>
              <w:t>在收到</w:t>
            </w:r>
            <w:r>
              <w:rPr>
                <w:sz w:val="19"/>
              </w:rPr>
              <w:t>乙方</w:t>
            </w:r>
            <w:r>
              <w:rPr>
                <w:sz w:val="19"/>
              </w:rPr>
              <w:t>提供的正式发票后</w:t>
            </w:r>
            <w:r>
              <w:rPr>
                <w:sz w:val="19"/>
              </w:rPr>
              <w:t>10</w:t>
            </w:r>
            <w:r>
              <w:rPr>
                <w:sz w:val="19"/>
              </w:rPr>
              <w:t>个工作日内</w:t>
            </w:r>
            <w:r>
              <w:rPr>
                <w:sz w:val="19"/>
              </w:rPr>
              <w:t>向</w:t>
            </w:r>
            <w:r>
              <w:rPr>
                <w:sz w:val="19"/>
              </w:rPr>
              <w:t>乙方</w:t>
            </w:r>
            <w:r>
              <w:rPr>
                <w:sz w:val="19"/>
              </w:rPr>
              <w:t>支付合同总额</w:t>
            </w:r>
            <w:r>
              <w:rPr>
                <w:sz w:val="19"/>
              </w:rPr>
              <w:t>的</w:t>
            </w:r>
            <w:r>
              <w:rPr>
                <w:sz w:val="19"/>
              </w:rPr>
              <w:t>50%</w:t>
            </w:r>
            <w:r>
              <w:rPr>
                <w:sz w:val="19"/>
              </w:rPr>
              <w:t>；</w:t>
            </w:r>
          </w:p>
          <w:p>
            <w:pPr>
              <w:pStyle w:val="null3"/>
            </w:pPr>
            <w:r>
              <w:rPr>
                <w:sz w:val="19"/>
              </w:rPr>
              <w:t>（</w:t>
            </w:r>
            <w:r>
              <w:rPr>
                <w:sz w:val="19"/>
              </w:rPr>
              <w:t>2</w:t>
            </w:r>
            <w:r>
              <w:rPr>
                <w:sz w:val="19"/>
              </w:rPr>
              <w:t>）</w:t>
            </w:r>
            <w:r>
              <w:rPr>
                <w:sz w:val="19"/>
              </w:rPr>
              <w:t>2</w:t>
            </w:r>
            <w:r>
              <w:rPr>
                <w:sz w:val="19"/>
              </w:rPr>
              <w:t>期：支付比例</w:t>
            </w:r>
            <w:r>
              <w:rPr>
                <w:sz w:val="19"/>
              </w:rPr>
              <w:t>25</w:t>
            </w:r>
            <w:r>
              <w:rPr>
                <w:sz w:val="19"/>
              </w:rPr>
              <w:t>%,</w:t>
            </w:r>
            <w:r>
              <w:rPr>
                <w:sz w:val="19"/>
              </w:rPr>
              <w:t>乙方</w:t>
            </w:r>
            <w:r>
              <w:rPr>
                <w:sz w:val="19"/>
              </w:rPr>
              <w:t>向</w:t>
            </w:r>
            <w:r>
              <w:rPr>
                <w:sz w:val="19"/>
              </w:rPr>
              <w:t>甲方</w:t>
            </w:r>
            <w:r>
              <w:rPr>
                <w:sz w:val="19"/>
              </w:rPr>
              <w:t>提交</w:t>
            </w:r>
            <w:r>
              <w:rPr>
                <w:sz w:val="19"/>
              </w:rPr>
              <w:t>至</w:t>
            </w:r>
            <w:r>
              <w:rPr>
                <w:sz w:val="19"/>
              </w:rPr>
              <w:t>202</w:t>
            </w:r>
            <w:r>
              <w:rPr>
                <w:sz w:val="19"/>
              </w:rPr>
              <w:t>7</w:t>
            </w:r>
            <w:r>
              <w:rPr>
                <w:sz w:val="19"/>
              </w:rPr>
              <w:t>年</w:t>
            </w:r>
            <w:r>
              <w:rPr>
                <w:sz w:val="19"/>
              </w:rPr>
              <w:t>第三季度</w:t>
            </w:r>
            <w:r>
              <w:rPr>
                <w:sz w:val="19"/>
              </w:rPr>
              <w:t>的所有</w:t>
            </w:r>
            <w:r>
              <w:rPr>
                <w:sz w:val="19"/>
              </w:rPr>
              <w:t>检测报告</w:t>
            </w:r>
            <w:r>
              <w:rPr>
                <w:sz w:val="19"/>
              </w:rPr>
              <w:t>、</w:t>
            </w:r>
            <w:r>
              <w:rPr>
                <w:sz w:val="19"/>
              </w:rPr>
              <w:t>季度分析报告</w:t>
            </w:r>
            <w:r>
              <w:rPr>
                <w:sz w:val="19"/>
              </w:rPr>
              <w:t>和年度</w:t>
            </w:r>
            <w:r>
              <w:rPr>
                <w:sz w:val="19"/>
              </w:rPr>
              <w:t>分析</w:t>
            </w:r>
            <w:r>
              <w:rPr>
                <w:sz w:val="19"/>
              </w:rPr>
              <w:t>报告，并经</w:t>
            </w:r>
            <w:r>
              <w:rPr>
                <w:sz w:val="19"/>
              </w:rPr>
              <w:t>甲方</w:t>
            </w:r>
            <w:r>
              <w:rPr>
                <w:sz w:val="19"/>
              </w:rPr>
              <w:t>验收后</w:t>
            </w:r>
            <w:r>
              <w:rPr>
                <w:sz w:val="19"/>
              </w:rPr>
              <w:t>，甲方</w:t>
            </w:r>
            <w:r>
              <w:rPr>
                <w:sz w:val="19"/>
              </w:rPr>
              <w:t>自收到</w:t>
            </w:r>
            <w:r>
              <w:rPr>
                <w:sz w:val="19"/>
              </w:rPr>
              <w:t>乙方</w:t>
            </w:r>
            <w:r>
              <w:rPr>
                <w:sz w:val="19"/>
              </w:rPr>
              <w:t>提供</w:t>
            </w:r>
            <w:r>
              <w:rPr>
                <w:sz w:val="19"/>
              </w:rPr>
              <w:t>的</w:t>
            </w:r>
            <w:r>
              <w:rPr>
                <w:sz w:val="19"/>
              </w:rPr>
              <w:t>正式</w:t>
            </w:r>
            <w:r>
              <w:rPr>
                <w:sz w:val="19"/>
              </w:rPr>
              <w:t>发票后</w:t>
            </w:r>
            <w:r>
              <w:rPr>
                <w:sz w:val="19"/>
              </w:rPr>
              <w:t>10</w:t>
            </w:r>
            <w:r>
              <w:rPr>
                <w:sz w:val="19"/>
              </w:rPr>
              <w:t>个工作</w:t>
            </w:r>
            <w:r>
              <w:rPr>
                <w:sz w:val="19"/>
              </w:rPr>
              <w:t>日</w:t>
            </w:r>
            <w:r>
              <w:rPr>
                <w:sz w:val="19"/>
              </w:rPr>
              <w:t>内支付</w:t>
            </w:r>
            <w:r>
              <w:rPr>
                <w:sz w:val="19"/>
              </w:rPr>
              <w:t>合同总额的</w:t>
            </w:r>
            <w:r>
              <w:rPr>
                <w:sz w:val="19"/>
              </w:rPr>
              <w:t>25</w:t>
            </w:r>
            <w:r>
              <w:rPr>
                <w:sz w:val="19"/>
              </w:rPr>
              <w:t>%</w:t>
            </w:r>
            <w:r>
              <w:rPr>
                <w:sz w:val="19"/>
              </w:rPr>
              <w:t>；</w:t>
            </w:r>
          </w:p>
          <w:p>
            <w:pPr>
              <w:pStyle w:val="null3"/>
            </w:pPr>
            <w:r>
              <w:rPr>
                <w:sz w:val="19"/>
              </w:rPr>
              <w:t>（</w:t>
            </w:r>
            <w:r>
              <w:rPr>
                <w:sz w:val="19"/>
              </w:rPr>
              <w:t>3</w:t>
            </w:r>
            <w:r>
              <w:rPr>
                <w:sz w:val="19"/>
              </w:rPr>
              <w:t>）</w:t>
            </w:r>
            <w:r>
              <w:rPr>
                <w:sz w:val="19"/>
              </w:rPr>
              <w:t>3</w:t>
            </w:r>
            <w:r>
              <w:rPr>
                <w:sz w:val="19"/>
              </w:rPr>
              <w:t>期：支付</w:t>
            </w:r>
            <w:r>
              <w:rPr>
                <w:sz w:val="19"/>
              </w:rPr>
              <w:t>尾款，尾款</w:t>
            </w:r>
            <w:r>
              <w:rPr>
                <w:sz w:val="19"/>
              </w:rPr>
              <w:t>=</w:t>
            </w:r>
            <w:r>
              <w:rPr>
                <w:sz w:val="19"/>
              </w:rPr>
              <w:t>结算价</w:t>
            </w:r>
            <w:r>
              <w:rPr>
                <w:sz w:val="19"/>
              </w:rPr>
              <w:t>-</w:t>
            </w:r>
            <w:r>
              <w:rPr>
                <w:sz w:val="19"/>
              </w:rPr>
              <w:t>已支付金额</w:t>
            </w:r>
            <w:r>
              <w:rPr>
                <w:sz w:val="19"/>
              </w:rPr>
              <w:t>,</w:t>
            </w:r>
            <w:r>
              <w:rPr>
                <w:sz w:val="19"/>
              </w:rPr>
              <w:t>乙方</w:t>
            </w:r>
            <w:r>
              <w:rPr>
                <w:sz w:val="19"/>
              </w:rPr>
              <w:t>完成合同期内服务，按要求</w:t>
            </w:r>
            <w:r>
              <w:rPr>
                <w:sz w:val="19"/>
              </w:rPr>
              <w:t>向甲方提</w:t>
            </w:r>
            <w:r>
              <w:rPr>
                <w:sz w:val="19"/>
              </w:rPr>
              <w:t>交所有</w:t>
            </w:r>
            <w:r>
              <w:rPr>
                <w:sz w:val="19"/>
              </w:rPr>
              <w:t>检测报告</w:t>
            </w:r>
            <w:r>
              <w:rPr>
                <w:sz w:val="19"/>
              </w:rPr>
              <w:t>、</w:t>
            </w:r>
            <w:r>
              <w:rPr>
                <w:sz w:val="19"/>
              </w:rPr>
              <w:t>季度分析报告</w:t>
            </w:r>
            <w:r>
              <w:rPr>
                <w:sz w:val="19"/>
              </w:rPr>
              <w:t>、</w:t>
            </w:r>
            <w:r>
              <w:rPr>
                <w:sz w:val="19"/>
              </w:rPr>
              <w:t>年度分析</w:t>
            </w:r>
            <w:r>
              <w:rPr>
                <w:sz w:val="19"/>
              </w:rPr>
              <w:t>报告，并经</w:t>
            </w:r>
            <w:r>
              <w:rPr>
                <w:sz w:val="19"/>
              </w:rPr>
              <w:t>甲方</w:t>
            </w:r>
            <w:r>
              <w:rPr>
                <w:sz w:val="19"/>
              </w:rPr>
              <w:t>验收后</w:t>
            </w:r>
            <w:r>
              <w:rPr>
                <w:sz w:val="19"/>
              </w:rPr>
              <w:t>，甲方</w:t>
            </w:r>
            <w:r>
              <w:rPr>
                <w:sz w:val="19"/>
              </w:rPr>
              <w:t>自收到</w:t>
            </w:r>
            <w:r>
              <w:rPr>
                <w:sz w:val="19"/>
              </w:rPr>
              <w:t>乙方</w:t>
            </w:r>
            <w:r>
              <w:rPr>
                <w:sz w:val="19"/>
              </w:rPr>
              <w:t>提供</w:t>
            </w:r>
            <w:r>
              <w:rPr>
                <w:sz w:val="19"/>
              </w:rPr>
              <w:t>的</w:t>
            </w:r>
            <w:r>
              <w:rPr>
                <w:sz w:val="19"/>
              </w:rPr>
              <w:t>正式</w:t>
            </w:r>
            <w:r>
              <w:rPr>
                <w:sz w:val="19"/>
              </w:rPr>
              <w:t>发票后</w:t>
            </w:r>
            <w:r>
              <w:rPr>
                <w:sz w:val="19"/>
              </w:rPr>
              <w:t>10</w:t>
            </w:r>
            <w:r>
              <w:rPr>
                <w:sz w:val="19"/>
              </w:rPr>
              <w:t>个工作</w:t>
            </w:r>
            <w:r>
              <w:rPr>
                <w:sz w:val="19"/>
              </w:rPr>
              <w:t>日</w:t>
            </w:r>
            <w:r>
              <w:rPr>
                <w:sz w:val="19"/>
              </w:rPr>
              <w:t>内支付</w:t>
            </w:r>
            <w:r>
              <w:rPr>
                <w:sz w:val="19"/>
              </w:rPr>
              <w:t>尾款</w:t>
            </w:r>
            <w:r>
              <w:rPr>
                <w:sz w:val="19"/>
              </w:rPr>
              <w:t>。</w:t>
            </w:r>
          </w:p>
          <w:p>
            <w:pPr>
              <w:pStyle w:val="null3"/>
              <w:jc w:val="both"/>
            </w:pPr>
            <w:r>
              <w:rPr>
                <w:sz w:val="21"/>
              </w:rPr>
              <w:t>（</w:t>
            </w:r>
            <w:r>
              <w:rPr>
                <w:sz w:val="21"/>
              </w:rPr>
              <w:t>4</w:t>
            </w:r>
            <w:r>
              <w:rPr>
                <w:sz w:val="21"/>
              </w:rPr>
              <w:t>）</w:t>
            </w:r>
            <w:r>
              <w:rPr>
                <w:sz w:val="21"/>
              </w:rPr>
              <w:t>因</w:t>
            </w:r>
            <w:r>
              <w:rPr>
                <w:sz w:val="21"/>
              </w:rPr>
              <w:t>甲方</w:t>
            </w:r>
            <w:r>
              <w:rPr>
                <w:sz w:val="21"/>
              </w:rPr>
              <w:t>使用的是财政资金，</w:t>
            </w:r>
            <w:r>
              <w:rPr>
                <w:sz w:val="21"/>
              </w:rPr>
              <w:t>甲方</w:t>
            </w:r>
            <w:r>
              <w:rPr>
                <w:sz w:val="21"/>
              </w:rPr>
              <w:t>在合同约定的付款时间为办理财政支付手续的（不含政府财政支付部门审核的时间）时间；</w:t>
            </w:r>
            <w:r>
              <w:rPr>
                <w:sz w:val="21"/>
              </w:rPr>
              <w:t>甲方</w:t>
            </w:r>
            <w:r>
              <w:rPr>
                <w:sz w:val="21"/>
              </w:rPr>
              <w:t>应在收到财政当期用款额度</w:t>
            </w:r>
            <w:r>
              <w:rPr>
                <w:sz w:val="21"/>
              </w:rPr>
              <w:t>60</w:t>
            </w:r>
            <w:r>
              <w:rPr>
                <w:sz w:val="21"/>
              </w:rPr>
              <w:t>日内，将相应款项支付给</w:t>
            </w:r>
            <w:r>
              <w:rPr>
                <w:sz w:val="21"/>
              </w:rPr>
              <w:t>乙方</w:t>
            </w:r>
            <w:r>
              <w:rPr>
                <w:sz w:val="21"/>
              </w:rPr>
              <w:t>。因</w:t>
            </w:r>
            <w:r>
              <w:rPr>
                <w:sz w:val="21"/>
              </w:rPr>
              <w:t>乙方</w:t>
            </w:r>
            <w:r>
              <w:rPr>
                <w:sz w:val="21"/>
              </w:rPr>
              <w:t>未及时提供合法有效的发票或支付申请书或不可抗力原因导致</w:t>
            </w:r>
            <w:r>
              <w:rPr>
                <w:sz w:val="21"/>
              </w:rPr>
              <w:t>乙方</w:t>
            </w:r>
            <w:r>
              <w:rPr>
                <w:sz w:val="21"/>
              </w:rPr>
              <w:t>收款延误的，不视为</w:t>
            </w:r>
            <w:r>
              <w:rPr>
                <w:sz w:val="21"/>
              </w:rPr>
              <w:t>甲方</w:t>
            </w:r>
            <w:r>
              <w:rPr>
                <w:sz w:val="21"/>
              </w:rPr>
              <w:t>违约，</w:t>
            </w:r>
            <w:r>
              <w:rPr>
                <w:sz w:val="21"/>
              </w:rPr>
              <w:t>甲方</w:t>
            </w:r>
            <w:r>
              <w:rPr>
                <w:sz w:val="21"/>
              </w:rPr>
              <w:t>不承担迟延付款的责任，并且此情况不能成为</w:t>
            </w:r>
            <w:r>
              <w:rPr>
                <w:sz w:val="21"/>
              </w:rPr>
              <w:t>乙方</w:t>
            </w:r>
            <w:r>
              <w:rPr>
                <w:sz w:val="21"/>
              </w:rPr>
              <w:t>中止或拒绝履行合同项下义务的理由。</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付款要求</w:t>
            </w:r>
          </w:p>
        </w:tc>
        <w:tc>
          <w:tcPr>
            <w:tcW w:type="dxa" w:w="6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0"/>
              </w:rPr>
              <w:t>合同款项的支付方式：转账结算（银行转账）。</w:t>
            </w:r>
          </w:p>
          <w:p>
            <w:pPr>
              <w:pStyle w:val="null3"/>
              <w:numPr>
                <w:ilvl w:val="0"/>
                <w:numId w:val="1"/>
              </w:numPr>
              <w:jc w:val="left"/>
            </w:pPr>
            <w:r>
              <w:rPr>
                <w:sz w:val="20"/>
              </w:rPr>
              <w:t>付款方：</w:t>
            </w:r>
            <w:r>
              <w:rPr>
                <w:sz w:val="20"/>
              </w:rPr>
              <w:t>甲方</w:t>
            </w:r>
            <w:r>
              <w:rPr>
                <w:sz w:val="20"/>
              </w:rPr>
              <w:t>；收款方：</w:t>
            </w:r>
            <w:r>
              <w:rPr>
                <w:sz w:val="20"/>
              </w:rPr>
              <w:t>乙方</w:t>
            </w:r>
            <w:r>
              <w:rPr>
                <w:sz w:val="20"/>
              </w:rPr>
              <w:t>。</w:t>
            </w:r>
          </w:p>
          <w:p>
            <w:pPr>
              <w:pStyle w:val="null3"/>
              <w:numPr>
                <w:ilvl w:val="0"/>
                <w:numId w:val="1"/>
              </w:numPr>
              <w:jc w:val="left"/>
            </w:pPr>
            <w:r>
              <w:rPr>
                <w:sz w:val="20"/>
              </w:rPr>
              <w:t>开具发票：</w:t>
            </w:r>
            <w:r>
              <w:rPr>
                <w:sz w:val="20"/>
              </w:rPr>
              <w:t>乙方</w:t>
            </w:r>
            <w:r>
              <w:rPr>
                <w:sz w:val="20"/>
              </w:rPr>
              <w:t>收款时必须持有效发票。收款方、出具发票方、合同乙方均必须与</w:t>
            </w:r>
            <w:r>
              <w:rPr>
                <w:sz w:val="20"/>
              </w:rPr>
              <w:t>乙方</w:t>
            </w:r>
            <w:r>
              <w:rPr>
                <w:sz w:val="20"/>
              </w:rPr>
              <w:t>名称一致。</w:t>
            </w:r>
          </w:p>
          <w:p>
            <w:pPr>
              <w:pStyle w:val="null3"/>
              <w:numPr>
                <w:ilvl w:val="0"/>
                <w:numId w:val="1"/>
              </w:numPr>
              <w:jc w:val="left"/>
            </w:pPr>
            <w:r>
              <w:rPr>
                <w:sz w:val="20"/>
              </w:rPr>
              <w:t>付款期间如因特殊情况需调整，由双方协商处理。。</w:t>
            </w:r>
          </w:p>
        </w:tc>
      </w:tr>
    </w:tbl>
    <w:p>
      <w:pPr>
        <w:pStyle w:val="null3"/>
        <w:numPr>
          <w:ilvl w:val="0"/>
          <w:numId w:val="1"/>
        </w:numPr>
      </w:pPr>
      <w:r>
        <w:rPr>
          <w:sz w:val="20"/>
          <w:b/>
          <w:color w:val="000000"/>
        </w:rPr>
        <w:t>乙方</w:t>
      </w:r>
      <w:r>
        <w:rPr>
          <w:sz w:val="20"/>
          <w:b/>
          <w:color w:val="000000"/>
        </w:rPr>
        <w:t>要求</w:t>
      </w:r>
    </w:p>
    <w:p>
      <w:pPr>
        <w:pStyle w:val="null3"/>
        <w:numPr>
          <w:ilvl w:val="0"/>
          <w:numId w:val="1"/>
        </w:numPr>
        <w:jc w:val="left"/>
      </w:pPr>
      <w:r>
        <w:rPr>
          <w:sz w:val="20"/>
          <w:color w:val="000000"/>
        </w:rPr>
        <w:t>具有良好的商业信誉和履行合同所具备的技术能力；能够提供可靠的质量保证和完善的运行管理服务。</w:t>
      </w:r>
    </w:p>
    <w:p>
      <w:pPr>
        <w:pStyle w:val="null3"/>
        <w:numPr>
          <w:ilvl w:val="0"/>
          <w:numId w:val="1"/>
        </w:numPr>
        <w:jc w:val="left"/>
      </w:pPr>
      <w:r>
        <w:rPr>
          <w:sz w:val="20"/>
          <w:color w:val="000000"/>
        </w:rPr>
        <w:t>具有较强的项目管理和组织实施能力，具备环境监测及分析等</w:t>
      </w:r>
      <w:r>
        <w:rPr>
          <w:sz w:val="20"/>
          <w:color w:val="000000"/>
        </w:rPr>
        <w:t>环境保护</w:t>
      </w:r>
      <w:r>
        <w:rPr>
          <w:sz w:val="20"/>
          <w:color w:val="000000"/>
        </w:rPr>
        <w:t>相关工作的服务能力，能够独立承担本项目实施。</w:t>
      </w:r>
    </w:p>
    <w:p>
      <w:pPr>
        <w:pStyle w:val="null3"/>
        <w:numPr>
          <w:ilvl w:val="0"/>
          <w:numId w:val="1"/>
        </w:numPr>
        <w:jc w:val="left"/>
      </w:pPr>
      <w:r>
        <w:rPr>
          <w:sz w:val="20"/>
          <w:color w:val="000000"/>
        </w:rPr>
        <w:t>建立了现代企业管理制度，具备完善和有效的监督、考核、奖惩机制，建立层级管理制度，管理人员不少于</w:t>
      </w:r>
      <w:r>
        <w:rPr>
          <w:sz w:val="20"/>
          <w:color w:val="000000"/>
        </w:rPr>
        <w:t>5%，确保工作组的各项工作均在公司掌控之下。</w:t>
      </w:r>
    </w:p>
    <w:p>
      <w:pPr>
        <w:pStyle w:val="null3"/>
        <w:numPr>
          <w:ilvl w:val="0"/>
          <w:numId w:val="1"/>
        </w:numPr>
        <w:jc w:val="left"/>
      </w:pPr>
      <w:r>
        <w:rPr>
          <w:sz w:val="20"/>
          <w:color w:val="000000"/>
        </w:rPr>
        <w:t>乙方</w:t>
      </w:r>
      <w:r>
        <w:rPr>
          <w:sz w:val="20"/>
          <w:color w:val="000000"/>
        </w:rPr>
        <w:t>在</w:t>
      </w:r>
      <w:r>
        <w:rPr>
          <w:sz w:val="20"/>
          <w:color w:val="000000"/>
        </w:rPr>
        <w:t>甲方</w:t>
      </w:r>
      <w:r>
        <w:rPr>
          <w:sz w:val="20"/>
          <w:color w:val="000000"/>
        </w:rPr>
        <w:t>的指导下开展工作，并无条件接受</w:t>
      </w:r>
      <w:r>
        <w:rPr>
          <w:sz w:val="20"/>
          <w:color w:val="000000"/>
        </w:rPr>
        <w:t>甲方</w:t>
      </w:r>
      <w:r>
        <w:rPr>
          <w:sz w:val="20"/>
          <w:color w:val="000000"/>
        </w:rPr>
        <w:t>的监督和检查。</w:t>
      </w:r>
    </w:p>
    <w:p>
      <w:pPr>
        <w:pStyle w:val="null3"/>
        <w:numPr>
          <w:ilvl w:val="0"/>
          <w:numId w:val="1"/>
        </w:numPr>
        <w:jc w:val="left"/>
      </w:pPr>
      <w:r>
        <w:rPr>
          <w:sz w:val="20"/>
          <w:color w:val="000000"/>
        </w:rPr>
        <w:t>保证取样分析工作人员熟悉顺德区内河涌基本情况。</w:t>
      </w:r>
    </w:p>
    <w:p>
      <w:pPr>
        <w:pStyle w:val="null3"/>
        <w:numPr>
          <w:ilvl w:val="0"/>
          <w:numId w:val="1"/>
        </w:numPr>
        <w:jc w:val="left"/>
      </w:pPr>
      <w:r>
        <w:rPr>
          <w:sz w:val="20"/>
          <w:color w:val="000000"/>
        </w:rPr>
        <w:t>具备良好的业务处理能力，确保监测</w:t>
      </w:r>
      <w:r>
        <w:rPr>
          <w:sz w:val="20"/>
          <w:color w:val="000000"/>
        </w:rPr>
        <w:t>数据</w:t>
      </w:r>
      <w:r>
        <w:rPr>
          <w:sz w:val="20"/>
          <w:color w:val="000000"/>
        </w:rPr>
        <w:t>必须符合国家、省相关规定。</w:t>
      </w:r>
    </w:p>
    <w:p>
      <w:pPr>
        <w:pStyle w:val="null3"/>
        <w:numPr>
          <w:ilvl w:val="0"/>
          <w:numId w:val="1"/>
        </w:numPr>
        <w:jc w:val="left"/>
      </w:pPr>
      <w:r>
        <w:rPr>
          <w:sz w:val="20"/>
          <w:color w:val="000000"/>
        </w:rPr>
        <w:t>具有针对服务中断的特别应急机制、方案，该方案在</w:t>
      </w:r>
      <w:r>
        <w:rPr>
          <w:sz w:val="20"/>
          <w:color w:val="000000"/>
        </w:rPr>
        <w:t>乙方</w:t>
      </w:r>
      <w:r>
        <w:rPr>
          <w:sz w:val="20"/>
          <w:color w:val="000000"/>
        </w:rPr>
        <w:t>中标后，经</w:t>
      </w:r>
      <w:r>
        <w:rPr>
          <w:sz w:val="20"/>
          <w:color w:val="000000"/>
        </w:rPr>
        <w:t>甲方</w:t>
      </w:r>
      <w:r>
        <w:rPr>
          <w:sz w:val="20"/>
          <w:color w:val="000000"/>
        </w:rPr>
        <w:t>确认后，双方保存备案。</w:t>
      </w:r>
    </w:p>
    <w:p>
      <w:pPr>
        <w:pStyle w:val="null3"/>
        <w:numPr>
          <w:ilvl w:val="0"/>
          <w:numId w:val="1"/>
        </w:numPr>
        <w:jc w:val="left"/>
      </w:pPr>
      <w:r>
        <w:rPr>
          <w:sz w:val="20"/>
          <w:color w:val="000000"/>
        </w:rPr>
        <w:t>确保环境监测专项工作有效开展，不得擅自变更相关管理人员的配置；如果相关管理人员表现不称职，</w:t>
      </w:r>
      <w:r>
        <w:rPr>
          <w:sz w:val="20"/>
          <w:color w:val="000000"/>
        </w:rPr>
        <w:t>甲方</w:t>
      </w:r>
      <w:r>
        <w:rPr>
          <w:sz w:val="20"/>
          <w:color w:val="000000"/>
        </w:rPr>
        <w:t>有权要求</w:t>
      </w:r>
      <w:r>
        <w:rPr>
          <w:sz w:val="20"/>
          <w:color w:val="000000"/>
        </w:rPr>
        <w:t>乙方</w:t>
      </w:r>
      <w:r>
        <w:rPr>
          <w:sz w:val="20"/>
          <w:color w:val="000000"/>
        </w:rPr>
        <w:t>更换。</w:t>
      </w:r>
    </w:p>
    <w:p>
      <w:pPr>
        <w:pStyle w:val="null3"/>
        <w:numPr>
          <w:ilvl w:val="0"/>
          <w:numId w:val="1"/>
        </w:numPr>
        <w:jc w:val="left"/>
      </w:pPr>
      <w:r>
        <w:rPr>
          <w:sz w:val="20"/>
          <w:color w:val="000000"/>
        </w:rPr>
        <w:t>为</w:t>
      </w:r>
      <w:r>
        <w:rPr>
          <w:sz w:val="20"/>
          <w:color w:val="000000"/>
        </w:rPr>
        <w:t>甲方</w:t>
      </w:r>
      <w:r>
        <w:rPr>
          <w:sz w:val="20"/>
          <w:color w:val="000000"/>
        </w:rPr>
        <w:t>组建一支完整的、专职的监测工作人员队伍，并必须在合同签订后</w:t>
      </w:r>
      <w:r>
        <w:rPr>
          <w:sz w:val="20"/>
          <w:color w:val="000000"/>
        </w:rPr>
        <w:t>5日内完成环境监测专项工作人员的组建。</w:t>
      </w:r>
    </w:p>
    <w:p>
      <w:pPr>
        <w:pStyle w:val="null3"/>
        <w:numPr>
          <w:ilvl w:val="0"/>
          <w:numId w:val="1"/>
        </w:numPr>
        <w:jc w:val="left"/>
      </w:pPr>
      <w:r>
        <w:rPr>
          <w:sz w:val="20"/>
          <w:color w:val="000000"/>
        </w:rPr>
        <w:t>确保按时间节点完成每月采样、月度检测报告、季度分析报告及年度分析报告</w:t>
      </w:r>
      <w:r>
        <w:rPr>
          <w:sz w:val="20"/>
          <w:color w:val="000000"/>
        </w:rPr>
        <w:t>。</w:t>
      </w:r>
    </w:p>
    <w:p>
      <w:pPr>
        <w:pStyle w:val="null3"/>
        <w:numPr>
          <w:ilvl w:val="0"/>
          <w:numId w:val="1"/>
        </w:numPr>
        <w:jc w:val="left"/>
      </w:pPr>
      <w:r>
        <w:rPr>
          <w:sz w:val="20"/>
          <w:color w:val="000000"/>
        </w:rPr>
        <w:t>定期向</w:t>
      </w:r>
      <w:r>
        <w:rPr>
          <w:sz w:val="20"/>
          <w:color w:val="000000"/>
        </w:rPr>
        <w:t>甲方</w:t>
      </w:r>
      <w:r>
        <w:rPr>
          <w:sz w:val="20"/>
          <w:color w:val="000000"/>
        </w:rPr>
        <w:t>汇报，并接受</w:t>
      </w:r>
      <w:r>
        <w:rPr>
          <w:sz w:val="20"/>
          <w:color w:val="000000"/>
        </w:rPr>
        <w:t>甲方</w:t>
      </w:r>
      <w:r>
        <w:rPr>
          <w:sz w:val="20"/>
          <w:color w:val="000000"/>
        </w:rPr>
        <w:t>的工作指导要求。</w:t>
      </w:r>
    </w:p>
    <w:p>
      <w:pPr>
        <w:pStyle w:val="null3"/>
        <w:numPr>
          <w:ilvl w:val="0"/>
          <w:numId w:val="1"/>
        </w:numPr>
        <w:jc w:val="left"/>
      </w:pPr>
      <w:r>
        <w:rPr>
          <w:sz w:val="20"/>
          <w:color w:val="000000"/>
        </w:rPr>
        <w:t>保证工作过程中包括工作人员的稳定性，能全程跟进和落实工作推进。</w:t>
      </w:r>
    </w:p>
    <w:p>
      <w:pPr>
        <w:pStyle w:val="null3"/>
        <w:numPr>
          <w:ilvl w:val="0"/>
          <w:numId w:val="1"/>
        </w:numPr>
        <w:jc w:val="left"/>
      </w:pPr>
      <w:r>
        <w:rPr>
          <w:sz w:val="20"/>
          <w:color w:val="000000"/>
        </w:rPr>
        <w:t>本项目所涉及的环境监测相关工作均要求由</w:t>
      </w:r>
      <w:r>
        <w:rPr>
          <w:sz w:val="20"/>
          <w:color w:val="000000"/>
        </w:rPr>
        <w:t>乙方</w:t>
      </w:r>
      <w:r>
        <w:rPr>
          <w:sz w:val="20"/>
          <w:color w:val="000000"/>
        </w:rPr>
        <w:t>自行完成。</w:t>
      </w:r>
    </w:p>
    <w:p>
      <w:pPr>
        <w:pStyle w:val="null3"/>
        <w:numPr>
          <w:ilvl w:val="0"/>
          <w:numId w:val="1"/>
        </w:numPr>
        <w:jc w:val="left"/>
      </w:pPr>
      <w:r>
        <w:rPr>
          <w:sz w:val="20"/>
          <w:color w:val="000000"/>
        </w:rPr>
        <w:t>乙方</w:t>
      </w:r>
      <w:r>
        <w:rPr>
          <w:sz w:val="20"/>
          <w:color w:val="000000"/>
        </w:rPr>
        <w:t>应按照国家、省对环境监测工作有关要求开展工作，从完整性、规范性、逻辑性、合理性等方面对报表实行质量控制，并实行三级审核，即监测人员审核、相关部门内部审核、上级环保部门抽查核查。</w:t>
      </w:r>
    </w:p>
    <w:p>
      <w:pPr>
        <w:pStyle w:val="null3"/>
        <w:numPr>
          <w:ilvl w:val="0"/>
          <w:numId w:val="1"/>
        </w:numPr>
        <w:jc w:val="left"/>
      </w:pPr>
      <w:r>
        <w:rPr>
          <w:sz w:val="20"/>
          <w:color w:val="000000"/>
        </w:rPr>
        <w:t>乙方</w:t>
      </w:r>
      <w:r>
        <w:rPr>
          <w:sz w:val="20"/>
          <w:color w:val="000000"/>
        </w:rPr>
        <w:t>在</w:t>
      </w:r>
      <w:r>
        <w:rPr>
          <w:sz w:val="20"/>
          <w:color w:val="000000"/>
        </w:rPr>
        <w:t>甲方</w:t>
      </w:r>
      <w:r>
        <w:rPr>
          <w:sz w:val="20"/>
          <w:color w:val="000000"/>
        </w:rPr>
        <w:t>的指导下开展工作，并无条件接受</w:t>
      </w:r>
      <w:r>
        <w:rPr>
          <w:sz w:val="20"/>
          <w:color w:val="000000"/>
        </w:rPr>
        <w:t>甲方</w:t>
      </w:r>
      <w:r>
        <w:rPr>
          <w:sz w:val="20"/>
          <w:color w:val="000000"/>
        </w:rPr>
        <w:t>的监督和检查，并严格对内河涌监测相关数据进行保密，不得做其它用途。</w:t>
      </w:r>
    </w:p>
    <w:p>
      <w:pPr>
        <w:pStyle w:val="null3"/>
        <w:numPr>
          <w:ilvl w:val="0"/>
          <w:numId w:val="1"/>
        </w:numPr>
      </w:pPr>
      <w:r>
        <w:rPr>
          <w:sz w:val="20"/>
          <w:b/>
          <w:color w:val="000000"/>
        </w:rPr>
        <w:t>服务质量监管和考核方法</w:t>
      </w:r>
    </w:p>
    <w:p>
      <w:pPr>
        <w:pStyle w:val="null3"/>
        <w:numPr>
          <w:ilvl w:val="0"/>
          <w:numId w:val="1"/>
        </w:numPr>
        <w:jc w:val="left"/>
      </w:pPr>
      <w:r>
        <w:rPr>
          <w:sz w:val="20"/>
          <w:color w:val="000000"/>
        </w:rPr>
        <w:t>基本要求</w:t>
      </w:r>
    </w:p>
    <w:p>
      <w:pPr>
        <w:pStyle w:val="null3"/>
        <w:ind w:firstLine="400"/>
        <w:jc w:val="left"/>
      </w:pPr>
      <w:r>
        <w:rPr>
          <w:sz w:val="20"/>
          <w:color w:val="000000"/>
        </w:rPr>
        <w:t>为保证内河涌监测工作能按时、按质完成，</w:t>
      </w:r>
      <w:r>
        <w:rPr>
          <w:sz w:val="20"/>
          <w:color w:val="000000"/>
        </w:rPr>
        <w:t>乙方</w:t>
      </w:r>
      <w:r>
        <w:rPr>
          <w:sz w:val="20"/>
          <w:color w:val="000000"/>
        </w:rPr>
        <w:t>必须严格按照招标文件要求接受</w:t>
      </w:r>
      <w:r>
        <w:rPr>
          <w:sz w:val="20"/>
          <w:color w:val="000000"/>
        </w:rPr>
        <w:t>甲方</w:t>
      </w:r>
      <w:r>
        <w:rPr>
          <w:sz w:val="20"/>
          <w:color w:val="000000"/>
        </w:rPr>
        <w:t>的全面监督，基本要求如下：</w:t>
      </w:r>
    </w:p>
    <w:p>
      <w:pPr>
        <w:pStyle w:val="null3"/>
        <w:numPr>
          <w:ilvl w:val="0"/>
          <w:numId w:val="1"/>
        </w:numPr>
        <w:jc w:val="left"/>
      </w:pPr>
      <w:r>
        <w:rPr>
          <w:sz w:val="20"/>
          <w:color w:val="000000"/>
        </w:rPr>
        <w:t>乙方</w:t>
      </w:r>
      <w:r>
        <w:rPr>
          <w:sz w:val="20"/>
          <w:color w:val="000000"/>
        </w:rPr>
        <w:t>须建立月报制度，定期向</w:t>
      </w:r>
      <w:r>
        <w:rPr>
          <w:sz w:val="20"/>
          <w:color w:val="000000"/>
        </w:rPr>
        <w:t>甲方</w:t>
      </w:r>
      <w:r>
        <w:rPr>
          <w:sz w:val="20"/>
          <w:color w:val="000000"/>
        </w:rPr>
        <w:t>汇报，并接受</w:t>
      </w:r>
      <w:r>
        <w:rPr>
          <w:sz w:val="20"/>
          <w:color w:val="000000"/>
        </w:rPr>
        <w:t>甲方</w:t>
      </w:r>
      <w:r>
        <w:rPr>
          <w:sz w:val="20"/>
          <w:color w:val="000000"/>
        </w:rPr>
        <w:t>的工作指导要求。</w:t>
      </w:r>
    </w:p>
    <w:p>
      <w:pPr>
        <w:pStyle w:val="null3"/>
        <w:numPr>
          <w:ilvl w:val="0"/>
          <w:numId w:val="1"/>
        </w:numPr>
        <w:jc w:val="left"/>
      </w:pPr>
      <w:r>
        <w:rPr>
          <w:sz w:val="20"/>
          <w:color w:val="000000"/>
        </w:rPr>
        <w:t>乙方</w:t>
      </w:r>
      <w:r>
        <w:rPr>
          <w:sz w:val="20"/>
          <w:color w:val="000000"/>
        </w:rPr>
        <w:t>必须确保按时、按质完成内河涌水质的监测分析以及数据上报、分析报告编制等。</w:t>
      </w:r>
    </w:p>
    <w:p>
      <w:pPr>
        <w:pStyle w:val="null3"/>
        <w:numPr>
          <w:ilvl w:val="0"/>
          <w:numId w:val="1"/>
        </w:numPr>
        <w:jc w:val="left"/>
      </w:pPr>
      <w:r>
        <w:rPr>
          <w:sz w:val="20"/>
          <w:color w:val="000000"/>
        </w:rPr>
        <w:t>乙方</w:t>
      </w:r>
      <w:r>
        <w:rPr>
          <w:sz w:val="20"/>
          <w:color w:val="000000"/>
        </w:rPr>
        <w:t>必须保证内河涌监测工作过程中包括所有工作人员的稳定性，能全程跟进和落实内河涌监测工作。如无特殊原因原则上不能中途变更人员，确需变更人员的需经</w:t>
      </w:r>
      <w:r>
        <w:rPr>
          <w:sz w:val="20"/>
          <w:color w:val="000000"/>
        </w:rPr>
        <w:t>甲方</w:t>
      </w:r>
      <w:r>
        <w:rPr>
          <w:sz w:val="20"/>
          <w:color w:val="000000"/>
        </w:rPr>
        <w:t>书面同意。人员离开后，</w:t>
      </w:r>
      <w:r>
        <w:rPr>
          <w:sz w:val="20"/>
          <w:color w:val="000000"/>
        </w:rPr>
        <w:t>乙方</w:t>
      </w:r>
      <w:r>
        <w:rPr>
          <w:sz w:val="20"/>
          <w:color w:val="000000"/>
        </w:rPr>
        <w:t>需在</w:t>
      </w:r>
      <w:r>
        <w:rPr>
          <w:sz w:val="20"/>
          <w:color w:val="000000"/>
        </w:rPr>
        <w:t>7天内作出补充，代替人员资历和经验均不低于被更换人员。</w:t>
      </w:r>
    </w:p>
    <w:p>
      <w:pPr>
        <w:pStyle w:val="null3"/>
        <w:numPr>
          <w:ilvl w:val="0"/>
          <w:numId w:val="1"/>
        </w:numPr>
        <w:jc w:val="left"/>
      </w:pPr>
      <w:r>
        <w:rPr>
          <w:sz w:val="20"/>
          <w:color w:val="000000"/>
        </w:rPr>
        <w:t>乙方</w:t>
      </w:r>
      <w:r>
        <w:rPr>
          <w:sz w:val="20"/>
          <w:color w:val="000000"/>
        </w:rPr>
        <w:t>应提供一份承诺书，承诺遵守本服务监管要求。</w:t>
      </w:r>
    </w:p>
    <w:p>
      <w:pPr>
        <w:pStyle w:val="null3"/>
        <w:numPr>
          <w:ilvl w:val="0"/>
          <w:numId w:val="1"/>
        </w:numPr>
        <w:jc w:val="left"/>
      </w:pPr>
      <w:r>
        <w:rPr>
          <w:sz w:val="20"/>
          <w:color w:val="000000"/>
        </w:rPr>
        <w:t>监督管理</w:t>
      </w:r>
    </w:p>
    <w:p>
      <w:pPr>
        <w:pStyle w:val="null3"/>
        <w:ind w:firstLine="400"/>
        <w:jc w:val="left"/>
      </w:pPr>
      <w:r>
        <w:rPr>
          <w:sz w:val="20"/>
          <w:color w:val="000000"/>
        </w:rPr>
        <w:t>甲方</w:t>
      </w:r>
      <w:r>
        <w:rPr>
          <w:sz w:val="20"/>
          <w:color w:val="000000"/>
        </w:rPr>
        <w:t>不定时组织相关人员进行检查。监督评估工作包含但不限于以下内容：</w:t>
      </w:r>
    </w:p>
    <w:p>
      <w:pPr>
        <w:pStyle w:val="null3"/>
        <w:numPr>
          <w:ilvl w:val="0"/>
          <w:numId w:val="1"/>
        </w:numPr>
        <w:jc w:val="left"/>
      </w:pPr>
      <w:r>
        <w:rPr>
          <w:sz w:val="20"/>
          <w:color w:val="000000"/>
        </w:rPr>
        <w:t>作业规范性：是否遵守各项作业规范；</w:t>
      </w:r>
    </w:p>
    <w:p>
      <w:pPr>
        <w:pStyle w:val="null3"/>
        <w:numPr>
          <w:ilvl w:val="0"/>
          <w:numId w:val="1"/>
        </w:numPr>
        <w:jc w:val="left"/>
      </w:pPr>
      <w:r>
        <w:rPr>
          <w:sz w:val="20"/>
          <w:color w:val="000000"/>
        </w:rPr>
        <w:t>检查任务完成质量：是否及时、准确、清晰、是否高质量、是否文档齐全；</w:t>
      </w:r>
    </w:p>
    <w:p>
      <w:pPr>
        <w:pStyle w:val="null3"/>
        <w:numPr>
          <w:ilvl w:val="0"/>
          <w:numId w:val="1"/>
        </w:numPr>
        <w:jc w:val="left"/>
      </w:pPr>
      <w:r>
        <w:rPr>
          <w:sz w:val="20"/>
          <w:color w:val="000000"/>
        </w:rPr>
        <w:t>人员配备：是否按本项目要求配备内河涌监测工作专项工作人员；</w:t>
      </w:r>
    </w:p>
    <w:p>
      <w:pPr>
        <w:pStyle w:val="null3"/>
        <w:numPr>
          <w:ilvl w:val="0"/>
          <w:numId w:val="1"/>
        </w:numPr>
        <w:jc w:val="left"/>
      </w:pPr>
      <w:r>
        <w:rPr>
          <w:sz w:val="20"/>
          <w:color w:val="000000"/>
        </w:rPr>
        <w:t>工作配合：是否遵守</w:t>
      </w:r>
      <w:r>
        <w:rPr>
          <w:sz w:val="20"/>
          <w:color w:val="000000"/>
        </w:rPr>
        <w:t>甲方</w:t>
      </w:r>
      <w:r>
        <w:rPr>
          <w:sz w:val="20"/>
          <w:color w:val="000000"/>
        </w:rPr>
        <w:t>各项管理规定、是否接受和服从</w:t>
      </w:r>
      <w:r>
        <w:rPr>
          <w:sz w:val="20"/>
          <w:color w:val="000000"/>
        </w:rPr>
        <w:t>甲方</w:t>
      </w:r>
      <w:r>
        <w:rPr>
          <w:sz w:val="20"/>
          <w:color w:val="000000"/>
        </w:rPr>
        <w:t>管理人员的管理；</w:t>
      </w:r>
    </w:p>
    <w:p>
      <w:pPr>
        <w:pStyle w:val="null3"/>
        <w:numPr>
          <w:ilvl w:val="0"/>
          <w:numId w:val="1"/>
        </w:numPr>
        <w:jc w:val="left"/>
      </w:pPr>
      <w:r>
        <w:rPr>
          <w:sz w:val="20"/>
          <w:color w:val="000000"/>
        </w:rPr>
        <w:t>其它监督评估内容。</w:t>
      </w:r>
    </w:p>
    <w:p>
      <w:pPr>
        <w:pStyle w:val="null3"/>
        <w:numPr>
          <w:ilvl w:val="0"/>
          <w:numId w:val="1"/>
        </w:numPr>
      </w:pPr>
      <w:r>
        <w:rPr>
          <w:sz w:val="20"/>
          <w:b/>
          <w:color w:val="000000"/>
        </w:rPr>
        <w:t>人员要求</w:t>
      </w:r>
    </w:p>
    <w:p>
      <w:pPr>
        <w:pStyle w:val="null3"/>
        <w:numPr>
          <w:ilvl w:val="0"/>
          <w:numId w:val="1"/>
        </w:numPr>
      </w:pPr>
      <w:r>
        <w:rPr>
          <w:sz w:val="20"/>
          <w:color w:val="000000"/>
        </w:rPr>
        <w:t>乙方</w:t>
      </w:r>
      <w:r>
        <w:rPr>
          <w:sz w:val="20"/>
          <w:color w:val="000000"/>
        </w:rPr>
        <w:t>须按其投标文件中承诺提供的项目组人员必须按要求投入到本项目中，在合同期内不得擅自更换。如无特殊原因原则上不能中途变更人员，确需变更人员的需经</w:t>
      </w:r>
      <w:r>
        <w:rPr>
          <w:sz w:val="20"/>
          <w:color w:val="000000"/>
        </w:rPr>
        <w:t>甲方</w:t>
      </w:r>
      <w:r>
        <w:rPr>
          <w:sz w:val="20"/>
          <w:color w:val="000000"/>
        </w:rPr>
        <w:t>书面同意。人员离开后，需在</w:t>
      </w:r>
      <w:r>
        <w:rPr>
          <w:sz w:val="20"/>
          <w:color w:val="000000"/>
        </w:rPr>
        <w:t>7天内作出补充。</w:t>
      </w:r>
    </w:p>
    <w:p>
      <w:pPr>
        <w:pStyle w:val="null3"/>
        <w:numPr>
          <w:ilvl w:val="0"/>
          <w:numId w:val="1"/>
        </w:numPr>
      </w:pPr>
      <w:r>
        <w:rPr>
          <w:sz w:val="20"/>
          <w:color w:val="000000"/>
        </w:rPr>
        <w:t>甲方</w:t>
      </w:r>
      <w:r>
        <w:rPr>
          <w:sz w:val="20"/>
          <w:color w:val="000000"/>
        </w:rPr>
        <w:t>有权以书面形式要求</w:t>
      </w:r>
      <w:r>
        <w:rPr>
          <w:sz w:val="20"/>
          <w:color w:val="000000"/>
        </w:rPr>
        <w:t>乙方</w:t>
      </w:r>
      <w:r>
        <w:rPr>
          <w:sz w:val="20"/>
          <w:color w:val="000000"/>
        </w:rPr>
        <w:t>更换不能按规定履行合同的人员。即使是</w:t>
      </w:r>
      <w:r>
        <w:rPr>
          <w:sz w:val="20"/>
          <w:color w:val="000000"/>
        </w:rPr>
        <w:t>甲方</w:t>
      </w:r>
      <w:r>
        <w:rPr>
          <w:sz w:val="20"/>
          <w:color w:val="000000"/>
        </w:rPr>
        <w:t>要求或同意更换的人员，其代替人员的资质仍应得到</w:t>
      </w:r>
      <w:r>
        <w:rPr>
          <w:sz w:val="20"/>
          <w:color w:val="000000"/>
        </w:rPr>
        <w:t>甲方</w:t>
      </w:r>
      <w:r>
        <w:rPr>
          <w:sz w:val="20"/>
          <w:color w:val="000000"/>
        </w:rPr>
        <w:t>的认可，且其资历和经验均不低于被更换人员。由此而产生的费用由</w:t>
      </w:r>
      <w:r>
        <w:rPr>
          <w:sz w:val="20"/>
          <w:color w:val="000000"/>
        </w:rPr>
        <w:t>乙方</w:t>
      </w:r>
      <w:r>
        <w:rPr>
          <w:sz w:val="20"/>
          <w:color w:val="000000"/>
        </w:rPr>
        <w:t>承担。</w:t>
      </w:r>
    </w:p>
    <w:p>
      <w:pPr>
        <w:pStyle w:val="null3"/>
        <w:numPr>
          <w:ilvl w:val="0"/>
          <w:numId w:val="1"/>
        </w:numPr>
      </w:pPr>
      <w:r>
        <w:rPr>
          <w:sz w:val="20"/>
          <w:color w:val="000000"/>
        </w:rPr>
        <w:t>如</w:t>
      </w:r>
      <w:r>
        <w:rPr>
          <w:sz w:val="20"/>
          <w:color w:val="000000"/>
        </w:rPr>
        <w:t>乙方</w:t>
      </w:r>
      <w:r>
        <w:rPr>
          <w:sz w:val="20"/>
          <w:color w:val="000000"/>
        </w:rPr>
        <w:t>未经</w:t>
      </w:r>
      <w:r>
        <w:rPr>
          <w:sz w:val="20"/>
          <w:color w:val="000000"/>
        </w:rPr>
        <w:t>甲方</w:t>
      </w:r>
      <w:r>
        <w:rPr>
          <w:sz w:val="20"/>
          <w:color w:val="000000"/>
        </w:rPr>
        <w:t>书面同意擅自更换项目组人员，</w:t>
      </w:r>
      <w:r>
        <w:rPr>
          <w:sz w:val="20"/>
          <w:color w:val="000000"/>
        </w:rPr>
        <w:t>甲方</w:t>
      </w:r>
      <w:r>
        <w:rPr>
          <w:sz w:val="20"/>
          <w:color w:val="000000"/>
        </w:rPr>
        <w:t>有权扣除</w:t>
      </w:r>
      <w:r>
        <w:rPr>
          <w:sz w:val="20"/>
          <w:color w:val="000000"/>
        </w:rPr>
        <w:t>乙方</w:t>
      </w:r>
      <w:r>
        <w:rPr>
          <w:sz w:val="20"/>
          <w:color w:val="000000"/>
        </w:rPr>
        <w:t>一定的违约金。发生本条上述情况累计达</w:t>
      </w:r>
      <w:r>
        <w:rPr>
          <w:sz w:val="20"/>
          <w:color w:val="000000"/>
        </w:rPr>
        <w:t>4次后，</w:t>
      </w:r>
      <w:r>
        <w:rPr>
          <w:sz w:val="20"/>
          <w:color w:val="000000"/>
        </w:rPr>
        <w:t>甲方</w:t>
      </w:r>
      <w:r>
        <w:rPr>
          <w:sz w:val="20"/>
          <w:color w:val="000000"/>
        </w:rPr>
        <w:t>有权终止合同，由此引致的经济损失，</w:t>
      </w:r>
      <w:r>
        <w:rPr>
          <w:sz w:val="20"/>
          <w:color w:val="000000"/>
        </w:rPr>
        <w:t>乙方</w:t>
      </w:r>
      <w:r>
        <w:rPr>
          <w:sz w:val="20"/>
          <w:color w:val="000000"/>
        </w:rPr>
        <w:t>须全额赔偿，</w:t>
      </w:r>
      <w:r>
        <w:rPr>
          <w:sz w:val="20"/>
          <w:color w:val="000000"/>
        </w:rPr>
        <w:t>甲方</w:t>
      </w:r>
      <w:r>
        <w:rPr>
          <w:sz w:val="20"/>
          <w:color w:val="000000"/>
        </w:rPr>
        <w:t>保留追究</w:t>
      </w:r>
      <w:r>
        <w:rPr>
          <w:sz w:val="20"/>
          <w:color w:val="000000"/>
        </w:rPr>
        <w:t>乙方</w:t>
      </w:r>
      <w:r>
        <w:rPr>
          <w:sz w:val="20"/>
          <w:color w:val="000000"/>
        </w:rPr>
        <w:t>相关责任的权利。</w:t>
      </w:r>
    </w:p>
    <w:p>
      <w:pPr>
        <w:pStyle w:val="null3"/>
        <w:numPr>
          <w:ilvl w:val="0"/>
          <w:numId w:val="1"/>
        </w:numPr>
      </w:pPr>
      <w:r>
        <w:rPr>
          <w:sz w:val="20"/>
          <w:color w:val="000000"/>
        </w:rPr>
        <w:t>乙方</w:t>
      </w:r>
      <w:r>
        <w:rPr>
          <w:sz w:val="20"/>
          <w:color w:val="000000"/>
        </w:rPr>
        <w:t>对其雇员的人身安全负全部责任。</w:t>
      </w:r>
    </w:p>
    <w:p>
      <w:pPr>
        <w:pStyle w:val="null3"/>
        <w:numPr>
          <w:ilvl w:val="0"/>
          <w:numId w:val="1"/>
        </w:numPr>
      </w:pPr>
      <w:r>
        <w:rPr>
          <w:sz w:val="20"/>
          <w:b/>
          <w:color w:val="000000"/>
        </w:rPr>
        <w:t>投诉跟踪服务要求：</w:t>
      </w:r>
    </w:p>
    <w:p>
      <w:pPr>
        <w:pStyle w:val="null3"/>
        <w:numPr>
          <w:ilvl w:val="0"/>
          <w:numId w:val="1"/>
        </w:numPr>
      </w:pPr>
      <w:r>
        <w:rPr>
          <w:sz w:val="20"/>
          <w:color w:val="000000"/>
        </w:rPr>
        <w:t>服务时间内，乙方须提供常设每周</w:t>
      </w:r>
      <w:r>
        <w:rPr>
          <w:sz w:val="20"/>
          <w:color w:val="000000"/>
        </w:rPr>
        <w:t>7天×24小时服务专线技术支持。</w:t>
      </w:r>
    </w:p>
    <w:p>
      <w:pPr>
        <w:pStyle w:val="null3"/>
        <w:numPr>
          <w:ilvl w:val="0"/>
          <w:numId w:val="1"/>
        </w:numPr>
      </w:pPr>
      <w:r>
        <w:rPr>
          <w:sz w:val="20"/>
          <w:color w:val="000000"/>
        </w:rPr>
        <w:t>对甲方的服务通知，乙方必须符合以下要求：</w:t>
      </w:r>
      <w:r>
        <w:rPr>
          <w:sz w:val="20"/>
          <w:color w:val="000000"/>
        </w:rPr>
        <w:t>1、</w:t>
      </w:r>
      <w:r>
        <w:rPr>
          <w:sz w:val="20"/>
          <w:color w:val="000000"/>
        </w:rPr>
        <w:t>在接报后</w:t>
      </w:r>
      <w:r>
        <w:rPr>
          <w:sz w:val="20"/>
          <w:color w:val="000000"/>
        </w:rPr>
        <w:t>1小时内响应；</w:t>
      </w:r>
      <w:r>
        <w:rPr>
          <w:sz w:val="20"/>
          <w:color w:val="000000"/>
        </w:rPr>
        <w:t>2、</w:t>
      </w:r>
      <w:r>
        <w:rPr>
          <w:sz w:val="20"/>
          <w:color w:val="000000"/>
        </w:rPr>
        <w:t>4小时内到达现场；</w:t>
      </w:r>
      <w:r>
        <w:rPr>
          <w:sz w:val="20"/>
          <w:color w:val="000000"/>
        </w:rPr>
        <w:t>3、</w:t>
      </w:r>
      <w:r>
        <w:rPr>
          <w:sz w:val="20"/>
          <w:color w:val="000000"/>
        </w:rPr>
        <w:t>24小时内处理完毕。</w:t>
      </w:r>
    </w:p>
    <w:p>
      <w:pPr>
        <w:pStyle w:val="null3"/>
        <w:numPr>
          <w:ilvl w:val="0"/>
          <w:numId w:val="1"/>
        </w:numPr>
      </w:pPr>
      <w:r>
        <w:rPr>
          <w:sz w:val="20"/>
          <w:color w:val="000000"/>
        </w:rPr>
        <w:t>上述</w:t>
      </w:r>
      <w:r>
        <w:rPr>
          <w:sz w:val="20"/>
          <w:color w:val="000000"/>
        </w:rPr>
        <w:t>服务要求</w:t>
      </w:r>
      <w:r>
        <w:rPr>
          <w:sz w:val="20"/>
          <w:color w:val="000000"/>
        </w:rPr>
        <w:t>费用包含在服务费中。</w:t>
      </w:r>
    </w:p>
    <w:p>
      <w:pPr>
        <w:pStyle w:val="null3"/>
        <w:numPr>
          <w:ilvl w:val="0"/>
          <w:numId w:val="1"/>
        </w:numPr>
      </w:pPr>
      <w:r>
        <w:rPr>
          <w:sz w:val="20"/>
          <w:b/>
          <w:color w:val="000000"/>
        </w:rPr>
        <w:t>验收要求：</w:t>
      </w:r>
    </w:p>
    <w:p>
      <w:pPr>
        <w:pStyle w:val="null3"/>
        <w:numPr>
          <w:ilvl w:val="0"/>
          <w:numId w:val="1"/>
        </w:numPr>
        <w:jc w:val="left"/>
      </w:pPr>
      <w:r>
        <w:rPr>
          <w:sz w:val="20"/>
          <w:color w:val="000000"/>
        </w:rPr>
        <w:t>验收主体</w:t>
      </w:r>
    </w:p>
    <w:p>
      <w:pPr>
        <w:pStyle w:val="null3"/>
        <w:numPr>
          <w:ilvl w:val="0"/>
          <w:numId w:val="1"/>
        </w:numPr>
        <w:jc w:val="left"/>
      </w:pPr>
      <w:r>
        <w:rPr>
          <w:sz w:val="20"/>
          <w:color w:val="000000"/>
        </w:rPr>
        <w:t>组织验收方：</w:t>
      </w:r>
      <w:r>
        <w:rPr>
          <w:sz w:val="20"/>
          <w:color w:val="000000"/>
        </w:rPr>
        <w:t>甲方</w:t>
      </w:r>
      <w:r>
        <w:rPr>
          <w:sz w:val="20"/>
          <w:color w:val="000000"/>
        </w:rPr>
        <w:t>（采购单位）；</w:t>
      </w:r>
    </w:p>
    <w:p>
      <w:pPr>
        <w:pStyle w:val="null3"/>
        <w:numPr>
          <w:ilvl w:val="0"/>
          <w:numId w:val="1"/>
        </w:numPr>
        <w:jc w:val="left"/>
      </w:pPr>
      <w:r>
        <w:rPr>
          <w:sz w:val="20"/>
          <w:color w:val="000000"/>
        </w:rPr>
        <w:t>验收组成员：采购单位项目负责人，必要时委托生态环境监测站参与技术复核；</w:t>
      </w:r>
    </w:p>
    <w:p>
      <w:pPr>
        <w:pStyle w:val="null3"/>
        <w:numPr>
          <w:ilvl w:val="0"/>
          <w:numId w:val="1"/>
        </w:numPr>
        <w:jc w:val="left"/>
      </w:pPr>
      <w:r>
        <w:rPr>
          <w:sz w:val="20"/>
          <w:color w:val="000000"/>
        </w:rPr>
        <w:t>乙方</w:t>
      </w:r>
      <w:r>
        <w:rPr>
          <w:sz w:val="20"/>
          <w:color w:val="000000"/>
        </w:rPr>
        <w:t>责任：中标单位为被验收方，负责提供全部验收资料、现场配合、答疑及整改。</w:t>
      </w:r>
    </w:p>
    <w:p>
      <w:pPr>
        <w:pStyle w:val="null3"/>
        <w:numPr>
          <w:ilvl w:val="0"/>
          <w:numId w:val="1"/>
        </w:numPr>
        <w:jc w:val="left"/>
      </w:pPr>
      <w:r>
        <w:rPr>
          <w:sz w:val="20"/>
          <w:color w:val="000000"/>
        </w:rPr>
        <w:t>验收时间</w:t>
      </w:r>
    </w:p>
    <w:p>
      <w:pPr>
        <w:pStyle w:val="null3"/>
        <w:numPr>
          <w:ilvl w:val="0"/>
          <w:numId w:val="1"/>
        </w:numPr>
        <w:jc w:val="left"/>
      </w:pPr>
      <w:r>
        <w:rPr>
          <w:sz w:val="20"/>
          <w:color w:val="000000"/>
        </w:rPr>
        <w:t>阶段验收时间：按合同约定节点</w:t>
      </w:r>
      <w:r>
        <w:rPr>
          <w:sz w:val="20"/>
          <w:color w:val="000000"/>
        </w:rPr>
        <w:t>乙方</w:t>
      </w:r>
      <w:r>
        <w:rPr>
          <w:sz w:val="20"/>
          <w:color w:val="000000"/>
        </w:rPr>
        <w:t>向</w:t>
      </w:r>
      <w:r>
        <w:rPr>
          <w:sz w:val="20"/>
          <w:color w:val="000000"/>
        </w:rPr>
        <w:t>甲方</w:t>
      </w:r>
      <w:r>
        <w:rPr>
          <w:sz w:val="20"/>
          <w:color w:val="000000"/>
        </w:rPr>
        <w:t>提交至</w:t>
      </w:r>
      <w:r>
        <w:rPr>
          <w:sz w:val="20"/>
          <w:color w:val="000000"/>
        </w:rPr>
        <w:t>2027年</w:t>
      </w:r>
      <w:r>
        <w:rPr>
          <w:sz w:val="20"/>
          <w:color w:val="000000"/>
        </w:rPr>
        <w:t>第三季度</w:t>
      </w:r>
      <w:r>
        <w:rPr>
          <w:sz w:val="20"/>
          <w:color w:val="000000"/>
        </w:rPr>
        <w:t>的所有检测报告、</w:t>
      </w:r>
      <w:r>
        <w:rPr>
          <w:sz w:val="20"/>
          <w:color w:val="000000"/>
        </w:rPr>
        <w:t>季度分析报告</w:t>
      </w:r>
      <w:r>
        <w:rPr>
          <w:sz w:val="20"/>
          <w:color w:val="000000"/>
        </w:rPr>
        <w:t>和年度分析报告后</w:t>
      </w:r>
      <w:r>
        <w:rPr>
          <w:sz w:val="20"/>
          <w:color w:val="000000"/>
        </w:rPr>
        <w:t>10 个工作日内；</w:t>
      </w:r>
    </w:p>
    <w:p>
      <w:pPr>
        <w:pStyle w:val="null3"/>
        <w:numPr>
          <w:ilvl w:val="0"/>
          <w:numId w:val="1"/>
        </w:numPr>
        <w:jc w:val="left"/>
      </w:pPr>
      <w:r>
        <w:rPr>
          <w:sz w:val="20"/>
          <w:color w:val="000000"/>
        </w:rPr>
        <w:t>最终验收时间：</w:t>
      </w:r>
      <w:r>
        <w:rPr>
          <w:sz w:val="20"/>
          <w:color w:val="000000"/>
        </w:rPr>
        <w:t>乙方</w:t>
      </w:r>
      <w:r>
        <w:rPr>
          <w:sz w:val="20"/>
          <w:color w:val="000000"/>
        </w:rPr>
        <w:t>完成合同期内服务，按要求向</w:t>
      </w:r>
      <w:r>
        <w:rPr>
          <w:sz w:val="20"/>
          <w:color w:val="000000"/>
        </w:rPr>
        <w:t>甲方</w:t>
      </w:r>
      <w:r>
        <w:rPr>
          <w:sz w:val="20"/>
          <w:color w:val="000000"/>
        </w:rPr>
        <w:t>提交所有检测报告、</w:t>
      </w:r>
      <w:r>
        <w:rPr>
          <w:sz w:val="20"/>
          <w:color w:val="000000"/>
        </w:rPr>
        <w:t>季度分析报告</w:t>
      </w:r>
      <w:r>
        <w:rPr>
          <w:sz w:val="20"/>
          <w:color w:val="000000"/>
        </w:rPr>
        <w:t>、年度分析报告后</w:t>
      </w:r>
      <w:r>
        <w:rPr>
          <w:sz w:val="20"/>
          <w:color w:val="000000"/>
        </w:rPr>
        <w:t>10个工作日内；</w:t>
      </w:r>
    </w:p>
    <w:p>
      <w:pPr>
        <w:pStyle w:val="null3"/>
        <w:numPr>
          <w:ilvl w:val="0"/>
          <w:numId w:val="1"/>
        </w:numPr>
        <w:jc w:val="left"/>
      </w:pPr>
      <w:r>
        <w:rPr>
          <w:sz w:val="20"/>
          <w:color w:val="000000"/>
        </w:rPr>
        <w:t>整改复验时间：验收不合格的，</w:t>
      </w:r>
      <w:r>
        <w:rPr>
          <w:sz w:val="20"/>
          <w:color w:val="000000"/>
        </w:rPr>
        <w:t>乙方</w:t>
      </w:r>
      <w:r>
        <w:rPr>
          <w:sz w:val="20"/>
          <w:color w:val="000000"/>
        </w:rPr>
        <w:t>须在</w:t>
      </w:r>
      <w:r>
        <w:rPr>
          <w:sz w:val="20"/>
          <w:color w:val="000000"/>
        </w:rPr>
        <w:t>7个工作日内完成整改并申请复验。</w:t>
      </w:r>
    </w:p>
    <w:p>
      <w:pPr>
        <w:pStyle w:val="null3"/>
        <w:numPr>
          <w:ilvl w:val="0"/>
          <w:numId w:val="1"/>
        </w:numPr>
        <w:jc w:val="left"/>
      </w:pPr>
      <w:r>
        <w:rPr>
          <w:sz w:val="20"/>
          <w:color w:val="000000"/>
        </w:rPr>
        <w:t>验收方式与程序</w:t>
      </w:r>
    </w:p>
    <w:p>
      <w:pPr>
        <w:pStyle w:val="null3"/>
        <w:ind w:firstLine="400"/>
        <w:jc w:val="left"/>
      </w:pPr>
      <w:r>
        <w:rPr>
          <w:sz w:val="20"/>
          <w:color w:val="000000"/>
        </w:rPr>
        <w:t>资料验收：台账核对、监测数据与报告核对。</w:t>
      </w:r>
    </w:p>
    <w:p>
      <w:pPr>
        <w:pStyle w:val="null3"/>
        <w:numPr>
          <w:ilvl w:val="0"/>
          <w:numId w:val="1"/>
        </w:numPr>
        <w:jc w:val="left"/>
      </w:pPr>
      <w:r>
        <w:rPr>
          <w:sz w:val="20"/>
          <w:color w:val="000000"/>
        </w:rPr>
        <w:t>验收程序</w:t>
      </w:r>
    </w:p>
    <w:p>
      <w:pPr>
        <w:pStyle w:val="null3"/>
        <w:numPr>
          <w:ilvl w:val="0"/>
          <w:numId w:val="1"/>
        </w:numPr>
        <w:jc w:val="left"/>
      </w:pPr>
      <w:r>
        <w:rPr>
          <w:sz w:val="20"/>
          <w:color w:val="000000"/>
        </w:rPr>
        <w:t>提交申请：中标方</w:t>
      </w:r>
      <w:r>
        <w:rPr>
          <w:sz w:val="20"/>
          <w:color w:val="000000"/>
        </w:rPr>
        <w:t>按照</w:t>
      </w:r>
      <w:r>
        <w:rPr>
          <w:sz w:val="20"/>
          <w:color w:val="000000"/>
        </w:rPr>
        <w:t>合同约定</w:t>
      </w:r>
      <w:r>
        <w:rPr>
          <w:sz w:val="20"/>
          <w:color w:val="000000"/>
        </w:rPr>
        <w:t>完成</w:t>
      </w:r>
      <w:r>
        <w:rPr>
          <w:sz w:val="20"/>
          <w:color w:val="000000"/>
        </w:rPr>
        <w:t>工作后，向</w:t>
      </w:r>
      <w:r>
        <w:rPr>
          <w:sz w:val="20"/>
          <w:color w:val="000000"/>
        </w:rPr>
        <w:t>甲方</w:t>
      </w:r>
      <w:r>
        <w:rPr>
          <w:sz w:val="20"/>
          <w:color w:val="000000"/>
        </w:rPr>
        <w:t>提交书面验收申请及全套验收资料；</w:t>
      </w:r>
    </w:p>
    <w:p>
      <w:pPr>
        <w:pStyle w:val="null3"/>
        <w:numPr>
          <w:ilvl w:val="0"/>
          <w:numId w:val="1"/>
        </w:numPr>
        <w:jc w:val="left"/>
      </w:pPr>
      <w:r>
        <w:rPr>
          <w:sz w:val="20"/>
          <w:color w:val="000000"/>
        </w:rPr>
        <w:t>资料</w:t>
      </w:r>
      <w:r>
        <w:rPr>
          <w:sz w:val="20"/>
          <w:color w:val="000000"/>
        </w:rPr>
        <w:t>审核</w:t>
      </w:r>
      <w:r>
        <w:rPr>
          <w:sz w:val="20"/>
          <w:color w:val="000000"/>
        </w:rPr>
        <w:t>：采购单位对提交资料的完整性、规范性进行</w:t>
      </w:r>
      <w:r>
        <w:rPr>
          <w:sz w:val="20"/>
          <w:color w:val="000000"/>
        </w:rPr>
        <w:t>审核</w:t>
      </w:r>
      <w:r>
        <w:rPr>
          <w:sz w:val="20"/>
          <w:color w:val="000000"/>
        </w:rPr>
        <w:t>。资料不全或不符合要求的，限期补充整改；</w:t>
      </w:r>
    </w:p>
    <w:p>
      <w:pPr>
        <w:pStyle w:val="null3"/>
        <w:numPr>
          <w:ilvl w:val="0"/>
          <w:numId w:val="1"/>
        </w:numPr>
        <w:jc w:val="left"/>
      </w:pPr>
      <w:r>
        <w:rPr>
          <w:sz w:val="20"/>
          <w:color w:val="000000"/>
        </w:rPr>
        <w:t>形成验收意见：形成《项目验收意见书》，明确</w:t>
      </w:r>
      <w:r>
        <w:rPr>
          <w:sz w:val="20"/>
          <w:color w:val="000000"/>
        </w:rPr>
        <w:t>“通过”或“不通过”的结论。若“不通过”，详细列出存在的问题和整改期限；</w:t>
      </w:r>
    </w:p>
    <w:p>
      <w:pPr>
        <w:pStyle w:val="null3"/>
        <w:numPr>
          <w:ilvl w:val="0"/>
          <w:numId w:val="1"/>
        </w:numPr>
        <w:jc w:val="left"/>
      </w:pPr>
      <w:r>
        <w:rPr>
          <w:sz w:val="20"/>
          <w:color w:val="000000"/>
        </w:rPr>
        <w:t>归档与支付：验收通过后，</w:t>
      </w:r>
      <w:r>
        <w:rPr>
          <w:sz w:val="20"/>
          <w:color w:val="000000"/>
        </w:rPr>
        <w:t>甲方</w:t>
      </w:r>
      <w:r>
        <w:rPr>
          <w:sz w:val="20"/>
          <w:color w:val="000000"/>
        </w:rPr>
        <w:t>完成项目资料归档，并依据合同约定支付款项。</w:t>
      </w:r>
    </w:p>
    <w:p>
      <w:pPr>
        <w:pStyle w:val="null3"/>
        <w:numPr>
          <w:ilvl w:val="0"/>
          <w:numId w:val="1"/>
        </w:numPr>
        <w:jc w:val="left"/>
      </w:pPr>
      <w:r>
        <w:rPr>
          <w:sz w:val="20"/>
          <w:color w:val="000000"/>
        </w:rPr>
        <w:t>验收内容</w:t>
      </w:r>
    </w:p>
    <w:p>
      <w:pPr>
        <w:pStyle w:val="null3"/>
        <w:numPr>
          <w:ilvl w:val="0"/>
          <w:numId w:val="1"/>
        </w:numPr>
        <w:jc w:val="left"/>
      </w:pPr>
      <w:r>
        <w:rPr>
          <w:sz w:val="20"/>
          <w:color w:val="000000"/>
        </w:rPr>
        <w:t>组织机构与人员配备：质量管理制度、安全制度、应急预案制定情况，项目负责人、监测人员持证上岗、到岗履职情况；</w:t>
      </w:r>
    </w:p>
    <w:p>
      <w:pPr>
        <w:pStyle w:val="null3"/>
        <w:numPr>
          <w:ilvl w:val="0"/>
          <w:numId w:val="1"/>
        </w:numPr>
        <w:jc w:val="left"/>
      </w:pPr>
      <w:r>
        <w:rPr>
          <w:sz w:val="20"/>
          <w:color w:val="000000"/>
        </w:rPr>
        <w:t>监测方案执行：监测点位、因子、频次、方法严格按招标文件与合同执行，无擅自变更点位、减少频次、降低标准等情况；</w:t>
      </w:r>
    </w:p>
    <w:p>
      <w:pPr>
        <w:pStyle w:val="null3"/>
        <w:numPr>
          <w:ilvl w:val="0"/>
          <w:numId w:val="1"/>
        </w:numPr>
        <w:jc w:val="left"/>
      </w:pPr>
      <w:r>
        <w:rPr>
          <w:sz w:val="20"/>
          <w:color w:val="000000"/>
        </w:rPr>
        <w:t>现场监测与采样规范性：现场记录、影像资料完整，样品保存、运输、交接符合规范；</w:t>
      </w:r>
    </w:p>
    <w:p>
      <w:pPr>
        <w:pStyle w:val="null3"/>
        <w:numPr>
          <w:ilvl w:val="0"/>
          <w:numId w:val="1"/>
        </w:numPr>
        <w:jc w:val="left"/>
      </w:pPr>
      <w:r>
        <w:rPr>
          <w:sz w:val="20"/>
          <w:color w:val="000000"/>
        </w:rPr>
        <w:t>监测数据与质量控制：数据真实、可追溯，无漏报、迟报情况；</w:t>
      </w:r>
    </w:p>
    <w:p>
      <w:pPr>
        <w:pStyle w:val="null3"/>
        <w:numPr>
          <w:ilvl w:val="0"/>
          <w:numId w:val="1"/>
        </w:numPr>
        <w:jc w:val="left"/>
      </w:pPr>
      <w:r>
        <w:rPr>
          <w:sz w:val="20"/>
          <w:color w:val="000000"/>
        </w:rPr>
        <w:t>成果报告与成果交付：</w:t>
      </w:r>
      <w:r>
        <w:rPr>
          <w:sz w:val="20"/>
          <w:color w:val="000000"/>
        </w:rPr>
        <w:t>监</w:t>
      </w:r>
      <w:r>
        <w:rPr>
          <w:sz w:val="20"/>
          <w:color w:val="000000"/>
        </w:rPr>
        <w:t>测报告</w:t>
      </w:r>
      <w:r>
        <w:rPr>
          <w:sz w:val="20"/>
          <w:color w:val="000000"/>
        </w:rPr>
        <w:t>、分析报告盖章、装订完整；</w:t>
      </w:r>
    </w:p>
    <w:p>
      <w:pPr>
        <w:pStyle w:val="null3"/>
        <w:numPr>
          <w:ilvl w:val="0"/>
          <w:numId w:val="1"/>
        </w:numPr>
        <w:jc w:val="left"/>
      </w:pPr>
      <w:r>
        <w:rPr>
          <w:sz w:val="20"/>
          <w:color w:val="000000"/>
        </w:rPr>
        <w:t>保密情况：数据保密、不泄露、不违规使用。</w:t>
      </w:r>
    </w:p>
    <w:p>
      <w:pPr>
        <w:pStyle w:val="null3"/>
        <w:numPr>
          <w:ilvl w:val="0"/>
          <w:numId w:val="1"/>
        </w:numPr>
        <w:jc w:val="left"/>
      </w:pPr>
      <w:r>
        <w:rPr>
          <w:sz w:val="20"/>
          <w:color w:val="000000"/>
        </w:rPr>
        <w:t>验收标准</w:t>
      </w:r>
    </w:p>
    <w:p>
      <w:pPr>
        <w:pStyle w:val="null3"/>
        <w:ind w:firstLine="400"/>
        <w:jc w:val="left"/>
      </w:pPr>
      <w:r>
        <w:rPr>
          <w:sz w:val="20"/>
          <w:color w:val="000000"/>
        </w:rPr>
        <w:t>验收结论依据以下标准判定，所有标准必须同时满足，方可认定为</w:t>
      </w:r>
      <w:r>
        <w:rPr>
          <w:sz w:val="20"/>
          <w:color w:val="000000"/>
        </w:rPr>
        <w:t>“验收合格”：</w:t>
      </w:r>
    </w:p>
    <w:p>
      <w:pPr>
        <w:pStyle w:val="null3"/>
        <w:numPr>
          <w:ilvl w:val="0"/>
          <w:numId w:val="1"/>
        </w:numPr>
        <w:jc w:val="left"/>
      </w:pPr>
      <w:r>
        <w:rPr>
          <w:sz w:val="20"/>
          <w:color w:val="000000"/>
        </w:rPr>
        <w:t>合规性标准：所有监测活动严格遵守国家、行业及地方现行的法律法规、技术规范和标准。</w:t>
      </w:r>
    </w:p>
    <w:p>
      <w:pPr>
        <w:pStyle w:val="null3"/>
        <w:numPr>
          <w:ilvl w:val="0"/>
          <w:numId w:val="1"/>
        </w:numPr>
        <w:jc w:val="left"/>
      </w:pPr>
      <w:r>
        <w:rPr>
          <w:sz w:val="20"/>
          <w:color w:val="000000"/>
        </w:rPr>
        <w:t>完整性标准：合同约定的监测点位、监测指标、监测频次完成，无缺测、漏测，提交的各类资料齐全，格式规范。</w:t>
      </w:r>
    </w:p>
    <w:p>
      <w:pPr>
        <w:pStyle w:val="null3"/>
        <w:numPr>
          <w:ilvl w:val="0"/>
          <w:numId w:val="1"/>
        </w:numPr>
        <w:jc w:val="left"/>
      </w:pPr>
      <w:r>
        <w:rPr>
          <w:sz w:val="20"/>
          <w:color w:val="000000"/>
        </w:rPr>
        <w:t>时效性标准：所有服务响应、任务完成时间均在合同约定的时限内，整改工作在规定期限内完成并通过复验。。</w:t>
      </w:r>
    </w:p>
    <w:p>
      <w:pPr>
        <w:pStyle w:val="null3"/>
        <w:numPr>
          <w:ilvl w:val="0"/>
          <w:numId w:val="1"/>
        </w:numPr>
      </w:pPr>
      <w:r>
        <w:rPr>
          <w:sz w:val="20"/>
          <w:b/>
          <w:color w:val="000000"/>
        </w:rPr>
        <w:t>知识产权和保密要求：</w:t>
      </w:r>
    </w:p>
    <w:p>
      <w:pPr>
        <w:pStyle w:val="null3"/>
        <w:numPr>
          <w:ilvl w:val="0"/>
          <w:numId w:val="1"/>
        </w:numPr>
      </w:pPr>
      <w:r>
        <w:rPr>
          <w:sz w:val="20"/>
          <w:color w:val="000000"/>
        </w:rPr>
        <w:t>成果归属：</w:t>
      </w:r>
    </w:p>
    <w:p>
      <w:pPr>
        <w:pStyle w:val="null3"/>
        <w:numPr>
          <w:ilvl w:val="0"/>
          <w:numId w:val="1"/>
        </w:numPr>
        <w:jc w:val="left"/>
      </w:pPr>
      <w:r>
        <w:rPr>
          <w:sz w:val="20"/>
          <w:color w:val="000000"/>
        </w:rPr>
        <w:t>本项目的所有成果著作权等知识产权和所有权益归甲方所有。未经甲方书面同意，乙方不得引用、发表和向第三者提供。</w:t>
      </w:r>
    </w:p>
    <w:p>
      <w:pPr>
        <w:pStyle w:val="null3"/>
        <w:numPr>
          <w:ilvl w:val="0"/>
          <w:numId w:val="1"/>
        </w:numPr>
        <w:jc w:val="left"/>
      </w:pPr>
      <w:r>
        <w:rPr>
          <w:sz w:val="20"/>
          <w:color w:val="000000"/>
        </w:rPr>
        <w:t>甲方引用乙方的工作成果所完成的新的技术成果，属于甲方所有，甲方可依法享有就该项技术成果取得的精神权利、经济权利和其他权利。</w:t>
      </w:r>
    </w:p>
    <w:p>
      <w:pPr>
        <w:pStyle w:val="null3"/>
        <w:numPr>
          <w:ilvl w:val="0"/>
          <w:numId w:val="1"/>
        </w:numPr>
        <w:jc w:val="left"/>
      </w:pPr>
      <w:r>
        <w:rPr>
          <w:sz w:val="20"/>
          <w:color w:val="000000"/>
        </w:rPr>
        <w:t>无论发生不限于合同何种情形（包括但提前终止或解除），甲方均有权利用乙方的阶段性工作成果，并且甲方引用乙方的阶段性工作成果所完成的新的技术成果，属于甲方所有，甲方可依法享有就该项技术成果取得的精神权利、经济权利和其他权利。</w:t>
      </w:r>
    </w:p>
    <w:p>
      <w:pPr>
        <w:pStyle w:val="null3"/>
        <w:numPr>
          <w:ilvl w:val="0"/>
          <w:numId w:val="1"/>
        </w:numPr>
      </w:pPr>
      <w:r>
        <w:rPr>
          <w:sz w:val="20"/>
          <w:color w:val="000000"/>
        </w:rPr>
        <w:t>保密要求：</w:t>
      </w:r>
    </w:p>
    <w:p>
      <w:pPr>
        <w:pStyle w:val="null3"/>
        <w:ind w:firstLine="400"/>
        <w:jc w:val="both"/>
      </w:pPr>
      <w:r>
        <w:rPr>
          <w:sz w:val="20"/>
          <w:color w:val="000000"/>
        </w:rPr>
        <w:t>在项目实施过程中，对甲方所提供的所有相关资料、数据，未经甲方书面同意</w:t>
      </w:r>
      <w:r>
        <w:rPr>
          <w:sz w:val="20"/>
          <w:color w:val="000000"/>
        </w:rPr>
        <w:t>不得向任何第三人泄露，且保密责任不因合同的终止或解除而失效。如甲方提出要求，乙方须无条件与甲方签订保密协议。项目完成后，乙方须把甲方提供的所有资料、数据完整归还。</w:t>
      </w:r>
    </w:p>
    <w:p>
      <w:pPr>
        <w:pStyle w:val="null3"/>
        <w:numPr>
          <w:ilvl w:val="0"/>
          <w:numId w:val="1"/>
        </w:numPr>
      </w:pPr>
      <w:r>
        <w:rPr>
          <w:sz w:val="20"/>
          <w:b/>
          <w:color w:val="000000"/>
        </w:rPr>
        <w:t>违约责任：</w:t>
      </w:r>
    </w:p>
    <w:p>
      <w:pPr>
        <w:pStyle w:val="null3"/>
        <w:numPr>
          <w:ilvl w:val="0"/>
          <w:numId w:val="1"/>
        </w:numPr>
      </w:pPr>
      <w:r>
        <w:rPr>
          <w:sz w:val="20"/>
          <w:color w:val="000000"/>
        </w:rPr>
        <w:t>乙方未按要求履行合同义务时，须从违约之日起每日按合同总额的</w:t>
      </w:r>
      <w:r>
        <w:rPr/>
        <w:t xml:space="preserve"> </w:t>
      </w:r>
      <w:r>
        <w:rPr>
          <w:sz w:val="20"/>
          <w:color w:val="000000"/>
        </w:rPr>
        <w:t>1</w:t>
      </w:r>
      <w:r>
        <w:rPr>
          <w:sz w:val="20"/>
          <w:color w:val="000000"/>
        </w:rPr>
        <w:t>‰</w:t>
      </w:r>
      <w:r>
        <w:rPr>
          <w:sz w:val="20"/>
          <w:color w:val="000000"/>
        </w:rPr>
        <w:t>比例向甲方支付违约金；逾期</w:t>
      </w:r>
      <w:r>
        <w:rPr/>
        <w:t xml:space="preserve"> </w:t>
      </w:r>
      <w:r>
        <w:rPr>
          <w:sz w:val="20"/>
          <w:color w:val="000000"/>
        </w:rPr>
        <w:t>30</w:t>
      </w:r>
      <w:r>
        <w:rPr/>
        <w:t xml:space="preserve"> </w:t>
      </w:r>
      <w:r>
        <w:rPr>
          <w:sz w:val="20"/>
          <w:color w:val="000000"/>
        </w:rPr>
        <w:t>日以上时，甲方有权终止合同，由此造成甲方的经济损失由乙方承担。违约金不足以弥补甲方损失的，乙方应赔偿甲方的全部损失。</w:t>
      </w:r>
    </w:p>
    <w:p>
      <w:pPr>
        <w:pStyle w:val="null3"/>
        <w:numPr>
          <w:ilvl w:val="0"/>
          <w:numId w:val="1"/>
        </w:numPr>
      </w:pPr>
      <w:r>
        <w:rPr>
          <w:sz w:val="20"/>
          <w:color w:val="000000"/>
        </w:rPr>
        <w:t>甲方未按要求履行合同义务时，或无故拖延验收、付款时，甲方须向乙方支付滞纳金，标准为每日按逾期应付款总额的</w:t>
      </w:r>
      <w:r>
        <w:rPr>
          <w:sz w:val="20"/>
          <w:color w:val="000000"/>
        </w:rPr>
        <w:t>1</w:t>
      </w:r>
      <w:r>
        <w:rPr>
          <w:sz w:val="20"/>
          <w:color w:val="000000"/>
        </w:rPr>
        <w:t xml:space="preserve">‰ </w:t>
      </w:r>
      <w:r>
        <w:rPr>
          <w:sz w:val="20"/>
          <w:color w:val="000000"/>
        </w:rPr>
        <w:t>累计。</w:t>
      </w:r>
    </w:p>
    <w:p>
      <w:pPr>
        <w:pStyle w:val="null3"/>
        <w:numPr>
          <w:ilvl w:val="0"/>
          <w:numId w:val="1"/>
        </w:numPr>
      </w:pPr>
      <w:r>
        <w:rPr>
          <w:sz w:val="20"/>
          <w:color w:val="000000"/>
        </w:rPr>
        <w:t>任何一方由于不可抗力原因不能履行合同时，应在不可抗力事件结束后</w:t>
      </w:r>
      <w:r>
        <w:rPr>
          <w:sz w:val="20"/>
          <w:color w:val="000000"/>
        </w:rPr>
        <w:t>48小时内向对方通报，以减轻可能给对方造成的损失，在取得有关机构的不可抗力证明或双方谅解确认后，允许延期履行或修订合同，并根据情况可部分或全部免于承担违约责任。</w:t>
      </w:r>
    </w:p>
    <w:p>
      <w:pPr>
        <w:pStyle w:val="null3"/>
        <w:numPr>
          <w:ilvl w:val="0"/>
          <w:numId w:val="1"/>
        </w:numPr>
      </w:pPr>
      <w:r>
        <w:rPr>
          <w:sz w:val="20"/>
          <w:color w:val="000000"/>
        </w:rPr>
        <w:t>每月凡出现数据报送不及时（超过限定时限报送），每次扣除</w:t>
      </w:r>
      <w:r>
        <w:rPr>
          <w:sz w:val="20"/>
          <w:color w:val="000000"/>
        </w:rPr>
        <w:t>5000元整，金额次数累计；数据出错误的，每个错误扣除500元整，金额按错误个数累计。扣除金额上限为当期服务费金额。</w:t>
      </w:r>
    </w:p>
    <w:p>
      <w:pPr>
        <w:pStyle w:val="null3"/>
        <w:numPr>
          <w:ilvl w:val="0"/>
          <w:numId w:val="1"/>
        </w:numPr>
      </w:pPr>
      <w:r>
        <w:rPr>
          <w:sz w:val="20"/>
          <w:b/>
          <w:color w:val="000000"/>
        </w:rPr>
        <w:t>提出异议的时间和方法：</w:t>
      </w:r>
    </w:p>
    <w:p>
      <w:pPr>
        <w:pStyle w:val="null3"/>
        <w:numPr>
          <w:ilvl w:val="0"/>
          <w:numId w:val="1"/>
        </w:numPr>
      </w:pPr>
      <w:r>
        <w:rPr>
          <w:sz w:val="20"/>
          <w:color w:val="000000"/>
        </w:rPr>
        <w:t>甲方有异议时，</w:t>
      </w:r>
      <w:r>
        <w:rPr>
          <w:sz w:val="20"/>
          <w:color w:val="000000"/>
        </w:rPr>
        <w:t>应在</w:t>
      </w:r>
      <w:r>
        <w:rPr/>
        <w:t xml:space="preserve"> </w:t>
      </w:r>
      <w:r>
        <w:rPr>
          <w:sz w:val="20"/>
          <w:color w:val="000000"/>
        </w:rPr>
        <w:t>7</w:t>
      </w:r>
      <w:r>
        <w:rPr/>
        <w:t xml:space="preserve"> </w:t>
      </w:r>
      <w:r>
        <w:rPr>
          <w:sz w:val="20"/>
          <w:color w:val="000000"/>
        </w:rPr>
        <w:t>天内向乙方提出书面异议。</w:t>
      </w:r>
    </w:p>
    <w:p>
      <w:pPr>
        <w:pStyle w:val="null3"/>
        <w:numPr>
          <w:ilvl w:val="0"/>
          <w:numId w:val="1"/>
        </w:numPr>
      </w:pPr>
      <w:r>
        <w:rPr>
          <w:sz w:val="20"/>
          <w:color w:val="000000"/>
        </w:rPr>
        <w:t>乙方在接到甲方书面异议后，应在</w:t>
      </w:r>
      <w:r>
        <w:rPr>
          <w:sz w:val="20"/>
          <w:color w:val="000000"/>
        </w:rPr>
        <w:t>3天内负责处理并函复甲方处理情况，否则，即视为默认甲方提出的异议和处理意见。</w:t>
      </w:r>
    </w:p>
    <w:p>
      <w:pPr>
        <w:pStyle w:val="null3"/>
        <w:numPr>
          <w:ilvl w:val="0"/>
          <w:numId w:val="1"/>
        </w:numPr>
      </w:pPr>
      <w:r>
        <w:rPr>
          <w:sz w:val="20"/>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numPr>
          <w:ilvl w:val="0"/>
          <w:numId w:val="1"/>
        </w:numPr>
      </w:pPr>
      <w:r>
        <w:rPr>
          <w:sz w:val="20"/>
          <w:b/>
          <w:color w:val="000000"/>
        </w:rPr>
        <w:t>争议的解决：</w:t>
      </w:r>
    </w:p>
    <w:p>
      <w:pPr>
        <w:pStyle w:val="null3"/>
        <w:numPr>
          <w:ilvl w:val="0"/>
          <w:numId w:val="1"/>
        </w:numPr>
      </w:pPr>
      <w:r>
        <w:rPr>
          <w:sz w:val="20"/>
          <w:color w:val="000000"/>
        </w:rPr>
        <w:t>合同履行过程中发生的任何争议，如双方未能通过友好协商解决，应向</w:t>
      </w:r>
      <w:r>
        <w:rPr>
          <w:sz w:val="20"/>
          <w:color w:val="000000"/>
        </w:rPr>
        <w:t>甲方所在地人民法院</w:t>
      </w:r>
      <w:r>
        <w:rPr>
          <w:sz w:val="20"/>
          <w:color w:val="000000"/>
        </w:rPr>
        <w:t>提起诉讼。</w:t>
      </w:r>
    </w:p>
    <w:p>
      <w:pPr>
        <w:pStyle w:val="null3"/>
        <w:numPr>
          <w:ilvl w:val="0"/>
          <w:numId w:val="1"/>
        </w:numPr>
      </w:pPr>
      <w:r>
        <w:rPr>
          <w:sz w:val="20"/>
          <w:color w:val="000000"/>
        </w:rPr>
        <w:t>法院审理期间，除提交法院审理的事项外，其它无争议的事项和条款仍应继续履行。</w:t>
      </w:r>
    </w:p>
    <w:p>
      <w:pPr>
        <w:pStyle w:val="null3"/>
        <w:numPr>
          <w:ilvl w:val="0"/>
          <w:numId w:val="1"/>
        </w:numPr>
      </w:pPr>
      <w:r>
        <w:rPr>
          <w:sz w:val="20"/>
          <w:b/>
          <w:color w:val="000000"/>
        </w:rPr>
        <w:t>税费：</w:t>
      </w:r>
    </w:p>
    <w:p>
      <w:pPr>
        <w:pStyle w:val="null3"/>
        <w:numPr>
          <w:ilvl w:val="0"/>
          <w:numId w:val="1"/>
        </w:numPr>
      </w:pPr>
      <w:r>
        <w:rPr>
          <w:sz w:val="20"/>
          <w:color w:val="000000"/>
        </w:rPr>
        <w:t>本合同实施过程中所发生的一切税费及不可预见费均由乙方承担。</w:t>
      </w:r>
    </w:p>
    <w:p>
      <w:pPr>
        <w:pStyle w:val="null3"/>
        <w:numPr>
          <w:ilvl w:val="0"/>
          <w:numId w:val="1"/>
        </w:numPr>
      </w:pPr>
      <w:r>
        <w:rPr>
          <w:sz w:val="20"/>
          <w:color w:val="000000"/>
        </w:rPr>
        <w:t>乙方依照税务规章优先在合同履约地开具发票及纳税，咨询：</w:t>
      </w:r>
      <w:r>
        <w:rPr>
          <w:sz w:val="20"/>
          <w:color w:val="000000"/>
        </w:rPr>
        <w:t>0757-12366。</w:t>
      </w:r>
    </w:p>
    <w:p>
      <w:pPr>
        <w:pStyle w:val="null3"/>
        <w:numPr>
          <w:ilvl w:val="0"/>
          <w:numId w:val="1"/>
        </w:numPr>
      </w:pPr>
      <w:r>
        <w:rPr>
          <w:sz w:val="20"/>
          <w:b/>
          <w:color w:val="000000"/>
        </w:rPr>
        <w:t>合同生效与合同备案：</w:t>
      </w:r>
    </w:p>
    <w:p>
      <w:pPr>
        <w:pStyle w:val="null3"/>
        <w:numPr>
          <w:ilvl w:val="0"/>
          <w:numId w:val="1"/>
        </w:numPr>
      </w:pPr>
      <w:r>
        <w:rPr>
          <w:sz w:val="20"/>
          <w:color w:val="000000"/>
        </w:rPr>
        <w:t>本合同在甲乙双方法人代表或其授权代表签字盖章后生效。</w:t>
      </w:r>
    </w:p>
    <w:p>
      <w:pPr>
        <w:pStyle w:val="null3"/>
        <w:numPr>
          <w:ilvl w:val="0"/>
          <w:numId w:val="1"/>
        </w:numPr>
      </w:pPr>
      <w:r>
        <w:rPr>
          <w:sz w:val="20"/>
          <w:color w:val="000000"/>
        </w:rPr>
        <w:t>自采购合同签订之日起</w:t>
      </w:r>
      <w:r>
        <w:rPr>
          <w:sz w:val="20"/>
          <w:color w:val="000000"/>
        </w:rPr>
        <w:t>7个工作日内，由甲方按照有关规定将采购合同副本报同级人民政府财政部门（政府采购管理部门）备案。</w:t>
      </w:r>
    </w:p>
    <w:p>
      <w:pPr>
        <w:pStyle w:val="null3"/>
        <w:numPr>
          <w:ilvl w:val="0"/>
          <w:numId w:val="1"/>
        </w:numPr>
      </w:pPr>
      <w:r>
        <w:rPr>
          <w:sz w:val="20"/>
          <w:b/>
          <w:color w:val="000000"/>
        </w:rPr>
        <w:t>乙方应提供的资料内容：</w:t>
      </w:r>
      <w:r>
        <w:rPr>
          <w:u w:val="single"/>
        </w:rPr>
        <w:t xml:space="preserve">                                        </w:t>
      </w:r>
      <w:r>
        <w:rPr>
          <w:sz w:val="20"/>
          <w:color w:val="000000"/>
        </w:rPr>
        <w:t>。</w:t>
      </w:r>
    </w:p>
    <w:p>
      <w:pPr>
        <w:pStyle w:val="null3"/>
        <w:numPr>
          <w:ilvl w:val="0"/>
          <w:numId w:val="1"/>
        </w:numPr>
      </w:pPr>
      <w:r>
        <w:rPr>
          <w:sz w:val="20"/>
          <w:b/>
          <w:color w:val="000000"/>
        </w:rPr>
        <w:t>关于政府采购合同融资</w:t>
      </w:r>
    </w:p>
    <w:p>
      <w:pPr>
        <w:pStyle w:val="null3"/>
        <w:numPr>
          <w:ilvl w:val="0"/>
          <w:numId w:val="1"/>
        </w:numPr>
      </w:pPr>
      <w:r>
        <w:rPr>
          <w:sz w:val="20"/>
          <w:color w:val="000000"/>
        </w:rPr>
        <w:t>乙方是否已申请政府采购合同融资：</w:t>
      </w:r>
      <w:r>
        <w:rPr>
          <w:sz w:val="20"/>
          <w:color w:val="000000"/>
          <w:u w:val="single"/>
        </w:rPr>
        <w:t xml:space="preserve">  </w:t>
      </w:r>
      <w:r>
        <w:rPr>
          <w:sz w:val="20"/>
          <w:color w:val="000000"/>
          <w:u w:val="single"/>
        </w:rPr>
        <w:t>否</w:t>
      </w:r>
      <w:r>
        <w:rPr>
          <w:sz w:val="20"/>
          <w:color w:val="000000"/>
          <w:u w:val="single"/>
        </w:rPr>
        <w:t xml:space="preserve">  </w:t>
      </w:r>
      <w:r>
        <w:rPr>
          <w:sz w:val="20"/>
          <w:color w:val="000000"/>
        </w:rPr>
        <w:t>；</w:t>
      </w:r>
    </w:p>
    <w:p>
      <w:pPr>
        <w:pStyle w:val="null3"/>
        <w:numPr>
          <w:ilvl w:val="0"/>
          <w:numId w:val="1"/>
        </w:numPr>
      </w:pPr>
      <w:r>
        <w:rPr>
          <w:sz w:val="20"/>
          <w:color w:val="000000"/>
        </w:rPr>
        <w:t>融资银行及联系方式：</w:t>
      </w:r>
      <w:r>
        <w:rPr/>
        <w:t xml:space="preserve"> </w:t>
      </w:r>
      <w:r>
        <w:rPr>
          <w:u w:val="single"/>
        </w:rPr>
        <w:t xml:space="preserve">                                               </w:t>
      </w:r>
      <w:r>
        <w:rPr>
          <w:sz w:val="20"/>
          <w:color w:val="000000"/>
        </w:rPr>
        <w:t>。</w:t>
      </w:r>
    </w:p>
    <w:p>
      <w:pPr>
        <w:pStyle w:val="null3"/>
        <w:numPr>
          <w:ilvl w:val="0"/>
          <w:numId w:val="1"/>
        </w:numPr>
      </w:pPr>
      <w:r>
        <w:rPr>
          <w:sz w:val="20"/>
          <w:color w:val="000000"/>
        </w:rPr>
        <w:t>若乙方已申请政府采购合同融资，其在本合同中登记的</w:t>
      </w:r>
      <w:r>
        <w:rPr>
          <w:sz w:val="20"/>
          <w:color w:val="000000"/>
        </w:rPr>
        <w:t>银行账号</w:t>
      </w:r>
      <w:r>
        <w:rPr>
          <w:sz w:val="20"/>
          <w:color w:val="000000"/>
        </w:rPr>
        <w:t>应与金融机构签订融资协议中约定的融资回款账户一致，此账户作为政府采购融资合同资金回款的唯一账户，未获得融资银行同意，乙方不得随意变更</w:t>
      </w:r>
      <w:r>
        <w:rPr>
          <w:sz w:val="20"/>
          <w:color w:val="000000"/>
        </w:rPr>
        <w:t>。</w:t>
      </w:r>
    </w:p>
    <w:p>
      <w:pPr>
        <w:pStyle w:val="null3"/>
        <w:numPr>
          <w:ilvl w:val="0"/>
          <w:numId w:val="1"/>
        </w:numPr>
      </w:pPr>
      <w:r>
        <w:rPr>
          <w:sz w:val="20"/>
          <w:b/>
          <w:color w:val="000000"/>
        </w:rPr>
        <w:t>其它：</w:t>
      </w:r>
      <w:r>
        <w:rPr/>
        <w:t xml:space="preserve"> </w:t>
      </w:r>
    </w:p>
    <w:p>
      <w:pPr>
        <w:pStyle w:val="null3"/>
        <w:numPr>
          <w:ilvl w:val="0"/>
          <w:numId w:val="1"/>
        </w:numPr>
      </w:pPr>
      <w:r>
        <w:rPr>
          <w:sz w:val="20"/>
          <w:color w:val="000000"/>
        </w:rPr>
        <w:t>甲方</w:t>
      </w:r>
      <w:r>
        <w:rPr>
          <w:sz w:val="20"/>
          <w:color w:val="000000"/>
        </w:rPr>
        <w:t>可能根据上级要求或其他工作需要原因随时调整监测点位</w:t>
      </w:r>
      <w:r>
        <w:rPr>
          <w:sz w:val="20"/>
          <w:color w:val="000000"/>
        </w:rPr>
        <w:t>位置</w:t>
      </w:r>
      <w:r>
        <w:rPr>
          <w:sz w:val="20"/>
          <w:color w:val="000000"/>
        </w:rPr>
        <w:t>，具体以</w:t>
      </w:r>
      <w:r>
        <w:rPr>
          <w:sz w:val="20"/>
          <w:color w:val="000000"/>
        </w:rPr>
        <w:t>甲方</w:t>
      </w:r>
      <w:r>
        <w:rPr>
          <w:sz w:val="20"/>
          <w:color w:val="000000"/>
        </w:rPr>
        <w:t>实际通知为准。在合同履行期间，若监测点位数量需增加（减）而引起合同款调整的项目，</w:t>
      </w:r>
      <w:r>
        <w:rPr>
          <w:sz w:val="20"/>
          <w:color w:val="000000"/>
        </w:rPr>
        <w:t>乙方</w:t>
      </w:r>
      <w:r>
        <w:rPr>
          <w:sz w:val="20"/>
          <w:color w:val="000000"/>
        </w:rPr>
        <w:t>须作好现场记录，留下相应影像或实物资料，并得到</w:t>
      </w:r>
      <w:r>
        <w:rPr>
          <w:sz w:val="20"/>
          <w:color w:val="000000"/>
        </w:rPr>
        <w:t>甲方</w:t>
      </w:r>
      <w:r>
        <w:rPr>
          <w:sz w:val="20"/>
          <w:color w:val="000000"/>
        </w:rPr>
        <w:t>书面确认，</w:t>
      </w:r>
      <w:r>
        <w:rPr>
          <w:sz w:val="20"/>
          <w:color w:val="000000"/>
        </w:rPr>
        <w:t>甲方</w:t>
      </w:r>
      <w:r>
        <w:rPr>
          <w:sz w:val="20"/>
          <w:color w:val="000000"/>
        </w:rPr>
        <w:t>将根据单项的合同价作为结算依据，按实际完成的监测点位数计算结算价。增减金额不作为项目进度款支付</w:t>
      </w:r>
      <w:r>
        <w:rPr>
          <w:sz w:val="20"/>
          <w:color w:val="000000"/>
        </w:rPr>
        <w:t>,结算时统一支付(增减)</w:t>
      </w:r>
      <w:r>
        <w:rPr>
          <w:sz w:val="20"/>
          <w:color w:val="000000"/>
        </w:rPr>
        <w:t>。</w:t>
      </w:r>
    </w:p>
    <w:p>
      <w:pPr>
        <w:pStyle w:val="null3"/>
        <w:numPr>
          <w:ilvl w:val="0"/>
          <w:numId w:val="1"/>
        </w:numPr>
      </w:pPr>
      <w:r>
        <w:rPr>
          <w:sz w:val="20"/>
          <w:color w:val="000000"/>
        </w:rPr>
        <w:t xml:space="preserve"> </w:t>
      </w:r>
      <w:r>
        <w:rPr>
          <w:sz w:val="20"/>
          <w:color w:val="000000"/>
        </w:rPr>
        <w:t>对于检测过程中在用的所有计量仪器设备，必须由国家计量部门或其授权单位按有关要求检定合同并在有效期内。</w:t>
      </w:r>
    </w:p>
    <w:p>
      <w:pPr>
        <w:pStyle w:val="null3"/>
        <w:numPr>
          <w:ilvl w:val="0"/>
          <w:numId w:val="1"/>
        </w:numPr>
      </w:pPr>
      <w:r>
        <w:rPr>
          <w:sz w:val="20"/>
          <w:color w:val="000000"/>
        </w:rPr>
        <w:t>乙方具备水样运输保存的必要条件：冷藏（</w:t>
      </w:r>
      <w:r>
        <w:rPr>
          <w:sz w:val="20"/>
          <w:color w:val="000000"/>
        </w:rPr>
        <w:t>2～5℃）、控制pH 和加化学保存剂（生物抑制剂、氧化剂或还原剂）等。</w:t>
      </w:r>
    </w:p>
    <w:p>
      <w:pPr>
        <w:pStyle w:val="null3"/>
        <w:numPr>
          <w:ilvl w:val="0"/>
          <w:numId w:val="1"/>
        </w:numPr>
      </w:pPr>
      <w:r>
        <w:rPr>
          <w:sz w:val="20"/>
          <w:color w:val="000000"/>
        </w:rPr>
        <w:t>在检测期间，</w:t>
      </w:r>
      <w:r>
        <w:rPr>
          <w:sz w:val="20"/>
          <w:color w:val="000000"/>
        </w:rPr>
        <w:t>乙方</w:t>
      </w:r>
      <w:r>
        <w:rPr>
          <w:sz w:val="20"/>
          <w:color w:val="000000"/>
        </w:rPr>
        <w:t>必须遵守国家的有关</w:t>
      </w:r>
      <w:r>
        <w:rPr>
          <w:sz w:val="20"/>
          <w:color w:val="000000"/>
        </w:rPr>
        <w:t>法律法规</w:t>
      </w:r>
      <w:r>
        <w:rPr>
          <w:sz w:val="20"/>
          <w:color w:val="000000"/>
        </w:rPr>
        <w:t>及其他规定，本着为</w:t>
      </w:r>
      <w:r>
        <w:rPr>
          <w:sz w:val="20"/>
          <w:color w:val="000000"/>
        </w:rPr>
        <w:t>甲方</w:t>
      </w:r>
      <w:r>
        <w:rPr>
          <w:sz w:val="20"/>
          <w:color w:val="000000"/>
        </w:rPr>
        <w:t>负责的精神，依照规范，科学管理，确保河涌水质检测运行达到国家及行业颁布的技术标准和</w:t>
      </w:r>
      <w:r>
        <w:rPr>
          <w:sz w:val="20"/>
          <w:color w:val="000000"/>
        </w:rPr>
        <w:t>甲方</w:t>
      </w:r>
      <w:r>
        <w:rPr>
          <w:sz w:val="20"/>
          <w:color w:val="000000"/>
        </w:rPr>
        <w:t>要求的考核指标要求，真正发挥河涌水质检测效能和作用</w:t>
      </w:r>
    </w:p>
    <w:p>
      <w:pPr>
        <w:pStyle w:val="null3"/>
        <w:numPr>
          <w:ilvl w:val="0"/>
          <w:numId w:val="1"/>
        </w:numPr>
      </w:pPr>
      <w:r>
        <w:rPr>
          <w:sz w:val="20"/>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numPr>
          <w:ilvl w:val="0"/>
          <w:numId w:val="1"/>
        </w:numPr>
      </w:pPr>
      <w:r>
        <w:rPr>
          <w:sz w:val="20"/>
          <w:color w:val="000000"/>
        </w:rPr>
        <w:t>如一方（包括联系人）地址、电话、传真号码有变更，应在变更后</w:t>
      </w:r>
      <w:r>
        <w:rPr>
          <w:sz w:val="20"/>
          <w:color w:val="000000"/>
        </w:rPr>
        <w:t>3个工作日内书面通知对方联系人或负责人，否则，因此造成的损失由未履行通知义务方承担相应责任。</w:t>
      </w:r>
    </w:p>
    <w:p>
      <w:pPr>
        <w:pStyle w:val="null3"/>
        <w:numPr>
          <w:ilvl w:val="0"/>
          <w:numId w:val="1"/>
        </w:numPr>
      </w:pPr>
      <w:r>
        <w:rPr>
          <w:sz w:val="20"/>
          <w:color w:val="000000"/>
        </w:rPr>
        <w:t>未经甲方书面同意，乙方不得擅自向第三方转让其主体性和关键性合同义务。</w:t>
      </w:r>
    </w:p>
    <w:p>
      <w:pPr>
        <w:pStyle w:val="null3"/>
        <w:numPr>
          <w:ilvl w:val="0"/>
          <w:numId w:val="1"/>
        </w:numPr>
      </w:pPr>
      <w:r>
        <w:rPr>
          <w:sz w:val="20"/>
          <w:color w:val="000000"/>
        </w:rPr>
        <w:t>本合同一式</w:t>
      </w:r>
      <w:r>
        <w:rPr>
          <w:sz w:val="20"/>
          <w:color w:val="000000"/>
          <w:u w:val="single"/>
        </w:rPr>
        <w:t xml:space="preserve"> </w:t>
      </w:r>
      <w:r>
        <w:rPr>
          <w:sz w:val="20"/>
          <w:color w:val="000000"/>
          <w:u w:val="single"/>
        </w:rPr>
        <w:t>肆</w:t>
      </w:r>
      <w:r>
        <w:rPr>
          <w:sz w:val="20"/>
          <w:color w:val="000000"/>
        </w:rPr>
        <w:t>份，甲方执</w:t>
      </w:r>
      <w:r>
        <w:rPr>
          <w:sz w:val="20"/>
          <w:color w:val="000000"/>
        </w:rPr>
        <w:t xml:space="preserve"> </w:t>
      </w:r>
      <w:r>
        <w:rPr>
          <w:sz w:val="20"/>
          <w:color w:val="000000"/>
        </w:rPr>
        <w:t>贰</w:t>
      </w:r>
      <w:r>
        <w:rPr>
          <w:sz w:val="20"/>
          <w:color w:val="000000"/>
        </w:rPr>
        <w:t>份，乙方执</w:t>
      </w:r>
      <w:r>
        <w:rPr>
          <w:sz w:val="20"/>
          <w:color w:val="000000"/>
          <w:u w:val="single"/>
        </w:rPr>
        <w:t xml:space="preserve"> </w:t>
      </w:r>
      <w:r>
        <w:rPr>
          <w:sz w:val="20"/>
          <w:color w:val="000000"/>
          <w:u w:val="single"/>
        </w:rPr>
        <w:t>贰</w:t>
      </w:r>
      <w:r>
        <w:rPr>
          <w:sz w:val="20"/>
          <w:color w:val="000000"/>
        </w:rPr>
        <w:t>份。</w:t>
      </w:r>
    </w:p>
    <w:p>
      <w:pPr>
        <w:pStyle w:val="null3"/>
        <w:numPr>
          <w:ilvl w:val="0"/>
          <w:numId w:val="1"/>
        </w:numPr>
      </w:pPr>
      <w:r>
        <w:rPr>
          <w:sz w:val="20"/>
          <w:color w:val="000000"/>
        </w:rPr>
        <w:t>本合同（含附件）共计</w:t>
      </w:r>
      <w:r>
        <w:rPr/>
        <w:t xml:space="preserve">  </w:t>
      </w:r>
      <w:r>
        <w:rPr>
          <w:sz w:val="20"/>
          <w:color w:val="000000"/>
        </w:rPr>
        <w:t>页，缺页之合同为无效合同。</w:t>
      </w:r>
    </w:p>
    <w:p>
      <w:pPr>
        <w:pStyle w:val="null3"/>
        <w:numPr>
          <w:ilvl w:val="0"/>
          <w:numId w:val="1"/>
        </w:numPr>
      </w:pPr>
      <w:r>
        <w:rPr>
          <w:sz w:val="20"/>
          <w:color w:val="000000"/>
        </w:rPr>
        <w:t>本合同签约履约地点：广东省佛山市。</w:t>
      </w:r>
    </w:p>
    <w:p>
      <w:pPr>
        <w:pStyle w:val="null3"/>
        <w:numPr>
          <w:ilvl w:val="0"/>
          <w:numId w:val="1"/>
        </w:numPr>
      </w:pPr>
      <w:r>
        <w:rPr>
          <w:sz w:val="20"/>
          <w:color w:val="000000"/>
        </w:rPr>
        <w:t>本合同所指</w:t>
      </w:r>
      <w:r>
        <w:rPr>
          <w:sz w:val="20"/>
          <w:color w:val="000000"/>
        </w:rPr>
        <w:t>“书面通知”包括但不限于短信、电子邮件等数据电文的通知形式，到达时间以民事诉讼法的规定为准，但进行书面通知前后，通知方均有义务电话确认通知事项。</w:t>
      </w:r>
    </w:p>
    <w:p>
      <w:pPr>
        <w:pStyle w:val="null3"/>
        <w:numPr>
          <w:ilvl w:val="0"/>
          <w:numId w:val="1"/>
        </w:numPr>
      </w:pPr>
      <w:r>
        <w:rPr>
          <w:sz w:val="20"/>
          <w:color w:val="000000"/>
        </w:rPr>
        <w:t>双方均已对以上各条款及附件作充分了解，并明确理解由此而产生的相关权责。</w:t>
      </w:r>
    </w:p>
    <w:p>
      <w:pPr>
        <w:pStyle w:val="null3"/>
        <w:jc w:val="both"/>
      </w:pPr>
      <w:r>
        <w:rPr>
          <w:sz w:val="20"/>
          <w:b/>
        </w:rPr>
        <w:t>（完）</w:t>
      </w:r>
    </w:p>
    <w:p>
      <w:pPr>
        <w:pStyle w:val="null3"/>
        <w:ind w:firstLine="420"/>
        <w:jc w:val="both"/>
      </w:pPr>
      <w:r>
        <w:rPr>
          <w:sz w:val="20"/>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甲方（盖章）：</w:t>
            </w:r>
          </w:p>
          <w:p>
            <w:pPr>
              <w:pStyle w:val="null3"/>
              <w:jc w:val="both"/>
            </w:pPr>
            <w:r>
              <w:rPr>
                <w:sz w:val="20"/>
              </w:rPr>
              <w:t>代表：</w:t>
            </w:r>
            <w:r>
              <w:rPr>
                <w:sz w:val="21"/>
                <w:u w:val="single"/>
              </w:rPr>
              <w:t xml:space="preserve">                             </w:t>
            </w:r>
          </w:p>
          <w:p>
            <w:pPr>
              <w:pStyle w:val="null3"/>
              <w:jc w:val="both"/>
            </w:pPr>
            <w:r>
              <w:rPr>
                <w:sz w:val="20"/>
              </w:rPr>
              <w:t>地址：</w:t>
            </w:r>
          </w:p>
          <w:p>
            <w:pPr>
              <w:pStyle w:val="null3"/>
              <w:jc w:val="both"/>
            </w:pPr>
            <w:r>
              <w:rPr>
                <w:sz w:val="20"/>
              </w:rPr>
              <w:t>电话：</w:t>
            </w:r>
          </w:p>
          <w:p>
            <w:pPr>
              <w:pStyle w:val="null3"/>
              <w:jc w:val="both"/>
            </w:pPr>
            <w:r>
              <w:rPr>
                <w:sz w:val="20"/>
              </w:rPr>
              <w:t>传真：</w:t>
            </w:r>
          </w:p>
          <w:p>
            <w:pPr>
              <w:pStyle w:val="null3"/>
              <w:jc w:val="both"/>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乙方（盖章）：</w:t>
            </w:r>
          </w:p>
          <w:p>
            <w:pPr>
              <w:pStyle w:val="null3"/>
              <w:jc w:val="both"/>
            </w:pPr>
            <w:r>
              <w:rPr>
                <w:sz w:val="20"/>
              </w:rPr>
              <w:t>代表：</w:t>
            </w:r>
            <w:r>
              <w:rPr>
                <w:sz w:val="21"/>
                <w:u w:val="single"/>
              </w:rPr>
              <w:t xml:space="preserve">                             </w:t>
            </w:r>
          </w:p>
          <w:p>
            <w:pPr>
              <w:pStyle w:val="null3"/>
              <w:jc w:val="both"/>
            </w:pPr>
            <w:r>
              <w:rPr>
                <w:sz w:val="20"/>
              </w:rPr>
              <w:t>地址：</w:t>
            </w:r>
          </w:p>
          <w:p>
            <w:pPr>
              <w:pStyle w:val="null3"/>
              <w:jc w:val="both"/>
            </w:pPr>
            <w:r>
              <w:rPr>
                <w:sz w:val="20"/>
              </w:rPr>
              <w:t>电话：</w:t>
            </w:r>
          </w:p>
          <w:p>
            <w:pPr>
              <w:pStyle w:val="null3"/>
              <w:jc w:val="both"/>
            </w:pPr>
            <w:r>
              <w:rPr>
                <w:sz w:val="20"/>
              </w:rPr>
              <w:t>传真：</w:t>
            </w:r>
          </w:p>
          <w:p>
            <w:pPr>
              <w:pStyle w:val="null3"/>
              <w:jc w:val="both"/>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jc w:val="both"/>
            </w:pPr>
            <w:r>
              <w:rPr>
                <w:sz w:val="20"/>
              </w:rPr>
              <w:t>开户名称：</w:t>
            </w:r>
          </w:p>
          <w:p>
            <w:pPr>
              <w:pStyle w:val="null3"/>
              <w:jc w:val="both"/>
            </w:pPr>
            <w:r>
              <w:rPr>
                <w:sz w:val="20"/>
              </w:rPr>
              <w:t>银行账号</w:t>
            </w:r>
            <w:r>
              <w:rPr>
                <w:sz w:val="20"/>
              </w:rPr>
              <w:t>：</w:t>
            </w:r>
          </w:p>
          <w:p>
            <w:pPr>
              <w:pStyle w:val="null3"/>
              <w:jc w:val="both"/>
            </w:pPr>
            <w:r>
              <w:rPr>
                <w:sz w:val="20"/>
              </w:rPr>
              <w:t>开</w:t>
            </w:r>
            <w:r>
              <w:rPr>
                <w:sz w:val="20"/>
              </w:rPr>
              <w:t>户</w:t>
            </w:r>
            <w:r>
              <w:rPr>
                <w:sz w:val="20"/>
              </w:rPr>
              <w:t>行：</w:t>
            </w:r>
          </w:p>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b/>
              </w:rPr>
              <w:t>见证单位：</w:t>
            </w:r>
            <w:r>
              <w:rPr>
                <w:sz w:val="21"/>
                <w:b/>
              </w:rPr>
              <w:t xml:space="preserve"> </w:t>
            </w:r>
          </w:p>
          <w:p>
            <w:pPr>
              <w:pStyle w:val="null3"/>
              <w:jc w:val="both"/>
            </w:pPr>
            <w:r>
              <w:rPr>
                <w:sz w:val="20"/>
              </w:rPr>
              <w:t>经办人：</w:t>
            </w:r>
            <w:r>
              <w:rPr>
                <w:sz w:val="21"/>
                <w:u w:val="single"/>
              </w:rPr>
              <w:t xml:space="preserve">                          </w:t>
            </w:r>
          </w:p>
          <w:p>
            <w:pPr>
              <w:pStyle w:val="null3"/>
              <w:jc w:val="both"/>
            </w:pPr>
            <w:r>
              <w:rPr>
                <w:sz w:val="20"/>
              </w:rPr>
              <w:t>业务电话：</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收款方、开票方须与乙方一致，专户为：</w:t>
            </w:r>
          </w:p>
          <w:p>
            <w:pPr>
              <w:pStyle w:val="null3"/>
            </w:pPr>
            <w:r>
              <w:rPr>
                <w:sz w:val="20"/>
                <w:color w:val="000000"/>
              </w:rPr>
              <w:t>开户名称：</w:t>
            </w:r>
          </w:p>
          <w:p>
            <w:pPr>
              <w:pStyle w:val="null3"/>
            </w:pPr>
            <w:r>
              <w:rPr>
                <w:sz w:val="20"/>
                <w:color w:val="000000"/>
              </w:rPr>
              <w:t>银行账号：</w:t>
            </w:r>
          </w:p>
          <w:p>
            <w:pPr>
              <w:pStyle w:val="null3"/>
              <w:jc w:val="both"/>
            </w:pPr>
            <w:r>
              <w:rPr>
                <w:sz w:val="20"/>
                <w:color w:val="000000"/>
              </w:rPr>
              <w:t>开</w:t>
            </w:r>
            <w:r>
              <w:rPr>
                <w:sz w:val="20"/>
                <w:color w:val="000000"/>
              </w:rPr>
              <w:t>户</w:t>
            </w:r>
            <w:r>
              <w:rPr>
                <w:sz w:val="20"/>
                <w:color w:val="000000"/>
              </w:rPr>
              <w:t>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合同生效日期：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sz w:val="20"/>
          <w:b/>
          <w:color w:val="000000"/>
        </w:rPr>
        <w:t>合同附件清单：</w:t>
      </w:r>
    </w:p>
    <w:p>
      <w:pPr>
        <w:pStyle w:val="null3"/>
        <w:jc w:val="both"/>
      </w:pPr>
      <w:r>
        <w:rPr>
          <w:sz w:val="20"/>
          <w:b/>
          <w:color w:val="000000"/>
        </w:rPr>
        <w:t>附件一、《报价清单明细表》</w:t>
      </w:r>
    </w:p>
    <w:p>
      <w:pPr>
        <w:pStyle w:val="null3"/>
        <w:jc w:val="both"/>
      </w:pPr>
      <w:r>
        <w:rPr/>
        <w:t xml:space="preserve"> </w:t>
      </w:r>
    </w:p>
    <w:p>
      <w:pPr>
        <w:pStyle w:val="null3"/>
        <w:spacing w:before="255" w:after="150"/>
        <w:jc w:val="center"/>
        <w:outlineLvl w:val="2"/>
      </w:pPr>
      <w:r>
        <w:rPr>
          <w:sz w:val="32"/>
          <w:b/>
          <w:color w:val="000000"/>
        </w:rPr>
        <w:t xml:space="preserve"> </w:t>
      </w:r>
      <w:r>
        <w:rPr>
          <w:sz w:val="32"/>
          <w:b/>
          <w:color w:val="000000"/>
        </w:rPr>
        <w:t>附件一、《报价清单明细表》</w:t>
      </w:r>
    </w:p>
    <w:tbl>
      <w:tblPr>
        <w:tblW w:w="0" w:type="auto"/>
        <w:tblBorders>
          <w:top w:val="none" w:color="000000" w:sz="4"/>
          <w:left w:val="none" w:color="000000" w:sz="4"/>
          <w:bottom w:val="none" w:color="000000" w:sz="4"/>
          <w:right w:val="none" w:color="000000" w:sz="4"/>
          <w:insideH w:val="none"/>
          <w:insideV w:val="none"/>
        </w:tblBorders>
      </w:tblPr>
      <w:tblGrid>
        <w:gridCol w:w="431"/>
        <w:gridCol w:w="1995"/>
        <w:gridCol w:w="2211"/>
        <w:gridCol w:w="970"/>
        <w:gridCol w:w="512"/>
        <w:gridCol w:w="660"/>
        <w:gridCol w:w="903"/>
        <w:gridCol w:w="552"/>
      </w:tblGrid>
      <w:tr>
        <w:tc>
          <w:tcPr>
            <w:tcW w:type="dxa" w:w="431"/>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序号</w:t>
            </w:r>
          </w:p>
        </w:tc>
        <w:tc>
          <w:tcPr>
            <w:tcW w:type="dxa" w:w="1995"/>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服务项目</w:t>
            </w:r>
          </w:p>
        </w:tc>
        <w:tc>
          <w:tcPr>
            <w:tcW w:type="dxa" w:w="2211"/>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服务内容</w:t>
            </w:r>
          </w:p>
        </w:tc>
        <w:tc>
          <w:tcPr>
            <w:tcW w:type="dxa" w:w="970"/>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数量（监测点数）</w:t>
            </w:r>
          </w:p>
        </w:tc>
        <w:tc>
          <w:tcPr>
            <w:tcW w:type="dxa" w:w="512"/>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频次</w:t>
            </w:r>
          </w:p>
        </w:tc>
        <w:tc>
          <w:tcPr>
            <w:tcW w:type="dxa" w:w="660"/>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单价</w:t>
            </w:r>
          </w:p>
        </w:tc>
        <w:tc>
          <w:tcPr>
            <w:tcW w:type="dxa" w:w="903"/>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小计</w:t>
            </w:r>
          </w:p>
        </w:tc>
        <w:tc>
          <w:tcPr>
            <w:tcW w:type="dxa" w:w="552"/>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备注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67条城乡黑臭水体，每个季度全覆盖监测</w:t>
            </w:r>
          </w:p>
        </w:tc>
        <w:tc>
          <w:tcPr>
            <w:tcW w:type="dxa" w:w="2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开展上、中、下游断面水质监测，监测项目：溶解氧、氨氮、透明度共</w:t>
            </w:r>
            <w:r>
              <w:rPr>
                <w:sz w:val="22"/>
                <w:color w:val="000000"/>
              </w:rPr>
              <w:t>3个项目，并按月报送检测报告。</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201</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52</w:t>
            </w:r>
            <w:r>
              <w:rPr>
                <w:sz w:val="22"/>
                <w:color w:val="000000"/>
              </w:rPr>
              <w:t>条农村黑臭水体，每个季度全覆盖监测</w:t>
            </w:r>
          </w:p>
        </w:tc>
        <w:tc>
          <w:tcPr>
            <w:tcW w:type="dxa" w:w="2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开展上、中、下游断面水质监测，监测项目：溶解氧、氨氮、透明度共</w:t>
            </w:r>
            <w:r>
              <w:rPr>
                <w:sz w:val="22"/>
                <w:color w:val="000000"/>
              </w:rPr>
              <w:t>3个项目，并按月报送检测报告。</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456</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季度数据分析报告</w:t>
            </w:r>
          </w:p>
        </w:tc>
        <w:tc>
          <w:tcPr>
            <w:tcW w:type="dxa" w:w="2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分析报告应包括但不限于：河涌水质类别判定、达标率统计、结合我区河涌整治情况对比历年河涌监测数据等进行环比、同比等数据分析，得出水质变化原因并提出水质改善工作建议。</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2026、2027年度数据分析报告</w:t>
            </w:r>
          </w:p>
        </w:tc>
        <w:tc>
          <w:tcPr>
            <w:tcW w:type="dxa" w:w="2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分析报告应包括但不限于：河涌水质类别判定、达标率统计、结合我区河涌整治情况对比历年河涌监测数据等进行环比、同比等数据分析，得出水质变化原因并提出水质改善工作建议。</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7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4"/>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报价汇总：人民币</w:t>
            </w:r>
            <w:r>
              <w:rPr>
                <w:sz w:val="21"/>
                <w:b/>
                <w:u w:val="single"/>
              </w:rPr>
              <w:t xml:space="preserve">     </w:t>
            </w:r>
            <w:r>
              <w:rPr>
                <w:sz w:val="22"/>
                <w:b/>
                <w:color w:val="000000"/>
              </w:rPr>
              <w:t>元。</w:t>
            </w:r>
          </w:p>
        </w:tc>
      </w:tr>
    </w:tbl>
    <w:p>
      <w:pPr>
        <w:pStyle w:val="null3"/>
        <w:spacing w:before="150"/>
        <w:ind w:firstLine="2400"/>
        <w:jc w:val="right"/>
      </w:pPr>
      <w:r>
        <w:rPr>
          <w:sz w:val="21"/>
          <w:b/>
          <w:color w:val="000000"/>
        </w:rPr>
        <w:t>注：</w:t>
      </w:r>
      <w:r>
        <w:rPr>
          <w:sz w:val="21"/>
          <w:color w:val="000000"/>
        </w:rPr>
        <w:t>所有价格均用人民币表示，单位为元</w:t>
      </w:r>
      <w:r>
        <w:rPr>
          <w:sz w:val="21"/>
          <w:color w:val="000000"/>
        </w:rPr>
        <w:t>。</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440606-2026-02198</w:t>
      </w:r>
    </w:p>
    <w:p>
      <w:pPr>
        <w:pStyle w:val="null3"/>
        <w:jc w:val="center"/>
        <w:outlineLvl w:val="3"/>
      </w:pPr>
      <w:r>
        <w:rPr>
          <w:sz w:val="24"/>
          <w:b/>
        </w:rPr>
        <w:t>采购项目编号：</w:t>
      </w:r>
      <w:r>
        <w:rPr>
          <w:sz w:val="24"/>
          <w:b/>
        </w:rPr>
        <w:t>GDZC-26GZ012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w:t>
      </w:r>
    </w:p>
    <w:p>
      <w:pPr>
        <w:pStyle w:val="null3"/>
        <w:ind w:firstLine="480"/>
      </w:pPr>
      <w:r>
        <w:rPr/>
        <w:t xml:space="preserve"> 你方组织的</w:t>
      </w:r>
      <w:r>
        <w:rPr>
          <w:u w:val="single"/>
        </w:rPr>
        <w:t>“</w:t>
      </w:r>
      <w:r>
        <w:rPr>
          <w:u w:val="single"/>
        </w:rPr>
        <w:t>2026年4月-2028年3月顺德区水环境跟踪监测项目</w:t>
      </w:r>
      <w:r>
        <w:rPr>
          <w:u w:val="single"/>
        </w:rPr>
        <w:t>”</w:t>
      </w:r>
      <w:r>
        <w:rPr/>
        <w:t>项目的招标[采购项目编号为：</w:t>
      </w:r>
      <w:r>
        <w:rPr>
          <w:u w:val="single"/>
        </w:rPr>
        <w:t>GDZC-26GZ012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2026年4月-2028年3月顺德区水环境跟踪监测项目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2026年4月-2028年3月顺德区水环境跟踪监测项目</w:t>
      </w:r>
      <w:r>
        <w:rPr/>
        <w:t>”项目采购[采购项目编号为</w:t>
      </w:r>
      <w:r>
        <w:rPr/>
        <w:t>GDZC-26GZ012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佛山市生态环境局顺德分局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w:t>
      </w:r>
    </w:p>
    <w:p>
      <w:pPr>
        <w:pStyle w:val="null3"/>
        <w:ind w:firstLine="480"/>
      </w:pPr>
      <w:r>
        <w:rPr/>
        <w:t xml:space="preserve"> 如果我方在贵采购代理机构组织的</w:t>
      </w:r>
      <w:r>
        <w:rPr/>
        <w:t>2026年4月-2028年3月顺德区水环境跟踪监测项目</w:t>
      </w:r>
      <w:r>
        <w:rPr/>
        <w:t>招标中获中标（采购项目编号：</w:t>
      </w:r>
      <w:r>
        <w:rPr/>
        <w:t>GDZC-26GZ012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2026年4月-2028年3月顺德区水环境跟踪监测项目</w:t>
      </w:r>
      <w:r>
        <w:rPr/>
        <w:t>”项目（采购项目编号：</w:t>
      </w:r>
      <w:r>
        <w:rPr/>
        <w:t>GDZC-26GZ012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