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440601-2026-01294</w:t>
      </w:r>
    </w:p>
    <w:p>
      <w:pPr>
        <w:pStyle w:val="null3"/>
        <w:jc w:val="center"/>
        <w:outlineLvl w:val="3"/>
      </w:pPr>
      <w:r>
        <w:rPr>
          <w:sz w:val="24"/>
          <w:b/>
        </w:rPr>
        <w:t>采购项目编号：</w:t>
      </w:r>
      <w:r>
        <w:rPr>
          <w:sz w:val="24"/>
          <w:b/>
        </w:rPr>
        <w:t>GDZC-26JC037</w:t>
      </w:r>
    </w:p>
    <w:p>
      <w:pPr>
        <w:pStyle w:val="null3"/>
        <w:jc w:val="center"/>
        <w:outlineLvl w:val="3"/>
      </w:pPr>
      <w:r>
        <w:rPr>
          <w:sz w:val="24"/>
          <w:b/>
        </w:rPr>
        <w:t>项目名称：</w:t>
      </w:r>
      <w:r>
        <w:rPr>
          <w:sz w:val="24"/>
          <w:b/>
        </w:rPr>
        <w:t>佛山市数字化城市管理信息系统运作服务（2026-2027年）</w:t>
      </w:r>
    </w:p>
    <w:p>
      <w:pPr>
        <w:pStyle w:val="null3"/>
        <w:jc w:val="center"/>
        <w:outlineLvl w:val="3"/>
      </w:pPr>
      <w:r>
        <w:rPr>
          <w:sz w:val="24"/>
          <w:b/>
        </w:rPr>
        <w:t>采购人：</w:t>
      </w:r>
      <w:r>
        <w:rPr>
          <w:sz w:val="24"/>
          <w:b/>
        </w:rPr>
        <w:t>佛山市城市管理和综合执法局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广东中采招标有限公司</w:t>
      </w:r>
      <w:r>
        <w:rPr/>
        <w:t>受</w:t>
      </w:r>
      <w:r>
        <w:rPr/>
        <w:t>佛山市城市管理和综合执法局</w:t>
      </w:r>
      <w:r>
        <w:rPr/>
        <w:t>的委托，采用</w:t>
      </w:r>
      <w:r>
        <w:rPr/>
        <w:t>竞争性磋商</w:t>
      </w:r>
      <w:r>
        <w:rPr/>
        <w:t>方式组织采购</w:t>
      </w:r>
      <w:r>
        <w:rPr/>
        <w:t>佛山市数字化城市管理信息系统运作服务（2026-2027年）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佛山市数字化城市管理信息系统运作服务（2026-2027年）</w:t>
      </w:r>
    </w:p>
    <w:p>
      <w:pPr>
        <w:pStyle w:val="null3"/>
        <w:ind w:firstLine="480"/>
      </w:pPr>
      <w:r>
        <w:rPr/>
        <w:t>采购计划编号：</w:t>
      </w:r>
      <w:r>
        <w:rPr/>
        <w:t>440601-2026-01294</w:t>
      </w:r>
    </w:p>
    <w:p>
      <w:pPr>
        <w:pStyle w:val="null3"/>
        <w:ind w:firstLine="480"/>
      </w:pPr>
      <w:r>
        <w:rPr/>
        <w:t>采购项目编号：</w:t>
      </w:r>
      <w:r>
        <w:rPr/>
        <w:t>GDZC-26JC037</w:t>
      </w:r>
    </w:p>
    <w:p>
      <w:pPr>
        <w:pStyle w:val="null3"/>
        <w:ind w:firstLine="480"/>
      </w:pPr>
      <w:r>
        <w:rPr/>
        <w:t>采购方式：</w:t>
      </w:r>
      <w:r>
        <w:rPr/>
        <w:t>竞争性磋商</w:t>
      </w:r>
    </w:p>
    <w:p>
      <w:pPr>
        <w:pStyle w:val="null3"/>
        <w:ind w:firstLine="480"/>
      </w:pPr>
      <w:r>
        <w:rPr/>
        <w:t>预算金额：</w:t>
      </w:r>
      <w:r>
        <w:rPr/>
        <w:t>1,755,000.00</w:t>
      </w:r>
      <w:r>
        <w:rPr/>
        <w:t>元</w:t>
      </w:r>
    </w:p>
    <w:p>
      <w:pPr>
        <w:pStyle w:val="null3"/>
        <w:outlineLvl w:val="3"/>
      </w:pPr>
      <w:r>
        <w:rPr>
          <w:sz w:val="24"/>
          <w:b/>
        </w:rPr>
        <w:t>2.项目内容及需求情况（采购项目技术规格、参数及要求）</w:t>
      </w:r>
    </w:p>
    <w:p>
      <w:pPr>
        <w:pStyle w:val="null3"/>
      </w:pPr>
      <w:r>
        <w:rPr/>
        <w:t>采购包1(佛山市数字化城市管理信息系统运作服务（2026-2027年）):</w:t>
      </w:r>
    </w:p>
    <w:p>
      <w:pPr>
        <w:pStyle w:val="null3"/>
      </w:pPr>
      <w:r>
        <w:rPr/>
        <w:t>采购包预算金额：1,755,000.00元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佛山市数字化城市管理信息系统运作服务（2026-2027年）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合同履行期限：2026年6月1日至2027年5月31日。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响应供应商为自然人的需提供自然人身份证明扫描件。</w:t>
      </w:r>
    </w:p>
    <w:p>
      <w:pPr>
        <w:pStyle w:val="null3"/>
      </w:pPr>
      <w:r>
        <w:rPr/>
        <w:t>2）有依法缴纳税收和社会保障资金的良好记录：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承诺函格式见公告附件）；②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采购包1（佛山市数字化城市管理信息系统运作服务（2026-2027年））：</w:t>
      </w:r>
      <w:r>
        <w:rPr/>
        <w:t>本采购包整体专门面向中小企业采购，监狱企业、残疾人福利性单位视同小型、微型企业。（1）中小微企业评审及《中小企业声明函》填写要求：①本项目为服务类项目，响应供应商须根据本项目采购类别选择对应的《中小企业声明函》填写。②本项目采购标的对应的中小微企业划分标准所属行业详见采购文件“第二章 采购需求—2.技术标准与要求”，中小微企业划型标准详见《关于印发中小企业划型标准规定的通知》（工信部联企业〔2011〕300号）（http://www.gov.cn/zwgk/2011-07/04/content_1898747.htm）。③响应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采购包1（佛山市数字化城市管理信息系统运作服务（2026-2027年））：</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磋商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广东省公共资源交易平台（粤公平）（https://ygp.gdzwfw.gov.cn/#/44/index）及采购代理机构网站（http://www.gdzczb.com）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佛山市城市管理和综合执法局</w:t>
      </w:r>
    </w:p>
    <w:p>
      <w:pPr>
        <w:pStyle w:val="null3"/>
        <w:ind w:firstLine="480"/>
      </w:pPr>
      <w:r>
        <w:rPr/>
        <w:t>地址：</w:t>
      </w:r>
      <w:r>
        <w:rPr/>
        <w:t>佛山市禅城区人民路98号</w:t>
      </w:r>
    </w:p>
    <w:p>
      <w:pPr>
        <w:pStyle w:val="null3"/>
        <w:ind w:firstLine="480"/>
      </w:pPr>
      <w:r>
        <w:rPr/>
        <w:t>联系方式：</w:t>
      </w:r>
      <w:r>
        <w:rPr/>
        <w:t>0757-83939137</w:t>
      </w:r>
    </w:p>
    <w:p>
      <w:pPr>
        <w:pStyle w:val="null3"/>
        <w:outlineLvl w:val="3"/>
      </w:pPr>
      <w:r>
        <w:rPr>
          <w:sz w:val="24"/>
          <w:b/>
        </w:rPr>
        <w:t>2.采购代理机构信息</w:t>
      </w:r>
    </w:p>
    <w:p>
      <w:pPr>
        <w:pStyle w:val="null3"/>
        <w:ind w:firstLine="480"/>
      </w:pPr>
      <w:r>
        <w:rPr/>
        <w:t>名称：</w:t>
      </w:r>
      <w:r>
        <w:rPr/>
        <w:t>广东中采招标有限公司</w:t>
      </w:r>
    </w:p>
    <w:p>
      <w:pPr>
        <w:pStyle w:val="null3"/>
        <w:ind w:firstLine="480"/>
      </w:pPr>
      <w:r>
        <w:rPr/>
        <w:t xml:space="preserve"> 地址：</w:t>
      </w:r>
      <w:r>
        <w:rPr/>
        <w:t>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张小姐、何小姐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背景：为加快城市管理数字化转型，推进城市治理流程优化、业务协同和模式创新，佛山市城市管理和综合执法局根据相关政策文件要求，建立了一系列关于城市信息化管理相关的系统、平台，实现了城市运行管理的实时监测、动态分析、统筹协调、智慧监督和综合评价，提升了城市管理科学化、精细化、智能化水平。</w:t>
      </w:r>
    </w:p>
    <w:p>
      <w:pPr>
        <w:pStyle w:val="null3"/>
      </w:pPr>
      <w:r>
        <w:rPr>
          <w:sz w:val="21"/>
        </w:rPr>
        <w:t>2</w:t>
      </w:r>
      <w:r>
        <w:rPr>
          <w:sz w:val="21"/>
        </w:rPr>
        <w:t>025年采购人按照政府工作要求，推进信息系统整体化、集约化、一体化平台建设，将原有的佛山市数字化城市管理信息系统、佛山市综合管理服务平台、佛山市建筑垃圾智能管理信息系统、佛山市户外广告系统、佛山市违法建设平台、小程序佛山市养犬管理服务系统等系统一体化改造，整合为城市运行管理服务平台，围绕业务指导、指挥协调、行业应用、公众服务、数据汇聚、数据交换及创新拓展功能构建“6+X”应用体系，完成了数据运营服务、智慧市容管理系统、数字驾驶舱、公共服务系统以及接口对接五个大功能模块，通过多场景系统集成，实现了城市管理由粗放、低效管理向精准、高效管理的转变。</w:t>
      </w:r>
    </w:p>
    <w:p>
      <w:pPr>
        <w:pStyle w:val="null3"/>
      </w:pPr>
      <w:r>
        <w:rPr>
          <w:sz w:val="21"/>
        </w:rPr>
        <w:t>2.本项目拟通过竞争性磋商方式引入相关专业运行服务团队的方式，保障城市运行管理服务平台的持续稳定运行与服务效能的深化提升。团队将协助开展相关服务，确保日常业务的高效运转；同时，依托团队的技术力量，持续推动数字技术与城市管理业务的深度融合，进一步释放平台应用价值，助力构建高效、精准、智慧的现代城市数字治理体系。</w:t>
      </w:r>
    </w:p>
    <w:p>
      <w:pPr>
        <w:pStyle w:val="null3"/>
      </w:pPr>
      <w:r>
        <w:rPr/>
        <w:t>采购包1（佛山市数字化城市管理信息系统运作服务（2026-2027年））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★2026年6月1日至2027年5月31日。</w:t>
            </w:r>
          </w:p>
        </w:tc>
      </w:tr>
      <w:tr>
        <w:tc>
          <w:tcPr>
            <w:tcW w:type="dxa" w:w="4153"/>
          </w:tcPr>
          <w:p>
            <w:pPr>
              <w:pStyle w:val="null3"/>
            </w:pPr>
            <w:r>
              <w:rPr/>
              <w:t>标的提供的地点</w:t>
            </w:r>
          </w:p>
        </w:tc>
        <w:tc>
          <w:tcPr>
            <w:tcW w:type="dxa" w:w="4153"/>
          </w:tcPr>
          <w:p>
            <w:pPr>
              <w:pStyle w:val="null3"/>
            </w:pPr>
            <w:r>
              <w:rPr/>
              <w:t>★采购人指定地点（佛山市内）。</w:t>
            </w:r>
          </w:p>
        </w:tc>
      </w:tr>
      <w:tr>
        <w:tc>
          <w:tcPr>
            <w:tcW w:type="dxa" w:w="4153"/>
          </w:tcPr>
          <w:p>
            <w:pPr>
              <w:pStyle w:val="null3"/>
            </w:pPr>
            <w:r>
              <w:rPr/>
              <w:t>付款方式</w:t>
            </w:r>
          </w:p>
        </w:tc>
        <w:tc>
          <w:tcPr>
            <w:tcW w:type="dxa" w:w="4153"/>
          </w:tcPr>
          <w:p>
            <w:pPr>
              <w:pStyle w:val="null3"/>
            </w:pPr>
            <w:r>
              <w:rPr/>
              <w:t>1期：支付比例30%,★合同签订后成交供应商开具含税发票，在收到成交供应商发票后10个工作日内，采购人向成交供应商支付合同总额的30%。</w:t>
            </w:r>
          </w:p>
          <w:p>
            <w:pPr>
              <w:pStyle w:val="null3"/>
            </w:pPr>
            <w:r>
              <w:rPr/>
              <w:t>2期：支付比例20%,★提供服务满6个月后成交供应商开具含税发票，在收到成交供应商发票后10个工作日内，采购人向成交供应商支付合同总额的20%。</w:t>
            </w:r>
          </w:p>
          <w:p>
            <w:pPr>
              <w:pStyle w:val="null3"/>
            </w:pPr>
            <w:r>
              <w:rPr/>
              <w:t>3期：支付比例50%,★在合同履行期结束后，采购人对成交供应商进行最终验收。验收合格后成交供应商开具含税发票，在收到成交供应商发票后10个工作日内，采购人根据合同履行期内的年度评价结果向成交供应商支付合同尾款。（备注：①评价表详见附件1《供应商服务情况评价表》；②年度评价结果=合同履行期内的季度评价结果成绩之和÷4；③年度评价结果为“优秀”的，采购人支付100%的合同尾款，“良好”支付95%的合同尾款，“合格”支付90%的合同尾款，“不合格”不支付合同尾款，扣减金额不予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一）验收主体：由采购人自行组织验收。（二）验收时间：采购人在合同履行期满之日起7个工作日内按照合同的约定对履约情况进行最终验收。（三）验收方式和程序：由采购人自行组织验收，根据每季度对成交供应商服务情况的季度评价结果及服务履约情况进行最终验收。（四）验收内容：成交供应商是否按照磋商文件、响应文件及合同向采购人提供相关服务；服务内容是否符合磋商文件和响应文件承诺中且采购人认可的合理最佳配置及各项要求。（五）验收标准：a.按国家、地方或行业（排列在前者优先）现行相关验收规范和评定标准执行。b.项目成果的验收标准：根据有关法律、法规、规程、规范的要求。项目成果通过采购人认可，并按照合同约定提交全部正式成果。c.验收时成交供应商将全部有关的项目成果资料、佐证材料交付给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★付款方式补充，（1）结算方式：转账结算（银行转账）。 （2）付款方：采购人；收款方：成交供应商。 （3）开具发票：成交供应商收款时必须持有效发票。收款方、出具发票方、合同乙方均必须与成交供应商名称一致。 （4）付款期间如因特殊情况需调整，由双方协商处理。 （5）如该项目剩余款项，归财政所有。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项目报价为全包价，以人民币为结算单位。本项目最高限价为人民币1,755,000.00元，响应供应商的响应报价不能超过项目最高限价，否则视为无效响应。（二）响应供应商的响应报价应综合考虑完成合同履行期内所发生的所有费用，包括但不限于：本项目运营服务费【数据分析费、人员服务费（包括但不限于薪酬、社会保险、高温补贴等各类补贴）等】、全额含税发票、代理服务费、合同实施过程中的应预见和不可预见费用等。（三）响应供应商必须自行考虑本项目在实施期间的一切可能产生的费用。在合同执行过程中，采购人将不再另行支付与本项目相关的任何费用（非本项目要求的其它内容除外），一切额外服务和特殊情况所需的费用均包含在成交金额内。非本项目要求的其它内容需要额外支付费用的，由双方另行商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（一）在任何情况下，成交供应商不得向第三方透露采购人的业务活动和商务方面的情况。（二）成交供应商须和采购人就项目执行过程中可能涉及的保密内容，单独签订保密协议，保证信息保密。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佛山市数字化城市管理信息系统运作服务（2026-2027年）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1,755,000.00</w:t>
            </w:r>
          </w:p>
        </w:tc>
        <w:tc>
          <w:tcPr>
            <w:tcW w:type="dxa" w:w="933"/>
          </w:tcPr>
          <w:p>
            <w:pPr>
              <w:pStyle w:val="null3"/>
              <w:jc w:val="right"/>
            </w:pPr>
            <w:r>
              <w:rPr/>
              <w:t>1,755,000.00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佛山市数字化城市管理信息系统运作服务（2026-2027年）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总体绩效目标</w:t>
            </w:r>
          </w:p>
          <w:p>
            <w:pPr>
              <w:pStyle w:val="null3"/>
            </w:pPr>
            <w:r>
              <w:rPr>
                <w:sz w:val="20"/>
              </w:rPr>
              <w:t>对城市运行管理服务状况进行实时监测、动态分析、统筹协调、指挥监督和综合评价，推进城市运行管理提质增效。</w:t>
            </w:r>
          </w:p>
        </w:tc>
      </w:tr>
      <w:tr>
        <w:tc>
          <w:tcPr>
            <w:tcW w:type="dxa" w:w="2076"/>
          </w:tcPr>
          <w:p/>
        </w:tc>
        <w:tc>
          <w:tcPr>
            <w:tcW w:type="dxa" w:w="415"/>
          </w:tcPr>
          <w:p>
            <w:pPr>
              <w:pStyle w:val="null3"/>
            </w:pPr>
            <w:r>
              <w:rPr/>
              <w:t>2</w:t>
            </w:r>
          </w:p>
        </w:tc>
        <w:tc>
          <w:tcPr>
            <w:tcW w:type="dxa" w:w="5814"/>
          </w:tcPr>
          <w:p>
            <w:pPr>
              <w:pStyle w:val="null3"/>
            </w:pPr>
            <w:r>
              <w:rPr>
                <w:sz w:val="20"/>
                <w:b/>
              </w:rPr>
              <w:t>服务内容</w:t>
            </w:r>
          </w:p>
          <w:p>
            <w:pPr>
              <w:pStyle w:val="null3"/>
            </w:pPr>
            <w:r>
              <w:rPr>
                <w:sz w:val="20"/>
              </w:rPr>
              <w:t>（一）</w:t>
            </w:r>
            <w:r>
              <w:rPr>
                <w:sz w:val="20"/>
              </w:rPr>
              <w:t>基础数据服务。</w:t>
            </w:r>
          </w:p>
          <w:p>
            <w:pPr>
              <w:pStyle w:val="null3"/>
            </w:pPr>
            <w:r>
              <w:rPr>
                <w:sz w:val="20"/>
              </w:rPr>
              <w:t>(1)</w:t>
            </w:r>
            <w:r>
              <w:rPr>
                <w:sz w:val="20"/>
              </w:rPr>
              <w:t>基础地理信息的维护与更新服务。收集城市管理所需的基础地理信息数据，如正射影像、三维模型等数据</w:t>
            </w:r>
            <w:r>
              <w:rPr>
                <w:sz w:val="20"/>
              </w:rPr>
              <w:t>,汇入城管数据中心。</w:t>
            </w:r>
          </w:p>
          <w:p>
            <w:pPr>
              <w:pStyle w:val="null3"/>
            </w:pPr>
            <w:r>
              <w:rPr>
                <w:sz w:val="20"/>
              </w:rPr>
              <w:t>(2)</w:t>
            </w:r>
            <w:r>
              <w:rPr>
                <w:sz w:val="20"/>
              </w:rPr>
              <w:t>数据质量控制。数据汇入佛山城管数据中心前应对相关数据进行数据清洗与质量分析工作，包含数据的一致性检查和无效值、缺失值、重复值处理等工作，以保障录入系统中数据的质量达到要求。</w:t>
            </w:r>
          </w:p>
          <w:p>
            <w:pPr>
              <w:pStyle w:val="null3"/>
            </w:pPr>
            <w:r>
              <w:rPr>
                <w:sz w:val="20"/>
              </w:rPr>
              <w:t>(3)</w:t>
            </w:r>
            <w:r>
              <w:rPr>
                <w:sz w:val="20"/>
              </w:rPr>
              <w:t>维护、更新基础数据底板，包括数据的清洗、数据标签更新、数据预处理等。</w:t>
            </w:r>
          </w:p>
          <w:p>
            <w:pPr>
              <w:pStyle w:val="null3"/>
            </w:pPr>
            <w:r>
              <w:rPr>
                <w:sz w:val="20"/>
              </w:rPr>
              <w:t>（二）</w:t>
            </w:r>
            <w:r>
              <w:rPr>
                <w:sz w:val="20"/>
              </w:rPr>
              <w:t>协助开展城市管理相关业务梳理、分析和服务工作。</w:t>
            </w:r>
          </w:p>
          <w:p>
            <w:pPr>
              <w:pStyle w:val="null3"/>
            </w:pPr>
            <w:r>
              <w:rPr>
                <w:sz w:val="20"/>
              </w:rPr>
              <w:t>(1)</w:t>
            </w:r>
            <w:r>
              <w:rPr>
                <w:sz w:val="20"/>
              </w:rPr>
              <w:t>协助开展佛山市城市管理各项业务的梳理工作，根据全年运行数据，分析业务管理存在的问题以及数据共享应用的堵点、难点，提出相应的解决方案。</w:t>
            </w:r>
          </w:p>
          <w:p>
            <w:pPr>
              <w:pStyle w:val="null3"/>
            </w:pPr>
            <w:r>
              <w:rPr>
                <w:sz w:val="20"/>
              </w:rPr>
              <w:t>(2)</w:t>
            </w:r>
            <w:r>
              <w:rPr>
                <w:sz w:val="20"/>
              </w:rPr>
              <w:t>面对城市精细化、科学化的业务管理需求，提供城市运行管理产生的数据与各类专题数据的数据整理、分析、报送服务，形成相应的分析报告。</w:t>
            </w:r>
          </w:p>
          <w:p>
            <w:pPr>
              <w:pStyle w:val="null3"/>
            </w:pPr>
            <w:r>
              <w:rPr>
                <w:sz w:val="20"/>
              </w:rPr>
              <w:t>（三）</w:t>
            </w:r>
            <w:r>
              <w:rPr>
                <w:sz w:val="20"/>
              </w:rPr>
              <w:t>依托城市运行管理服务平台，成交供应商拟投入本项目的服务支撑团队中应提供不少于</w:t>
            </w:r>
            <w:r>
              <w:rPr>
                <w:sz w:val="20"/>
              </w:rPr>
              <w:t>12位现场服务人员，其中包含项目负责人1名，保障相关业务的正常开展。</w:t>
            </w:r>
          </w:p>
          <w:p>
            <w:pPr>
              <w:pStyle w:val="null3"/>
            </w:pPr>
            <w:r>
              <w:rPr>
                <w:sz w:val="20"/>
              </w:rPr>
              <w:t>（</w:t>
            </w:r>
            <w:r>
              <w:rPr>
                <w:sz w:val="20"/>
              </w:rPr>
              <w:t>1）保障佛山数字城管系统的监督、指挥、调度和协调工作。</w:t>
            </w:r>
          </w:p>
          <w:p>
            <w:pPr>
              <w:pStyle w:val="null3"/>
            </w:pPr>
            <w:r>
              <w:rPr>
                <w:sz w:val="20"/>
              </w:rPr>
              <w:t>a.协助办理上级或其他部门、科室交办、转办的问题，按照数字城管平台业务流程进行处理。</w:t>
            </w:r>
          </w:p>
          <w:p>
            <w:pPr>
              <w:pStyle w:val="null3"/>
            </w:pPr>
            <w:r>
              <w:rPr>
                <w:sz w:val="20"/>
              </w:rPr>
              <w:t>b.保障数字城管、工单派遣、监督评价等基本功能的正常运行。</w:t>
            </w:r>
          </w:p>
          <w:p>
            <w:pPr>
              <w:pStyle w:val="null3"/>
            </w:pPr>
            <w:r>
              <w:rPr>
                <w:sz w:val="20"/>
              </w:rPr>
              <w:t>c.协助对接12345、12319、局邮箱等各渠道的群众诉求，确保诉求能第一时间得到有效处理。</w:t>
            </w:r>
          </w:p>
          <w:p>
            <w:pPr>
              <w:pStyle w:val="null3"/>
            </w:pPr>
            <w:r>
              <w:rPr>
                <w:sz w:val="20"/>
              </w:rPr>
              <w:t>d.协助业务科室跟进业务工单的沟通协调、答复诉求人、办理结果反馈等工作。</w:t>
            </w:r>
          </w:p>
          <w:p>
            <w:pPr>
              <w:pStyle w:val="null3"/>
            </w:pPr>
            <w:r>
              <w:rPr>
                <w:sz w:val="20"/>
              </w:rPr>
              <w:t>e.完成数据统计分析以及相关专项报告的编写。</w:t>
            </w:r>
          </w:p>
          <w:p>
            <w:pPr>
              <w:pStyle w:val="null3"/>
            </w:pPr>
            <w:r>
              <w:rPr>
                <w:sz w:val="20"/>
              </w:rPr>
              <w:t>（</w:t>
            </w:r>
            <w:r>
              <w:rPr>
                <w:sz w:val="20"/>
              </w:rPr>
              <w:t>2）提供城市运行管理服务平台中建筑垃圾处置、智慧环卫、智慧市容等各功能模块的监测、分析服务。</w:t>
            </w:r>
          </w:p>
          <w:p>
            <w:pPr>
              <w:pStyle w:val="null3"/>
            </w:pPr>
            <w:r>
              <w:rPr>
                <w:sz w:val="20"/>
              </w:rPr>
              <w:t>a.协助受理、派遣、跟踪和反馈建筑垃圾相关的投诉。利用相关职能部门数据，对建筑垃圾运输车辆的违法、违规行为预警，实现建筑垃圾和运输车辆的智能化管理。</w:t>
            </w:r>
          </w:p>
          <w:p>
            <w:pPr>
              <w:pStyle w:val="null3"/>
            </w:pPr>
            <w:r>
              <w:rPr>
                <w:sz w:val="20"/>
              </w:rPr>
              <w:t>b.对环卫作业车辆进行智慧化监管。</w:t>
            </w:r>
          </w:p>
          <w:p>
            <w:pPr>
              <w:pStyle w:val="null3"/>
            </w:pPr>
            <w:r>
              <w:rPr>
                <w:sz w:val="20"/>
              </w:rPr>
              <w:t>c.监测、维护城市市容AI模块的运行工作，做好摄像头数据的对接与管理工作，对识别的案件进行分类与分派,配合完成相应的数据统计、分析工作。</w:t>
            </w:r>
          </w:p>
          <w:p>
            <w:pPr>
              <w:pStyle w:val="null3"/>
            </w:pPr>
            <w:r>
              <w:rPr>
                <w:sz w:val="20"/>
              </w:rPr>
              <w:t>d.保障犬类监管、监督评价等其他各类城市运行管理系统业务的正常运转，完成相关数据统计工作。</w:t>
            </w:r>
          </w:p>
          <w:p>
            <w:pPr>
              <w:pStyle w:val="null3"/>
            </w:pPr>
            <w:r>
              <w:rPr>
                <w:sz w:val="20"/>
              </w:rPr>
              <w:t>e.协助完成系统数据统计分析以及相关专项报告的编写。</w:t>
            </w:r>
          </w:p>
          <w:p>
            <w:pPr>
              <w:pStyle w:val="null3"/>
            </w:pPr>
            <w:r>
              <w:rPr>
                <w:sz w:val="20"/>
              </w:rPr>
              <w:t>f.协助维护、更新城市管理和综合执法工单处置相关方面的知识库。</w:t>
            </w:r>
          </w:p>
          <w:p>
            <w:pPr>
              <w:pStyle w:val="null3"/>
            </w:pPr>
            <w:r>
              <w:rPr>
                <w:sz w:val="20"/>
              </w:rPr>
              <w:t>（</w:t>
            </w:r>
            <w:r>
              <w:rPr>
                <w:sz w:val="20"/>
              </w:rPr>
              <w:t>3）其他业务运行服务</w:t>
            </w:r>
          </w:p>
          <w:p>
            <w:pPr>
              <w:pStyle w:val="null3"/>
            </w:pPr>
            <w:r>
              <w:rPr>
                <w:sz w:val="20"/>
              </w:rPr>
              <w:t>a.提供三区三线禁止区内的数据判定服务工作。</w:t>
            </w:r>
          </w:p>
          <w:p>
            <w:pPr>
              <w:pStyle w:val="null3"/>
            </w:pPr>
            <w:r>
              <w:rPr>
                <w:sz w:val="20"/>
              </w:rPr>
              <w:t>b.依据建筑垃圾运输车辆运行数据，开展建筑垃圾运输车智能识别与动态监管。</w:t>
            </w:r>
          </w:p>
          <w:p>
            <w:pPr>
              <w:pStyle w:val="null3"/>
            </w:pPr>
            <w:r>
              <w:rPr>
                <w:sz w:val="20"/>
              </w:rPr>
              <w:t>c.协助监测工地摄像头运行状态，对摄像头长时间掉线、黑屏问题及时提醒相关责任人员。</w:t>
            </w:r>
          </w:p>
          <w:p>
            <w:pPr>
              <w:pStyle w:val="null3"/>
            </w:pPr>
            <w:r>
              <w:rPr>
                <w:sz w:val="20"/>
              </w:rPr>
              <w:t>d.提供面向城市管理业务的信息化应用、小程序等工具服务。</w:t>
            </w:r>
          </w:p>
          <w:p>
            <w:pPr>
              <w:pStyle w:val="null3"/>
            </w:pPr>
            <w:r>
              <w:rPr>
                <w:sz w:val="20"/>
              </w:rPr>
              <w:t>（四）</w:t>
            </w:r>
            <w:r>
              <w:rPr>
                <w:sz w:val="20"/>
              </w:rPr>
              <w:t>协助完成其他与数字化城市管理相关的工作。</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b/>
              </w:rPr>
              <w:t>服务团队要求</w:t>
            </w:r>
            <w:r>
              <w:rPr>
                <w:sz w:val="20"/>
              </w:rPr>
              <w:t>（</w:t>
            </w:r>
            <w:r>
              <w:rPr>
                <w:sz w:val="20"/>
              </w:rPr>
              <w:t>响应时响应供应商须针对以下内容提供格式自拟的承诺函）</w:t>
            </w:r>
          </w:p>
          <w:p>
            <w:pPr>
              <w:pStyle w:val="null3"/>
            </w:pPr>
            <w:r>
              <w:rPr>
                <w:sz w:val="20"/>
              </w:rPr>
              <w:t>响应供应商</w:t>
            </w:r>
            <w:r>
              <w:rPr>
                <w:sz w:val="20"/>
              </w:rPr>
              <w:t>须</w:t>
            </w:r>
            <w:r>
              <w:rPr>
                <w:sz w:val="20"/>
              </w:rPr>
              <w:t>承诺，如获项目成交，</w:t>
            </w:r>
            <w:r>
              <w:rPr>
                <w:sz w:val="20"/>
              </w:rPr>
              <w:t>须在签订合同之日起</w:t>
            </w:r>
            <w:r>
              <w:rPr>
                <w:sz w:val="20"/>
              </w:rPr>
              <w:t>5个工作日内指派</w:t>
            </w:r>
            <w:r>
              <w:rPr>
                <w:sz w:val="20"/>
              </w:rPr>
              <w:t>相应的现场服务人员</w:t>
            </w:r>
            <w:r>
              <w:rPr>
                <w:sz w:val="20"/>
              </w:rPr>
              <w:t>为本项目</w:t>
            </w:r>
            <w:r>
              <w:rPr>
                <w:sz w:val="20"/>
              </w:rPr>
              <w:t>提供</w:t>
            </w:r>
            <w:r>
              <w:rPr>
                <w:sz w:val="20"/>
              </w:rPr>
              <w:t>服务，现场服务人员</w:t>
            </w:r>
            <w:r>
              <w:rPr>
                <w:sz w:val="20"/>
              </w:rPr>
              <w:t>须</w:t>
            </w:r>
            <w:r>
              <w:rPr>
                <w:sz w:val="20"/>
              </w:rPr>
              <w:t>达到以下要求：</w:t>
            </w:r>
          </w:p>
          <w:p>
            <w:pPr>
              <w:pStyle w:val="null3"/>
              <w:jc w:val="left"/>
            </w:pPr>
            <w:r>
              <w:rPr>
                <w:sz w:val="20"/>
              </w:rPr>
              <w:t>（</w:t>
            </w:r>
            <w:r>
              <w:rPr>
                <w:sz w:val="20"/>
              </w:rPr>
              <w:t>1）成交供应商须为本项目配备专业的现场服务人员。</w:t>
            </w:r>
          </w:p>
          <w:p>
            <w:pPr>
              <w:pStyle w:val="null3"/>
              <w:jc w:val="left"/>
            </w:pPr>
            <w:r>
              <w:rPr>
                <w:sz w:val="20"/>
              </w:rPr>
              <w:t>（</w:t>
            </w:r>
            <w:r>
              <w:rPr>
                <w:sz w:val="20"/>
              </w:rPr>
              <w:t>2）成交供应商应向采购人提供现场服务人员的完整名单，并建立合理的管理架构。成交供应商不得擅自调整现场服务人员，若要更换应提前15天书面向采购人提出申请，经采购人同意后方可调整。</w:t>
            </w:r>
          </w:p>
          <w:p>
            <w:pPr>
              <w:pStyle w:val="null3"/>
              <w:jc w:val="left"/>
            </w:pPr>
            <w:r>
              <w:rPr>
                <w:sz w:val="20"/>
              </w:rPr>
              <w:t>（</w:t>
            </w:r>
            <w:r>
              <w:rPr>
                <w:sz w:val="20"/>
              </w:rPr>
              <w:t>3）成交供应商项目现场服务人员应当服从采购人的日常工作管理，并遵守采购人的各项规章制度。</w:t>
            </w:r>
          </w:p>
          <w:p>
            <w:pPr>
              <w:pStyle w:val="null3"/>
              <w:jc w:val="left"/>
            </w:pPr>
            <w:r>
              <w:rPr>
                <w:sz w:val="20"/>
              </w:rPr>
              <w:t>（</w:t>
            </w:r>
            <w:r>
              <w:rPr>
                <w:sz w:val="20"/>
              </w:rPr>
              <w:t>4）现场服务人员如出现下述任一情形，采购人有权提出更换要求，成交供应商应无条件响应：</w:t>
            </w:r>
          </w:p>
          <w:p>
            <w:pPr>
              <w:pStyle w:val="null3"/>
              <w:jc w:val="left"/>
            </w:pPr>
            <w:r>
              <w:rPr>
                <w:sz w:val="20"/>
              </w:rPr>
              <w:t>①严重违反采购人规章制度的；</w:t>
            </w:r>
          </w:p>
          <w:p>
            <w:pPr>
              <w:pStyle w:val="null3"/>
              <w:jc w:val="left"/>
            </w:pPr>
            <w:r>
              <w:rPr>
                <w:sz w:val="20"/>
              </w:rPr>
              <w:t>②工作严重失职、营私舞弊给采购人造成重大损害的；</w:t>
            </w:r>
          </w:p>
          <w:p>
            <w:pPr>
              <w:pStyle w:val="null3"/>
              <w:jc w:val="left"/>
            </w:pPr>
            <w:r>
              <w:rPr>
                <w:sz w:val="20"/>
              </w:rPr>
              <w:t>③不按照采购人要求选择正确的方式方法进行工作，而给采购人造成损害的；</w:t>
            </w:r>
          </w:p>
          <w:p>
            <w:pPr>
              <w:pStyle w:val="null3"/>
              <w:jc w:val="left"/>
            </w:pPr>
            <w:r>
              <w:rPr>
                <w:sz w:val="20"/>
              </w:rPr>
              <w:t>④不服从采购人工作安排，对完成采购人的工作任务造成严重影响，或者经采购人提出，拒不改正的；</w:t>
            </w:r>
          </w:p>
          <w:p>
            <w:pPr>
              <w:pStyle w:val="null3"/>
              <w:jc w:val="left"/>
            </w:pPr>
            <w:r>
              <w:rPr>
                <w:sz w:val="20"/>
              </w:rPr>
              <w:t>⑤被依法追究刑事责任的；</w:t>
            </w:r>
          </w:p>
          <w:p>
            <w:pPr>
              <w:pStyle w:val="null3"/>
              <w:jc w:val="left"/>
            </w:pPr>
            <w:r>
              <w:rPr>
                <w:sz w:val="20"/>
              </w:rPr>
              <w:t>⑥不能胜任采购人工作的；</w:t>
            </w:r>
          </w:p>
          <w:p>
            <w:pPr>
              <w:pStyle w:val="null3"/>
              <w:jc w:val="left"/>
            </w:pPr>
            <w:r>
              <w:rPr>
                <w:sz w:val="20"/>
              </w:rPr>
              <w:t>⑦因病或非因工负伤，在规定的医疗期满后不能从事原工作的；</w:t>
            </w:r>
          </w:p>
          <w:p>
            <w:pPr>
              <w:pStyle w:val="null3"/>
              <w:jc w:val="left"/>
            </w:pPr>
            <w:r>
              <w:rPr>
                <w:sz w:val="20"/>
              </w:rPr>
              <w:t>⑧虚假的个人资料，包括但不限于：身份证明、学历证明、健康证明等；</w:t>
            </w:r>
          </w:p>
          <w:p>
            <w:pPr>
              <w:pStyle w:val="null3"/>
              <w:jc w:val="left"/>
            </w:pPr>
            <w:r>
              <w:rPr>
                <w:sz w:val="20"/>
              </w:rPr>
              <w:t>⑨有其它法律法规规定可更换现场服务人员的情形。</w:t>
            </w:r>
          </w:p>
          <w:p>
            <w:pPr>
              <w:pStyle w:val="null3"/>
            </w:pPr>
            <w:r>
              <w:rPr>
                <w:sz w:val="20"/>
              </w:rPr>
              <w:t>在上述情况下采购人有权要求成交供应商予以更换现场服务人员，成交供应商应当在采购人书面提出要求后</w:t>
            </w:r>
            <w:r>
              <w:rPr>
                <w:sz w:val="20"/>
              </w:rPr>
              <w:t>15日内向采购人更换新的现场服务人员。</w:t>
            </w:r>
          </w:p>
        </w:tc>
      </w:tr>
      <w:tr>
        <w:tc>
          <w:tcPr>
            <w:tcW w:type="dxa" w:w="2076"/>
          </w:tcPr>
          <w:p/>
        </w:tc>
        <w:tc>
          <w:tcPr>
            <w:tcW w:type="dxa" w:w="415"/>
          </w:tcPr>
          <w:p>
            <w:pPr>
              <w:pStyle w:val="null3"/>
            </w:pPr>
            <w:r>
              <w:rPr/>
              <w:t>4</w:t>
            </w:r>
          </w:p>
        </w:tc>
        <w:tc>
          <w:tcPr>
            <w:tcW w:type="dxa" w:w="5814"/>
          </w:tcPr>
          <w:p>
            <w:pPr>
              <w:pStyle w:val="null3"/>
            </w:pPr>
            <w:r>
              <w:rPr>
                <w:sz w:val="20"/>
                <w:b/>
              </w:rPr>
              <w:t>后续服务及其他要求</w:t>
            </w:r>
          </w:p>
          <w:p>
            <w:pPr>
              <w:pStyle w:val="null3"/>
            </w:pPr>
            <w:r>
              <w:rPr>
                <w:sz w:val="20"/>
              </w:rPr>
              <w:t>（一）</w:t>
            </w:r>
            <w:r>
              <w:rPr>
                <w:sz w:val="20"/>
              </w:rPr>
              <w:t>成交供应商应当按照采购人的要求提供服务，并按照双方约定的时间周期定期向采购人汇报服务工作情况。</w:t>
            </w:r>
          </w:p>
          <w:p>
            <w:pPr>
              <w:pStyle w:val="null3"/>
            </w:pPr>
            <w:r>
              <w:rPr>
                <w:sz w:val="20"/>
              </w:rPr>
              <w:t>（二）</w:t>
            </w:r>
            <w:r>
              <w:rPr>
                <w:sz w:val="20"/>
              </w:rPr>
              <w:t>采购人有权监督、指导服务事项进展，并提出改进意见。</w:t>
            </w:r>
          </w:p>
          <w:p>
            <w:pPr>
              <w:pStyle w:val="null3"/>
            </w:pPr>
            <w:r>
              <w:rPr>
                <w:sz w:val="20"/>
              </w:rPr>
              <w:t>（三）</w:t>
            </w:r>
            <w:r>
              <w:rPr>
                <w:sz w:val="20"/>
              </w:rPr>
              <w:t>成交供应商应当按照采购人对服务团队的服务事项的考察情况及意见，及时做出工作调整，以保证服务事项的执行不受影响。</w:t>
            </w:r>
          </w:p>
        </w:tc>
      </w:tr>
      <w:tr>
        <w:tc>
          <w:tcPr>
            <w:tcW w:type="dxa" w:w="2076"/>
          </w:tcPr>
          <w:p/>
        </w:tc>
        <w:tc>
          <w:tcPr>
            <w:tcW w:type="dxa" w:w="415"/>
          </w:tcPr>
          <w:p>
            <w:pPr>
              <w:pStyle w:val="null3"/>
            </w:pPr>
            <w:r>
              <w:rPr/>
              <w:t>5</w:t>
            </w:r>
          </w:p>
        </w:tc>
        <w:tc>
          <w:tcPr>
            <w:tcW w:type="dxa" w:w="5814"/>
          </w:tcPr>
          <w:p>
            <w:pPr>
              <w:pStyle w:val="null3"/>
            </w:pPr>
            <w:r>
              <w:rPr>
                <w:b/>
              </w:rPr>
              <w:t>附件</w:t>
            </w:r>
            <w:r>
              <w:rPr>
                <w:b/>
              </w:rPr>
              <w:t>1</w:t>
            </w:r>
            <w:r>
              <w:rPr>
                <w:b/>
              </w:rPr>
              <w:t>：</w:t>
            </w:r>
          </w:p>
          <w:p>
            <w:pPr>
              <w:pStyle w:val="null3"/>
              <w:ind w:firstLine="400"/>
            </w:pPr>
            <w:r>
              <w:rPr/>
              <w:t>采购人每季度对成交供应商服务情况进行评分考核。以下评价表仅供参考，具体评价细则将由采购人根据实际情况修改，采购人对评价表保持最终修改权和解释权</w:t>
            </w:r>
            <w:r>
              <w:rPr/>
              <w:t>。</w:t>
            </w:r>
          </w:p>
          <w:p>
            <w:pPr>
              <w:pStyle w:val="null3"/>
              <w:jc w:val="center"/>
            </w:pPr>
            <w:r>
              <w:rPr>
                <w:b/>
              </w:rPr>
              <w:t>供应商服务情况评价表</w:t>
            </w:r>
          </w:p>
          <w:p>
            <w:pPr>
              <w:pStyle w:val="null3"/>
              <w:jc w:val="center"/>
            </w:pPr>
            <w:r>
              <w:rPr/>
              <w:t xml:space="preserve"> </w:t>
            </w:r>
          </w:p>
          <w:tbl>
            <w:tblPr>
              <w:tblBorders>
                <w:top w:val="none" w:color="000000" w:sz="4"/>
                <w:left w:val="none" w:color="000000" w:sz="4"/>
                <w:bottom w:val="none" w:color="000000" w:sz="4"/>
                <w:right w:val="none" w:color="000000" w:sz="4"/>
                <w:insideH w:val="none"/>
                <w:insideV w:val="none"/>
              </w:tblBorders>
            </w:tblPr>
            <w:tblGrid>
              <w:gridCol w:w="432"/>
              <w:gridCol w:w="1169"/>
              <w:gridCol w:w="3452"/>
              <w:gridCol w:w="543"/>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评价项目</w:t>
                  </w:r>
                </w:p>
              </w:tc>
              <w:tc>
                <w:tcPr>
                  <w:tcW w:type="dxa" w:w="3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评价内容</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满分</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运行保障情况</w:t>
                  </w: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提供现场服务及时，符合采购人要求，保证服务工作正常开展、运作顺畅</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服务情况</w:t>
                  </w: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成交供应商是否根据采购人需求完成相应服务内容</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管理能力</w:t>
                  </w: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是否协助采购人统筹、协调人员管理等各环节工作，并适时提出专业性解决意见或方案</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服务情况反馈</w:t>
                  </w: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成交供应商每季度需对运营情况进行总结，并向采购人提交</w:t>
                  </w:r>
                  <w:r>
                    <w:rPr>
                      <w:sz w:val="20"/>
                    </w:rPr>
                    <w:t>基础数据报告</w:t>
                  </w:r>
                  <w:r>
                    <w:rPr>
                      <w:sz w:val="20"/>
                    </w:rPr>
                    <w:t>及</w:t>
                  </w:r>
                  <w:r>
                    <w:rPr>
                      <w:sz w:val="20"/>
                    </w:rPr>
                    <w:t>现场服务人员管理报告。</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r>
                    <w:rPr>
                      <w:sz w:val="20"/>
                    </w:rPr>
                    <w:t>人员</w:t>
                  </w:r>
                  <w:r>
                    <w:rPr>
                      <w:sz w:val="20"/>
                    </w:rPr>
                    <w:t>资质</w:t>
                  </w: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提供的服务人员</w:t>
                  </w:r>
                  <w:r>
                    <w:rPr>
                      <w:sz w:val="20"/>
                    </w:rPr>
                    <w:t>资质</w:t>
                  </w:r>
                  <w:r>
                    <w:rPr>
                      <w:sz w:val="20"/>
                    </w:rPr>
                    <w:t>符合</w:t>
                  </w:r>
                  <w:r>
                    <w:rPr>
                      <w:sz w:val="20"/>
                    </w:rPr>
                    <w:t>响应</w:t>
                  </w:r>
                  <w:r>
                    <w:rPr>
                      <w:sz w:val="20"/>
                    </w:rPr>
                    <w:t>文件</w:t>
                  </w:r>
                  <w:r>
                    <w:rPr>
                      <w:sz w:val="20"/>
                    </w:rPr>
                    <w:t>要求，具备相应专业技能。</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c>
                <w:tcPr>
                  <w:tcW w:type="dxa" w:w="51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综合得分满分为</w:t>
                  </w:r>
                  <w:r>
                    <w:rPr>
                      <w:sz w:val="20"/>
                    </w:rPr>
                    <w:t>100分，9</w:t>
                  </w:r>
                  <w:r>
                    <w:rPr>
                      <w:sz w:val="20"/>
                    </w:rPr>
                    <w:t>0分及以上</w:t>
                  </w:r>
                  <w:r>
                    <w:rPr>
                      <w:sz w:val="20"/>
                    </w:rPr>
                    <w:t>为优秀；</w:t>
                  </w:r>
                  <w:r>
                    <w:rPr>
                      <w:sz w:val="20"/>
                    </w:rPr>
                    <w:t>80分及以上、不满90分</w:t>
                  </w:r>
                  <w:r>
                    <w:rPr>
                      <w:sz w:val="20"/>
                    </w:rPr>
                    <w:t>为良好；</w:t>
                  </w:r>
                  <w:r>
                    <w:rPr>
                      <w:sz w:val="20"/>
                    </w:rPr>
                    <w:t>60分及以上、不满80分</w:t>
                  </w:r>
                  <w:r>
                    <w:rPr>
                      <w:sz w:val="20"/>
                    </w:rPr>
                    <w:t>为合格；</w:t>
                  </w:r>
                  <w:r>
                    <w:rPr>
                      <w:sz w:val="20"/>
                    </w:rPr>
                    <w:t>60分以下</w:t>
                  </w:r>
                  <w:r>
                    <w:rPr>
                      <w:sz w:val="20"/>
                    </w:rPr>
                    <w:t>为不合格。</w:t>
                  </w:r>
                </w:p>
              </w:tc>
            </w:tr>
          </w:tbl>
          <w:p/>
        </w:tc>
      </w:tr>
      <w:tr>
        <w:tc>
          <w:tcPr>
            <w:tcW w:type="dxa" w:w="2076"/>
          </w:tcPr>
          <w:p/>
        </w:tc>
        <w:tc>
          <w:tcPr>
            <w:tcW w:type="dxa" w:w="415"/>
          </w:tcPr>
          <w:p>
            <w:pPr>
              <w:pStyle w:val="null3"/>
            </w:pPr>
            <w:r>
              <w:rPr/>
              <w:t>6</w:t>
            </w:r>
          </w:p>
        </w:tc>
        <w:tc>
          <w:tcPr>
            <w:tcW w:type="dxa" w:w="5814"/>
          </w:tcPr>
          <w:p>
            <w:pPr>
              <w:pStyle w:val="null3"/>
            </w:pPr>
            <w:r>
              <w:rPr>
                <w:sz w:val="20"/>
                <w:b/>
              </w:rPr>
              <w:t>服务</w:t>
            </w:r>
            <w:r>
              <w:rPr>
                <w:sz w:val="20"/>
                <w:b/>
              </w:rPr>
              <w:t>方案要求</w:t>
            </w:r>
          </w:p>
          <w:p>
            <w:pPr>
              <w:pStyle w:val="null3"/>
            </w:pPr>
            <w:r>
              <w:rPr>
                <w:sz w:val="20"/>
              </w:rPr>
              <w:t>（一）</w:t>
            </w:r>
            <w:r>
              <w:rPr>
                <w:sz w:val="20"/>
              </w:rPr>
              <w:t>响应供应商应提供对本项目的理解，包括不限于对本项目背景、目的、内容与时间等要求的理解；本项目服务内容和需求的理解和把握、对项目需求的重点和难点的分析等。</w:t>
            </w:r>
          </w:p>
          <w:p>
            <w:pPr>
              <w:pStyle w:val="null3"/>
            </w:pPr>
            <w:r>
              <w:rPr>
                <w:sz w:val="20"/>
              </w:rPr>
              <w:t>（二）</w:t>
            </w:r>
            <w:r>
              <w:rPr>
                <w:sz w:val="20"/>
              </w:rPr>
              <w:t>响应供应商应提供对本项目的项目实施方案，包括但不限于项目组织管理、人员投入、岗位分工、工序安排、进度保障、安全生产、保密管理等。</w:t>
            </w:r>
          </w:p>
          <w:p>
            <w:pPr>
              <w:pStyle w:val="null3"/>
            </w:pPr>
            <w:r>
              <w:rPr>
                <w:sz w:val="20"/>
              </w:rPr>
              <w:t>（三）</w:t>
            </w:r>
            <w:r>
              <w:rPr>
                <w:sz w:val="20"/>
              </w:rPr>
              <w:t>响应供应商应提供对本项目的组织实施管理计划，包括但不限于工作安排及计划、定期阶段性汇报制度等。</w:t>
            </w:r>
          </w:p>
          <w:p>
            <w:pPr>
              <w:pStyle w:val="null3"/>
            </w:pPr>
            <w:r>
              <w:rPr>
                <w:sz w:val="20"/>
              </w:rPr>
              <w:t>（四）</w:t>
            </w:r>
            <w:r>
              <w:rPr>
                <w:sz w:val="20"/>
              </w:rPr>
              <w:t>响应供应商应提供对本项目的质量控制及进度保证措施，包括但不限于项目服务质量管理的措施、服务质量指标的承诺和目标情况、数据质量保障措施、问题处理与改进措施等。</w:t>
            </w:r>
          </w:p>
          <w:p>
            <w:pPr>
              <w:pStyle w:val="null3"/>
            </w:pPr>
            <w:r>
              <w:rPr>
                <w:sz w:val="20"/>
              </w:rPr>
              <w:t>（五）</w:t>
            </w:r>
            <w:r>
              <w:rPr>
                <w:sz w:val="20"/>
              </w:rPr>
              <w:t>响应供应商应提供对本项目的后续服务方案，包括但不限于过渡期运行保障服务支撑、项目问题解答等。</w:t>
            </w:r>
          </w:p>
          <w:p>
            <w:pPr>
              <w:pStyle w:val="null3"/>
            </w:pPr>
            <w:r>
              <w:rPr>
                <w:sz w:val="20"/>
              </w:rPr>
              <w:t>（六）</w:t>
            </w:r>
            <w:r>
              <w:rPr>
                <w:sz w:val="20"/>
              </w:rPr>
              <w:t>响应供应商应对本项目的服务便利性进行说明，包括但不限于提供服务的便捷性、快速响应采购人服务要求的可行性及优越性等。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采购机构代理服务收费标准：以预算金额作为招标代理服务费的计算基数。招标代理服务费收费采用差额定率累进法计算方式（成交金额：100万元以下，费率：1.5%；成交金额100万～500万元，费率：0.8%）。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环境标志产品政府采购执行机制的通知》（财库〔2019〕9号）等，如有更新，以最新的为准。</w:t>
            </w:r>
          </w:p>
          <w:p>
            <w:pPr>
              <w:pStyle w:val="null3"/>
              <w:jc w:val="left"/>
            </w:pPr>
            <w:r>
              <w:rPr/>
              <w:t>2，本项目行业划分为：软件和信息技术服务业。从业人员300人以下或营收10000万元以下的为中小微型企业。其中，从业人员100人及以上，且营收1000万元及以上的为中型企业；从业人员10人及以上，且营收50万元及以上的为小型企业；从业人员10人以下或营收50万元以下的为微型企业。</w:t>
            </w:r>
          </w:p>
          <w:p>
            <w:pPr>
              <w:pStyle w:val="null3"/>
              <w:jc w:val="left"/>
            </w:pPr>
            <w:r>
              <w:rPr/>
              <w:t>3，异常低价审查要求及其他：一、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；请各供应商在响应文件递交截止时间前按须知前附表规定的金额递交至</w:t>
      </w:r>
      <w:r>
        <w:rPr/>
        <w:t>广东中采招标有限公司</w:t>
      </w:r>
      <w:r>
        <w:rPr/>
        <w:t>，到账情况以开启时</w:t>
      </w:r>
      <w:r>
        <w:rPr/>
        <w:t>广东中采招标有限公司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广东省公共资源交易平台（粤公平）（https://ygp.gdzwfw.gov.cn/#/44/index）及采购代理机构网站（http://www.gdzczb.com）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广东省公共资源交易平台（粤公平）（https://ygp.gdzwfw.gov.cn/#/44/index）及采购代理机构网站（http://www.gdzczb.com）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数字化城市管理信息系统运作服务（2026-2027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广东中采招标有限公司</w:t>
      </w:r>
      <w:r>
        <w:rPr/>
        <w:t>统一对外发布。</w:t>
      </w:r>
    </w:p>
    <w:p>
      <w:pPr>
        <w:pStyle w:val="null3"/>
        <w:ind w:firstLine="480"/>
      </w:pPr>
      <w:r>
        <w:rPr/>
        <w:t>（2）对</w:t>
      </w:r>
      <w:r>
        <w:rPr/>
        <w:t>广东中采招标有限公司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采购包1（佛山市数字化城市管理信息系统运作服务（2026-2027年））：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采购包1（佛山市数字化城市管理信息系统运作服务（2026-2027年））：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磋商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监狱企业、残疾人福利性单位视同小型、微型企业。（1）中小微企业评审及《中小企业声明函》填写要求：①本项目为服务类项目，响应供应商须根据本项目采购类别选择对应的《中小企业声明函》填写。②本项目采购标的对应的中小微企业划分标准所属行业详见采购文件“第二章 采购需求—2.技术标准与要求”，中小微企业划型标准详见《关于印发中小企业划型标准规定的通知》（工信部联企业〔2011〕300号）（http://www.gov.cn/zwgk/2011-07/04/content_1898747.htm）。③响应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采购包1（佛山市数字化城市管理信息系统运作服务（2026-2027年））：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响应文件有效性</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带“★”号条款满足磋商文件要求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4</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5</w:t>
            </w:r>
          </w:p>
        </w:tc>
        <w:tc>
          <w:tcPr>
            <w:tcW w:type="dxa" w:w="3178"/>
          </w:tcPr>
          <w:p>
            <w:pPr>
              <w:pStyle w:val="null3"/>
            </w:pPr>
            <w:r>
              <w:rPr/>
              <w:t>其他情况</w:t>
            </w:r>
          </w:p>
        </w:tc>
        <w:tc>
          <w:tcPr>
            <w:tcW w:type="dxa" w:w="4238"/>
          </w:tcPr>
          <w:p>
            <w:pPr>
              <w:pStyle w:val="null3"/>
            </w:pPr>
            <w:r>
              <w:rPr/>
              <w:t>没有违反有关法律、法规、规章要求，被视为磋商无效的其他情况。</w:t>
            </w:r>
          </w:p>
        </w:tc>
      </w:tr>
      <w:tr>
        <w:tc>
          <w:tcPr>
            <w:tcW w:type="dxa" w:w="890"/>
          </w:tcPr>
          <w:p>
            <w:pPr>
              <w:pStyle w:val="null3"/>
            </w:pPr>
            <w:r>
              <w:rPr/>
              <w:t>6</w:t>
            </w:r>
          </w:p>
        </w:tc>
        <w:tc>
          <w:tcPr>
            <w:tcW w:type="dxa" w:w="3178"/>
          </w:tcPr>
          <w:p>
            <w:pPr>
              <w:pStyle w:val="null3"/>
            </w:pPr>
            <w:r>
              <w:rPr/>
              <w:t>响应报价是否符合磋商文件要求</w:t>
            </w:r>
          </w:p>
        </w:tc>
        <w:tc>
          <w:tcPr>
            <w:tcW w:type="dxa" w:w="4238"/>
          </w:tcPr>
          <w:p>
            <w:pPr>
              <w:pStyle w:val="null3"/>
            </w:pPr>
            <w:r>
              <w:rPr/>
              <w:t>响应报价未超过本项目最高限价且符合磋商文件要求的（此项审查在最后报价之后）。</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采购包1(佛山市数字化城市管理信息系统运作服务（2026-2027年）):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项目需求理解 (8.0分)</w:t>
            </w:r>
          </w:p>
        </w:tc>
        <w:tc>
          <w:tcPr>
            <w:tcW w:type="dxa" w:w="5076"/>
          </w:tcPr>
          <w:p>
            <w:pPr>
              <w:pStyle w:val="null3"/>
              <w:jc w:val="left"/>
            </w:pPr>
            <w:r>
              <w:rPr/>
              <w:t>根据各响应供应商对本项目的理解（包括不限于对本项目背景、目的、内容与时间等要求的理解；本项目服务内容和需求的理解和把握、对项目需求的重点和难点的分析等）进行评审： 1、涵盖以上所有内容项，内容全面、合理，理解全面、深入，分析透彻、详尽的，得8分； 2、以上内容项缺失不超过1项，或内容较详细、合理，理解较准确、分析较具体的，得5分； 3、以上内容项缺失超过1项，或内容简单，合理性较差，分析简单的，得2分； 4、未提供方案不得分。</w:t>
            </w:r>
          </w:p>
        </w:tc>
      </w:tr>
      <w:tr>
        <w:tc>
          <w:tcPr>
            <w:tcW w:type="dxa" w:w="922"/>
            <w:gridSpan w:val="2"/>
            <w:vMerge/>
          </w:tcPr>
          <w:p/>
        </w:tc>
        <w:tc>
          <w:tcPr>
            <w:tcW w:type="dxa" w:w="2307"/>
          </w:tcPr>
          <w:p>
            <w:pPr>
              <w:pStyle w:val="null3"/>
              <w:jc w:val="left"/>
            </w:pPr>
            <w:r>
              <w:rPr/>
              <w:t>组织实施管理计划 (10.0分)</w:t>
            </w:r>
          </w:p>
        </w:tc>
        <w:tc>
          <w:tcPr>
            <w:tcW w:type="dxa" w:w="5076"/>
          </w:tcPr>
          <w:p>
            <w:pPr>
              <w:pStyle w:val="null3"/>
              <w:jc w:val="left"/>
            </w:pPr>
            <w:r>
              <w:rPr/>
              <w:t>根据各响应供应商对本项目提供的组织实施管理计划（包括但不限于工作安排及计划、定期阶段性汇报制度等）进行评审： 1、涵盖以上所有内容项，内容全面、合理可行，得10分； 2、以上内容项缺失不超过1项，或内容较合理、具有可行性，得6分； 3、以上内容项缺失较多，或内容简单、合理性、可行性较差，得2分； 4、未提供方案不得分。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根据各响应供应商对本项目提供的项目实施方案（包括但不限于项目组织管理、人员投入、岗位分工、进度保障、保密管理等）进行评审： 1、涵盖以上所有内容项，内容全面、合理可行，可操作性强的，得10分； 2、以上内容项缺失不超过1项，或内容较详细、合理，具有一定可行性和可操作性的，得6分； 3、以上内容项缺失超过1项，或内容简单，合理性、可行性、可操作性较差的，得2分； 4、未提供方案不得分。</w:t>
            </w:r>
          </w:p>
        </w:tc>
      </w:tr>
      <w:tr>
        <w:tc>
          <w:tcPr>
            <w:tcW w:type="dxa" w:w="922"/>
            <w:gridSpan w:val="2"/>
            <w:vMerge/>
          </w:tcPr>
          <w:p/>
        </w:tc>
        <w:tc>
          <w:tcPr>
            <w:tcW w:type="dxa" w:w="2307"/>
          </w:tcPr>
          <w:p>
            <w:pPr>
              <w:pStyle w:val="null3"/>
              <w:jc w:val="left"/>
            </w:pPr>
            <w:r>
              <w:rPr/>
              <w:t>质量管控及风险控制 (10.0分)</w:t>
            </w:r>
          </w:p>
        </w:tc>
        <w:tc>
          <w:tcPr>
            <w:tcW w:type="dxa" w:w="5076"/>
          </w:tcPr>
          <w:p>
            <w:pPr>
              <w:pStyle w:val="null3"/>
              <w:jc w:val="left"/>
            </w:pPr>
            <w:r>
              <w:rPr/>
              <w:t>根据各响应供应商对本项目提供的质量管控及风险控制（包括但不限于项目服务质量管理的措施、服务质量指标的承诺和目标情况、问题处理与改进措施等）进行评审： 1、涵盖以上所有内容项，内容全面、合理可行，得10分； 2、以上内容项缺失不超过1项，或内容较合理、具有可行性，得6分； 3、以上内容项缺失超过1项，或内容简单、合理性、可行性较差，得2分； 4、未提供方案不得分。</w:t>
            </w:r>
          </w:p>
        </w:tc>
      </w:tr>
      <w:tr>
        <w:tc>
          <w:tcPr>
            <w:tcW w:type="dxa" w:w="922"/>
            <w:gridSpan w:val="2"/>
            <w:vMerge/>
          </w:tcPr>
          <w:p/>
        </w:tc>
        <w:tc>
          <w:tcPr>
            <w:tcW w:type="dxa" w:w="2307"/>
          </w:tcPr>
          <w:p>
            <w:pPr>
              <w:pStyle w:val="null3"/>
              <w:jc w:val="left"/>
            </w:pPr>
            <w:r>
              <w:rPr/>
              <w:t>后续服务方案 (10.0分)</w:t>
            </w:r>
          </w:p>
        </w:tc>
        <w:tc>
          <w:tcPr>
            <w:tcW w:type="dxa" w:w="5076"/>
          </w:tcPr>
          <w:p>
            <w:pPr>
              <w:pStyle w:val="null3"/>
              <w:jc w:val="left"/>
            </w:pPr>
            <w:r>
              <w:rPr/>
              <w:t>根据各响应供应商对本项目提供的后续服务方案（包括不限于过渡期运行保障服务支撑、项目问题解答等）进行评审： 1、涵盖以上所有内容项，内容全面、合理可行，得10分； 2、以上内容项缺失不超过1项，或内容较合理、具有可行性，得6分； 3、以上内容项缺失超过1项，或内容简单、合理性、可行性较差，得2分； 4、未提供方案不得分。</w:t>
            </w:r>
          </w:p>
        </w:tc>
      </w:tr>
      <w:tr>
        <w:tc>
          <w:tcPr>
            <w:tcW w:type="dxa" w:w="922"/>
            <w:gridSpan w:val="2"/>
            <w:vMerge/>
          </w:tcPr>
          <w:p/>
        </w:tc>
        <w:tc>
          <w:tcPr>
            <w:tcW w:type="dxa" w:w="2307"/>
          </w:tcPr>
          <w:p>
            <w:pPr>
              <w:pStyle w:val="null3"/>
              <w:jc w:val="left"/>
            </w:pPr>
            <w:r>
              <w:rPr/>
              <w:t>服务便利性 (7.0分)</w:t>
            </w:r>
          </w:p>
        </w:tc>
        <w:tc>
          <w:tcPr>
            <w:tcW w:type="dxa" w:w="5076"/>
          </w:tcPr>
          <w:p>
            <w:pPr>
              <w:pStyle w:val="null3"/>
              <w:jc w:val="left"/>
            </w:pPr>
            <w:r>
              <w:rPr/>
              <w:t>根据各响应供应商为本项目提供服务的便捷性、快速响应采购人服务要求的可行性及优越性、应急服务措施及保障等进行评审： 1、涵盖以上所有内容项，内容全面、合理可行，服务便捷性高，服务措施合理，得7分； 2、以上内容项缺失不超过1项，或内容较合理、具有可行性，服务便捷性较高，服务措施较好，得4分； 3、以上内容项缺失超过1项，或内容简单、合理性、可行性较差，服务便捷性较差，服务措施较差的，得1分。 4、不提供不得分。 注：须同时提供响应服务方案和服务响应承诺函并加盖响应供应商公章，不提供或提供不全均不得分。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(6.0分)</w:t>
            </w:r>
          </w:p>
        </w:tc>
        <w:tc>
          <w:tcPr>
            <w:tcW w:type="dxa" w:w="5076"/>
          </w:tcPr>
          <w:p>
            <w:pPr>
              <w:pStyle w:val="null3"/>
              <w:jc w:val="left"/>
            </w:pPr>
            <w:r>
              <w:rPr/>
              <w:t>响应供应商具备以下有效证书的每提供一项证书得2分，最高得6分： 1、质量管理体系认证证书； 2、职业健康安全管理体系认证证书； 3、环境管理体系认证证书。 注：①提供证书扫描件及在“全国认证认可信息公共服务平台”（http://cx.cnca.cn/CertECloud/index/index/page）的查询结果截图，证书状态为撤销、暂停、失效，或不提供的均不得分。②如响应供应商由于成立时间不足导致不能办理相应认证证书，提供认证机构出具的“成立时间不足，不能办理认证”的书面盖章证明材料，经磋商小组认定后可获得相应分数。</w:t>
            </w:r>
          </w:p>
        </w:tc>
      </w:tr>
      <w:tr>
        <w:tc>
          <w:tcPr>
            <w:tcW w:type="dxa" w:w="922"/>
            <w:gridSpan w:val="2"/>
            <w:vMerge/>
          </w:tcPr>
          <w:p/>
        </w:tc>
        <w:tc>
          <w:tcPr>
            <w:tcW w:type="dxa" w:w="2307"/>
          </w:tcPr>
          <w:p>
            <w:pPr>
              <w:pStyle w:val="null3"/>
              <w:jc w:val="left"/>
            </w:pPr>
            <w:r>
              <w:rPr/>
              <w:t>专业能力（一） (3.0分)</w:t>
            </w:r>
          </w:p>
        </w:tc>
        <w:tc>
          <w:tcPr>
            <w:tcW w:type="dxa" w:w="5076"/>
          </w:tcPr>
          <w:p>
            <w:pPr>
              <w:pStyle w:val="null3"/>
              <w:jc w:val="left"/>
            </w:pPr>
            <w:r>
              <w:rPr/>
              <w:t>拟派项目负责人（仅限1人）： 1、具有与本项目相关的测绘类或地理信息类等相关专业中级工程师（或以上）职称的，得3分； 2、具有与本项目相关的测绘类或地理信息类等相关专业初级工程师职称的，得1分； 注：本项最高得3分。须同时提供人员相关证书扫描件及磋商截止时间前6个月内任意一个月在响应供应商单位为其缴纳社保的证明材料扫描件，不提供或提供不全的均不得分。</w:t>
            </w:r>
          </w:p>
        </w:tc>
      </w:tr>
      <w:tr>
        <w:tc>
          <w:tcPr>
            <w:tcW w:type="dxa" w:w="922"/>
            <w:gridSpan w:val="2"/>
            <w:vMerge/>
          </w:tcPr>
          <w:p/>
        </w:tc>
        <w:tc>
          <w:tcPr>
            <w:tcW w:type="dxa" w:w="2307"/>
          </w:tcPr>
          <w:p>
            <w:pPr>
              <w:pStyle w:val="null3"/>
              <w:jc w:val="left"/>
            </w:pPr>
            <w:r>
              <w:rPr/>
              <w:t>专业能力（二） (14.0分)</w:t>
            </w:r>
          </w:p>
        </w:tc>
        <w:tc>
          <w:tcPr>
            <w:tcW w:type="dxa" w:w="5076"/>
          </w:tcPr>
          <w:p>
            <w:pPr>
              <w:pStyle w:val="null3"/>
              <w:jc w:val="left"/>
            </w:pPr>
            <w:r>
              <w:rPr/>
              <w:t>拟派服务支撑团队成员（项目负责人除外）： 1、具有与本项目相关的测绘类或地理信息类等相关专业中级工程师（或以上）职称的，每提供1人得2分，最高得6分，本子项最高得6分； 2、具有测绘、地理信息、计算机、管理等相关专业本科或以上学历的，每提供1人得1分，最高得8分；具有测绘、地理信息、计算机、管理等相关专业专科学历的，每提供1人得0.5分，最高得4分。本子项最高得8分。 注：本项最高得14分。①须同时提供以上人员相关证书扫描件及磋商截止时间前6个月内任意一个月在响应供应商单位为其缴纳社保的证明材料扫描件，不提供或提供不全的不得分。②同一人持多项证书不重复得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响应供应商自2023年1月1日至今（以合同签订时间为准）完成或正在进行的同类项目业绩，每提供一个业绩得2分，本项最高得8分。 注：须提供合同关键页扫描件（须显示项目名称、签约时间、项目主要内容和双方盖章页）并加盖响应供应商公章，未提供或未根据要求提供证明材料的均不得分。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根据响应供应商上述有效“同类项目业绩”得分情况，每提供一份对应的用户满意度评价得1分，本项最高得4分。 注：须提供业绩评价材料扫描件并加盖响应供应商公章。用户满意度评价须经用户单位盖章，评价材料必须达到90分或以上，或带有“满意”“好评”“优秀”等相关正面评价字眼，出现同一用户单位（合同甲方）或同一项目提供多份用户满意度评价的，按一份计算；不提供证明材料或证明材料不清晰、无法辨认的均不得分。</w:t>
            </w:r>
          </w:p>
        </w:tc>
      </w:tr>
      <w:tr>
        <w:tc>
          <w:tcPr>
            <w:tcW w:type="dxa" w:w="922"/>
            <w:gridSpan w:val="2"/>
          </w:tcPr>
          <w:p>
            <w:pPr>
              <w:pStyle w:val="null3"/>
              <w:jc w:val="center"/>
            </w:pPr>
            <w:r>
              <w:rPr/>
              <w:t>投标报价</w:t>
            </w:r>
          </w:p>
        </w:tc>
        <w:tc>
          <w:tcPr>
            <w:tcW w:type="dxa" w:w="2307"/>
          </w:tcPr>
          <w:p>
            <w:pPr>
              <w:pStyle w:val="null3"/>
              <w:jc w:val="left"/>
            </w:pPr>
            <w:r>
              <w:rPr/>
              <w:t>响应报价得分 (10.0分)</w:t>
            </w:r>
          </w:p>
        </w:tc>
        <w:tc>
          <w:tcPr>
            <w:tcW w:type="dxa" w:w="5076"/>
          </w:tcPr>
          <w:p>
            <w:pPr>
              <w:pStyle w:val="null3"/>
              <w:jc w:val="left"/>
            </w:pPr>
            <w:r>
              <w:rPr/>
              <w:t>响应报价得分＝（评标基准价/最终响应报价）×价格分值【注：满足磋商文件要求且响应价格最低的响应报价为评标基准价。】最低报价不是中标的唯一依据。</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响应供应商为第一成交候选人，排名第二的响应供应商为第二成交候选人，排名第三的响应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sz w:val="24"/>
          <w:b/>
          <w:color w:val="000000"/>
          <w:shd w:fill="FFFFFF" w:val="clear"/>
        </w:rPr>
        <w:t>项目编号：</w:t>
      </w:r>
      <w:r>
        <w:rPr>
          <w:sz w:val="24"/>
          <w:b/>
          <w:color w:val="000000"/>
          <w:u w:val="single"/>
          <w:shd w:fill="FFFFFF" w:val="clear"/>
        </w:rPr>
        <w:t>GDZC-26JC037</w:t>
      </w:r>
    </w:p>
    <w:p>
      <w:pPr>
        <w:pStyle w:val="null3"/>
        <w:ind w:firstLine="843"/>
      </w:pPr>
      <w:r>
        <w:rPr>
          <w:sz w:val="24"/>
          <w:b/>
          <w:color w:val="000000"/>
          <w:shd w:fill="FFFFFF" w:val="clear"/>
        </w:rPr>
        <w:t>项目名称：</w:t>
      </w:r>
      <w:r>
        <w:rPr>
          <w:sz w:val="24"/>
          <w:b/>
          <w:color w:val="000000"/>
          <w:u w:val="single"/>
          <w:shd w:fill="FFFFFF" w:val="clear"/>
        </w:rPr>
        <w:t>佛山市数字化城市管理信息系统运作服务（</w:t>
      </w:r>
      <w:r>
        <w:rPr>
          <w:sz w:val="24"/>
          <w:b/>
          <w:color w:val="000000"/>
          <w:u w:val="single"/>
          <w:shd w:fill="FFFFFF" w:val="clear"/>
        </w:rPr>
        <w:t>2026-2027</w:t>
      </w:r>
      <w:r>
        <w:rPr>
          <w:sz w:val="24"/>
          <w:b/>
          <w:color w:val="000000"/>
          <w:u w:val="single"/>
          <w:shd w:fill="FFFFFF" w:val="clear"/>
        </w:rPr>
        <w:t>年）</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19"/>
                <w:u w:val="single"/>
              </w:rPr>
              <w:t>佛山市城市管理和综合执法局</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28"/>
                <w:color w:val="000000"/>
                <w:u w:val="single"/>
                <w:shd w:fill="FFFFFF" w:val="clear"/>
              </w:rPr>
              <w:t>成交供应商名称</w:t>
            </w:r>
            <w:r>
              <w:rPr>
                <w:sz w:val="19"/>
                <w:u w:val="single"/>
              </w:rPr>
              <w:t xml:space="preserve"> </w:t>
            </w:r>
            <w:r>
              <w:rPr>
                <w:sz w:val="19"/>
                <w:u w:val="single"/>
              </w:rPr>
              <w:t xml:space="preserve">     </w:t>
            </w:r>
            <w:r>
              <w:rPr>
                <w:sz w:val="19"/>
                <w:u w:val="single"/>
              </w:rPr>
              <w:t xml:space="preserve"> </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color w:val="FF0000"/>
        </w:rPr>
        <w:t>注：本合同仅为合同的参考文本，可根据项目的具体要求进行修订。</w:t>
      </w:r>
    </w:p>
    <w:p>
      <w:pPr>
        <w:pStyle w:val="null3"/>
        <w:jc w:val="center"/>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 xml:space="preserve"> </w:t>
            </w:r>
            <w:r>
              <w:rPr>
                <w:sz w:val="21"/>
                <w:color w:val="000000"/>
                <w:u w:val="single"/>
              </w:rPr>
              <w:t>佛山市数字化城市管理信息系统运作服务（</w:t>
            </w:r>
            <w:r>
              <w:rPr>
                <w:sz w:val="21"/>
                <w:color w:val="000000"/>
                <w:u w:val="single"/>
              </w:rPr>
              <w:t>2026-2027</w:t>
            </w:r>
            <w:r>
              <w:rPr>
                <w:sz w:val="21"/>
                <w:color w:val="000000"/>
                <w:u w:val="single"/>
              </w:rPr>
              <w:t>年）</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GDZC-26JC037</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19"/>
                <w:b/>
              </w:rPr>
              <w:t xml:space="preserve">    </w:t>
            </w:r>
            <w:r>
              <w:rPr>
                <w:sz w:val="21"/>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佛山市城市管理和综合执法局</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w:t>
            </w:r>
            <w:r>
              <w:rPr>
                <w:sz w:val="21"/>
                <w:color w:val="000000"/>
                <w:u w:val="single"/>
              </w:rPr>
              <w:t>成交供应商</w:t>
            </w:r>
            <w:r>
              <w:rPr>
                <w:sz w:val="21"/>
                <w:color w:val="000000"/>
                <w:u w:val="single"/>
              </w:rPr>
              <w:t>名称</w:t>
            </w:r>
            <w:r>
              <w:rPr>
                <w:sz w:val="21"/>
                <w:color w:val="000000"/>
                <w:u w:val="single"/>
              </w:rPr>
              <w:t>）</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r>
              <w:rPr>
                <w:sz w:val="21"/>
                <w:color w:val="000000"/>
                <w:u w:val="single"/>
              </w:rPr>
              <w:t xml:space="preserve">                            </w:t>
            </w:r>
          </w:p>
        </w:tc>
      </w:tr>
    </w:tbl>
    <w:p>
      <w:pPr>
        <w:pStyle w:val="null3"/>
        <w:ind w:firstLine="420"/>
      </w:pPr>
      <w:r>
        <w:rPr>
          <w:sz w:val="21"/>
          <w:color w:val="000000"/>
          <w:shd w:fill="FFFFFF" w:val="clear"/>
        </w:rPr>
        <w:t>根据《中华人民共和国政府采购法》《中华人民共和国民法典》和本项目采购文件的要求，</w:t>
      </w:r>
      <w:r>
        <w:rPr>
          <w:sz w:val="21"/>
          <w:color w:val="000000"/>
          <w:shd w:fill="FFFFFF" w:val="clear"/>
        </w:rPr>
        <w:t>经双方协商，</w:t>
      </w:r>
      <w:r>
        <w:rPr>
          <w:sz w:val="21"/>
          <w:color w:val="000000"/>
          <w:shd w:fill="FFFFFF" w:val="clear"/>
        </w:rPr>
        <w:t>本着平等互利和诚实信用的原则，</w:t>
      </w:r>
      <w:r>
        <w:rPr>
          <w:sz w:val="21"/>
          <w:color w:val="000000"/>
          <w:shd w:fill="FFFFFF" w:val="clear"/>
        </w:rPr>
        <w:t>一致同意签订本合同如下。</w:t>
      </w:r>
    </w:p>
    <w:p>
      <w:pPr>
        <w:pStyle w:val="null3"/>
        <w:ind w:left="510"/>
      </w:pPr>
      <w:r>
        <w:rPr>
          <w:sz w:val="21"/>
          <w:b/>
          <w:color w:val="000000"/>
        </w:rPr>
        <w:t>一、</w:t>
      </w:r>
      <w:r>
        <w:rPr>
          <w:sz w:val="21"/>
          <w:b/>
          <w:color w:val="000000"/>
          <w:shd w:fill="FFFFFF" w:val="clear"/>
        </w:rPr>
        <w:t>项目主要内容及实现功能目标：</w:t>
      </w:r>
      <w:r>
        <w:rPr>
          <w:sz w:val="21"/>
          <w:color w:val="000000"/>
        </w:rPr>
        <w:t>按照采购文件和响应文件执行</w:t>
      </w:r>
      <w:r>
        <w:rPr>
          <w:sz w:val="21"/>
          <w:color w:val="000000"/>
        </w:rPr>
        <w:t>。</w:t>
      </w:r>
    </w:p>
    <w:p>
      <w:pPr>
        <w:pStyle w:val="null3"/>
        <w:ind w:left="510"/>
      </w:pPr>
      <w:r>
        <w:rPr>
          <w:sz w:val="21"/>
          <w:b/>
          <w:color w:val="000000"/>
        </w:rPr>
        <w:t>二、</w:t>
      </w:r>
      <w:r>
        <w:rPr>
          <w:sz w:val="21"/>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97"/>
        <w:gridCol w:w="6136"/>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人民币</w:t>
            </w:r>
            <w:r>
              <w:rPr>
                <w:sz w:val="21"/>
                <w:color w:val="000000"/>
                <w:shd w:fill="FFFFFF" w:val="clear"/>
              </w:rPr>
              <w:t xml:space="preserve">  </w:t>
            </w:r>
            <w:r>
              <w:rPr>
                <w:sz w:val="21"/>
                <w:color w:val="000000"/>
                <w:shd w:fill="FFFFFF" w:val="clear"/>
              </w:rPr>
              <w:t>小写：</w:t>
            </w:r>
            <w:r>
              <w:rPr>
                <w:sz w:val="19"/>
                <w:u w:val="single"/>
              </w:rPr>
              <w:t xml:space="preserve">             </w:t>
            </w:r>
            <w:r>
              <w:rPr>
                <w:sz w:val="21"/>
                <w:color w:val="000000"/>
                <w:shd w:fill="FFFFFF" w:val="clear"/>
              </w:rPr>
              <w:t>元</w:t>
            </w:r>
            <w:r>
              <w:rPr>
                <w:sz w:val="21"/>
                <w:color w:val="000000"/>
              </w:rPr>
              <w:t>；</w:t>
            </w:r>
            <w:r>
              <w:rPr>
                <w:sz w:val="21"/>
                <w:color w:val="000000"/>
                <w:shd w:fill="FFFFFF" w:val="clear"/>
              </w:rPr>
              <w:t>大写：</w:t>
            </w:r>
            <w:r>
              <w:rPr>
                <w:sz w:val="19"/>
                <w:u w:val="single"/>
              </w:rPr>
              <w:t xml:space="preserve">                  </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2.</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（一）</w:t>
            </w:r>
            <w:r>
              <w:rPr>
                <w:sz w:val="21"/>
                <w:color w:val="000000"/>
                <w:shd w:fill="FFFFFF" w:val="clear"/>
              </w:rPr>
              <w:t>合同总额为全包价，以人民币为结算单位。</w:t>
            </w:r>
          </w:p>
          <w:p>
            <w:pPr>
              <w:pStyle w:val="null3"/>
            </w:pPr>
            <w:r>
              <w:rPr>
                <w:sz w:val="21"/>
                <w:color w:val="000000"/>
              </w:rPr>
              <w:t>（二）</w:t>
            </w:r>
            <w:r>
              <w:rPr>
                <w:sz w:val="21"/>
                <w:color w:val="000000"/>
                <w:shd w:fill="FFFFFF" w:val="clear"/>
              </w:rPr>
              <w:t>合同总额为完成合同履行期内所发生的所有费用，包括但不限于：本项目运营服务费【数据分析费、人员服务费（包括但不限于薪酬、社会保险、高温补贴等各类补贴）等】、全额含税发票、代理服务费、合同实施过程中的应预见和不可预见费用等。</w:t>
            </w:r>
          </w:p>
          <w:p>
            <w:pPr>
              <w:pStyle w:val="null3"/>
            </w:pPr>
            <w:r>
              <w:rPr>
                <w:sz w:val="21"/>
                <w:color w:val="000000"/>
              </w:rPr>
              <w:t>（三）</w:t>
            </w:r>
            <w:r>
              <w:rPr>
                <w:sz w:val="21"/>
                <w:color w:val="000000"/>
                <w:shd w:fill="FFFFFF" w:val="clear"/>
              </w:rPr>
              <w:t>在合同执行过程中，甲方将不再另行支付与本项目相关的任何费用（非本项目要求的其它内容除外），一切额外服务和特殊情况所需的费用均包含在合同总额内。非本项目要求的其它内容需要额外支付费用的，由双方另行商议。</w:t>
            </w:r>
          </w:p>
          <w:p>
            <w:pPr>
              <w:pStyle w:val="null3"/>
            </w:pPr>
            <w:r>
              <w:rPr>
                <w:sz w:val="21"/>
                <w:color w:val="000000"/>
              </w:rPr>
              <w:t>（四）</w:t>
            </w:r>
            <w:r>
              <w:rPr>
                <w:sz w:val="21"/>
                <w:color w:val="000000"/>
                <w:shd w:fill="FFFFFF" w:val="clear"/>
              </w:rPr>
              <w:t>价格为固定不变价，天数为公历日。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3.</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甲方指定地点（佛山市内）</w:t>
            </w:r>
            <w:r>
              <w:rPr>
                <w:sz w:val="21"/>
              </w:rPr>
              <w:t>。</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4.</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2026年6月1日至2027年5月31日</w:t>
            </w:r>
            <w:r>
              <w:rPr>
                <w:sz w:val="21"/>
                <w:color w:val="000000"/>
                <w:shd w:fill="FFFFFF" w:val="clear"/>
              </w:rPr>
              <w:t>。</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5.</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一次性签订本项目采购合同。</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6.</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1期：支付比例30%，合同签订后乙方开具含税发票，在收到乙方发票后10个工作日内，甲方向乙方支付合同总额的30%。</w:t>
            </w:r>
          </w:p>
          <w:p>
            <w:pPr>
              <w:pStyle w:val="null3"/>
            </w:pPr>
            <w:r>
              <w:rPr>
                <w:sz w:val="21"/>
                <w:color w:val="000000"/>
                <w:shd w:fill="FFFFFF" w:val="clear"/>
              </w:rPr>
              <w:t>2期：支付比例20%，提供服务满6个月后乙方开具含税发票，在收到乙方发票后10个工作日内，甲方向乙方支付合同总额的20%。</w:t>
            </w:r>
          </w:p>
          <w:p>
            <w:pPr>
              <w:pStyle w:val="null3"/>
            </w:pPr>
            <w:r>
              <w:rPr>
                <w:sz w:val="21"/>
                <w:color w:val="000000"/>
                <w:shd w:fill="FFFFFF" w:val="clear"/>
              </w:rPr>
              <w:t>3期：支付比例50%，在合同履行期结束后，甲方对乙方进行最终验收。验收合格后乙方开具含税发票，在收到乙方发票后10个工作日内，甲方根据合同履行期内的年度评价结果向乙方支付合同尾款。</w:t>
            </w:r>
          </w:p>
          <w:p>
            <w:pPr>
              <w:pStyle w:val="null3"/>
            </w:pPr>
            <w:r>
              <w:rPr>
                <w:sz w:val="21"/>
                <w:color w:val="000000"/>
                <w:shd w:fill="FFFFFF" w:val="clear"/>
              </w:rPr>
              <w:t>（备注：</w:t>
            </w:r>
            <w:r>
              <w:rPr>
                <w:sz w:val="21"/>
                <w:color w:val="000000"/>
                <w:shd w:fill="FFFFFF" w:val="clear"/>
              </w:rPr>
              <w:t>①评价表详见附件1《供应商服务情况评价表》；②年度评价结果=合同履行期内的季度评价结果成绩之和÷4；③年度评价结果为“优秀”的，甲方支付100%的合同尾款，“良好”支付95%的合同尾款，“合格”支付90%的合同尾款，“不合格”不支付合同尾款，扣减金额不予支付）</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付款方式补充：</w:t>
            </w:r>
          </w:p>
          <w:p>
            <w:pPr>
              <w:pStyle w:val="null3"/>
            </w:pPr>
            <w:r>
              <w:rPr>
                <w:sz w:val="21"/>
              </w:rPr>
              <w:t>（一）结算方式：转账结算（银行转账）。</w:t>
            </w:r>
          </w:p>
          <w:p>
            <w:pPr>
              <w:pStyle w:val="null3"/>
            </w:pPr>
            <w:r>
              <w:rPr>
                <w:sz w:val="21"/>
              </w:rPr>
              <w:t>（二）付款方：甲方；收款方：乙方。</w:t>
            </w:r>
          </w:p>
          <w:p>
            <w:pPr>
              <w:pStyle w:val="null3"/>
            </w:pPr>
            <w:r>
              <w:rPr>
                <w:sz w:val="21"/>
              </w:rPr>
              <w:t>（三）开具发票：乙方收款时必须持有效发票。收款方、出具发票方、合同乙方均必须与成交供应商名称一致。</w:t>
            </w:r>
          </w:p>
          <w:p>
            <w:pPr>
              <w:pStyle w:val="null3"/>
            </w:pPr>
            <w:r>
              <w:rPr>
                <w:sz w:val="21"/>
              </w:rPr>
              <w:t>（四）付款期间如因特殊情况需调整，由双方协商处理。</w:t>
            </w:r>
          </w:p>
          <w:p>
            <w:pPr>
              <w:pStyle w:val="null3"/>
            </w:pPr>
            <w:r>
              <w:rPr>
                <w:sz w:val="21"/>
              </w:rPr>
              <w:t>（五）如该项目剩余款项，归财政所有。</w:t>
            </w:r>
          </w:p>
        </w:tc>
      </w:tr>
    </w:tbl>
    <w:p>
      <w:pPr>
        <w:pStyle w:val="null3"/>
        <w:ind w:left="510"/>
      </w:pPr>
      <w:r>
        <w:rPr>
          <w:sz w:val="21"/>
          <w:b/>
          <w:color w:val="000000"/>
        </w:rPr>
        <w:t>三、</w:t>
      </w:r>
      <w:r>
        <w:rPr>
          <w:sz w:val="21"/>
          <w:b/>
          <w:color w:val="000000"/>
          <w:shd w:fill="FFFFFF" w:val="clear"/>
        </w:rPr>
        <w:t>总体绩效目标</w:t>
      </w:r>
    </w:p>
    <w:p>
      <w:pPr>
        <w:pStyle w:val="null3"/>
        <w:ind w:firstLine="420"/>
      </w:pPr>
      <w:r>
        <w:rPr>
          <w:sz w:val="21"/>
          <w:color w:val="000000"/>
          <w:shd w:fill="FFFFFF" w:val="clear"/>
        </w:rPr>
        <w:t>对城市运行管理服务状况进行实时监测、动态分析、统筹协调、指挥监督和综合评价，推进城市运行管理提质增效。</w:t>
      </w:r>
    </w:p>
    <w:p>
      <w:pPr>
        <w:pStyle w:val="null3"/>
        <w:ind w:left="510"/>
      </w:pPr>
      <w:r>
        <w:rPr>
          <w:sz w:val="21"/>
          <w:b/>
          <w:color w:val="000000"/>
        </w:rPr>
        <w:t>四、</w:t>
      </w:r>
      <w:r>
        <w:rPr>
          <w:sz w:val="21"/>
          <w:b/>
          <w:color w:val="000000"/>
          <w:shd w:fill="FFFFFF" w:val="clear"/>
        </w:rPr>
        <w:t>服务内容</w:t>
      </w:r>
    </w:p>
    <w:p>
      <w:pPr>
        <w:pStyle w:val="null3"/>
      </w:pPr>
      <w:r>
        <w:rPr>
          <w:sz w:val="21"/>
        </w:rPr>
        <w:t>（一）基础数据服务。</w:t>
      </w:r>
    </w:p>
    <w:p>
      <w:pPr>
        <w:pStyle w:val="null3"/>
      </w:pPr>
      <w:r>
        <w:rPr>
          <w:sz w:val="21"/>
        </w:rPr>
        <w:t>(1)基础地理信息的维护与更新服务。收集城市管理所需的基础地理信息数据，如正射影像、三维模型等数据,汇入城管数据中心。</w:t>
      </w:r>
    </w:p>
    <w:p>
      <w:pPr>
        <w:pStyle w:val="null3"/>
      </w:pPr>
      <w:r>
        <w:rPr>
          <w:sz w:val="21"/>
        </w:rPr>
        <w:t>(2)数据质量控制。数据汇入佛山城管数据中心前应对相关数据进行数据清洗与质量分析工作，包含数据的一致性检查和无效值、缺失值、重复值处理等工作，以保障录入系统中数据的质量达到要求。</w:t>
      </w:r>
    </w:p>
    <w:p>
      <w:pPr>
        <w:pStyle w:val="null3"/>
      </w:pPr>
      <w:r>
        <w:rPr>
          <w:sz w:val="21"/>
        </w:rPr>
        <w:t>(3)维护、更新基础数据底板，包括数据的清洗、数据标签更新、数据预处理等。</w:t>
      </w:r>
    </w:p>
    <w:p>
      <w:pPr>
        <w:pStyle w:val="null3"/>
      </w:pPr>
      <w:r>
        <w:rPr>
          <w:sz w:val="21"/>
        </w:rPr>
        <w:t>（二）协助开展城市管理相关业务梳理、分析和服务工作。</w:t>
      </w:r>
    </w:p>
    <w:p>
      <w:pPr>
        <w:pStyle w:val="null3"/>
      </w:pPr>
      <w:r>
        <w:rPr>
          <w:sz w:val="21"/>
        </w:rPr>
        <w:t>(1)协助开展佛山市城市管理各项业务的梳理工作，根据全年运行数据，分析业务管理存在的问题以及数据共享应用的堵点、难点，提出相应的解决方案。</w:t>
      </w:r>
    </w:p>
    <w:p>
      <w:pPr>
        <w:pStyle w:val="null3"/>
      </w:pPr>
      <w:r>
        <w:rPr>
          <w:sz w:val="21"/>
        </w:rPr>
        <w:t>(2)面对城市精细化、科学化的业务管理需求，提供城市运行管理产生的数据与各类专题数据的数据整理、分析、报送服务，形成相应的分析报告。</w:t>
      </w:r>
    </w:p>
    <w:p>
      <w:pPr>
        <w:pStyle w:val="null3"/>
      </w:pPr>
      <w:r>
        <w:rPr>
          <w:sz w:val="21"/>
        </w:rPr>
        <w:t>（三）依托城市运行管理服务平台，乙方拟投入本项目的服务支撑团队中应提供不少于</w:t>
      </w:r>
      <w:r>
        <w:rPr>
          <w:sz w:val="21"/>
        </w:rPr>
        <w:t>12位现场服务人员，其中包含项目负责人1名，保障相关业务的正常开展。</w:t>
      </w:r>
    </w:p>
    <w:p>
      <w:pPr>
        <w:pStyle w:val="null3"/>
      </w:pPr>
      <w:r>
        <w:rPr>
          <w:sz w:val="21"/>
        </w:rPr>
        <w:t>（</w:t>
      </w:r>
      <w:r>
        <w:rPr>
          <w:sz w:val="21"/>
        </w:rPr>
        <w:t>1）保障佛山数字城管系统的监督、指挥、调度和协调工作。</w:t>
      </w:r>
    </w:p>
    <w:p>
      <w:pPr>
        <w:pStyle w:val="null3"/>
      </w:pPr>
      <w:r>
        <w:rPr>
          <w:sz w:val="21"/>
        </w:rPr>
        <w:t>a.协助办理上级或其他部门、科室交办、转办的问题，按照数字城管平台业务流程进行处理。</w:t>
      </w:r>
    </w:p>
    <w:p>
      <w:pPr>
        <w:pStyle w:val="null3"/>
      </w:pPr>
      <w:r>
        <w:rPr>
          <w:sz w:val="21"/>
        </w:rPr>
        <w:t>b.保障数字城管、工单派遣、监督评价等基本功能的正常运行。</w:t>
      </w:r>
    </w:p>
    <w:p>
      <w:pPr>
        <w:pStyle w:val="null3"/>
      </w:pPr>
      <w:r>
        <w:rPr>
          <w:sz w:val="21"/>
        </w:rPr>
        <w:t>c.协助对接12345、12319、局邮箱等各渠道的群众诉求，确保诉求能第一时间得到有效处理。</w:t>
      </w:r>
    </w:p>
    <w:p>
      <w:pPr>
        <w:pStyle w:val="null3"/>
      </w:pPr>
      <w:r>
        <w:rPr>
          <w:sz w:val="21"/>
        </w:rPr>
        <w:t>d.协助业务科室跟进业务工单的沟通协调、答复诉求人、办理结果反馈等工作。</w:t>
      </w:r>
    </w:p>
    <w:p>
      <w:pPr>
        <w:pStyle w:val="null3"/>
      </w:pPr>
      <w:r>
        <w:rPr>
          <w:sz w:val="21"/>
        </w:rPr>
        <w:t>e.完成数据统计分析以及相关专项报告的编写。</w:t>
      </w:r>
    </w:p>
    <w:p>
      <w:pPr>
        <w:pStyle w:val="null3"/>
      </w:pPr>
      <w:r>
        <w:rPr>
          <w:sz w:val="21"/>
        </w:rPr>
        <w:t>（</w:t>
      </w:r>
      <w:r>
        <w:rPr>
          <w:sz w:val="21"/>
        </w:rPr>
        <w:t>2）提供城市运行管理服务平台中建筑垃圾处置、智慧环卫、智慧市容等各功能模块的监测、分析服务。</w:t>
      </w:r>
    </w:p>
    <w:p>
      <w:pPr>
        <w:pStyle w:val="null3"/>
      </w:pPr>
      <w:r>
        <w:rPr>
          <w:sz w:val="21"/>
        </w:rPr>
        <w:t>a.协助受理、派遣、跟踪和反馈建筑垃圾相关的投诉。利用相关职能部门数据，对建筑垃圾运输车辆的违法、违规行为预警，实现建筑垃圾和运输车辆的智能化管理。</w:t>
      </w:r>
    </w:p>
    <w:p>
      <w:pPr>
        <w:pStyle w:val="null3"/>
      </w:pPr>
      <w:r>
        <w:rPr>
          <w:sz w:val="21"/>
        </w:rPr>
        <w:t>b.对环卫作业车辆进行智慧化监管。</w:t>
      </w:r>
    </w:p>
    <w:p>
      <w:pPr>
        <w:pStyle w:val="null3"/>
      </w:pPr>
      <w:r>
        <w:rPr>
          <w:sz w:val="21"/>
        </w:rPr>
        <w:t>c.监测、维护城市市容AI模块的运行工作，做好摄像头数据的对接与管理工作，对识别的案件进行分类与分派,配合完成相应的数据统计、分析工作。</w:t>
      </w:r>
    </w:p>
    <w:p>
      <w:pPr>
        <w:pStyle w:val="null3"/>
      </w:pPr>
      <w:r>
        <w:rPr>
          <w:sz w:val="21"/>
        </w:rPr>
        <w:t>d.保障犬类监管、监督评价等其他各类城市运行管理系统业务的正常运转，完成相关数据统计工作。</w:t>
      </w:r>
    </w:p>
    <w:p>
      <w:pPr>
        <w:pStyle w:val="null3"/>
      </w:pPr>
      <w:r>
        <w:rPr>
          <w:sz w:val="21"/>
        </w:rPr>
        <w:t>e.协助完成系统数据统计分析以及相关专项报告的编写。</w:t>
      </w:r>
    </w:p>
    <w:p>
      <w:pPr>
        <w:pStyle w:val="null3"/>
      </w:pPr>
      <w:r>
        <w:rPr>
          <w:sz w:val="21"/>
        </w:rPr>
        <w:t>f.协助维护、更新城市管理和综合执法工单处置相关方面的知识库。</w:t>
      </w:r>
    </w:p>
    <w:p>
      <w:pPr>
        <w:pStyle w:val="null3"/>
      </w:pPr>
      <w:r>
        <w:rPr>
          <w:sz w:val="21"/>
        </w:rPr>
        <w:t>（</w:t>
      </w:r>
      <w:r>
        <w:rPr>
          <w:sz w:val="21"/>
        </w:rPr>
        <w:t>3）其他业务运行服务</w:t>
      </w:r>
    </w:p>
    <w:p>
      <w:pPr>
        <w:pStyle w:val="null3"/>
      </w:pPr>
      <w:r>
        <w:rPr>
          <w:sz w:val="21"/>
        </w:rPr>
        <w:t>a.提供三区三线禁止区内的数据判定服务工作。</w:t>
      </w:r>
    </w:p>
    <w:p>
      <w:pPr>
        <w:pStyle w:val="null3"/>
      </w:pPr>
      <w:r>
        <w:rPr>
          <w:sz w:val="21"/>
        </w:rPr>
        <w:t>b.依据建筑垃圾运输车辆运行数据，开展建筑垃圾运输车智能识别与动态监管。</w:t>
      </w:r>
    </w:p>
    <w:p>
      <w:pPr>
        <w:pStyle w:val="null3"/>
      </w:pPr>
      <w:r>
        <w:rPr>
          <w:sz w:val="21"/>
        </w:rPr>
        <w:t>c.协助监测工地摄像头运行状态，对摄像头长时间掉线、黑屏问题及时提醒相关责任人员。</w:t>
      </w:r>
    </w:p>
    <w:p>
      <w:pPr>
        <w:pStyle w:val="null3"/>
      </w:pPr>
      <w:r>
        <w:rPr>
          <w:sz w:val="21"/>
        </w:rPr>
        <w:t>d.提供面向城市管理业务的信息化应用、小程序等工具服务。</w:t>
      </w:r>
    </w:p>
    <w:p>
      <w:pPr>
        <w:pStyle w:val="null3"/>
      </w:pPr>
      <w:r>
        <w:rPr>
          <w:sz w:val="21"/>
        </w:rPr>
        <w:t>（</w:t>
      </w:r>
      <w:r>
        <w:rPr>
          <w:sz w:val="21"/>
        </w:rPr>
        <w:t>四</w:t>
      </w:r>
      <w:r>
        <w:rPr>
          <w:sz w:val="21"/>
        </w:rPr>
        <w:t>）协助完成其他与数字化城市管理相关的工作。</w:t>
      </w:r>
    </w:p>
    <w:p>
      <w:pPr>
        <w:pStyle w:val="null3"/>
        <w:ind w:left="510"/>
      </w:pPr>
      <w:r>
        <w:rPr>
          <w:sz w:val="21"/>
          <w:b/>
          <w:color w:val="000000"/>
        </w:rPr>
        <w:t>五、</w:t>
      </w:r>
      <w:r>
        <w:rPr>
          <w:sz w:val="21"/>
          <w:b/>
          <w:color w:val="000000"/>
          <w:shd w:fill="FFFFFF" w:val="clear"/>
        </w:rPr>
        <w:t>服务团队要求</w:t>
      </w:r>
    </w:p>
    <w:p>
      <w:pPr>
        <w:pStyle w:val="null3"/>
        <w:ind w:firstLine="420"/>
      </w:pPr>
      <w:r>
        <w:rPr>
          <w:sz w:val="21"/>
        </w:rPr>
        <w:t>乙方</w:t>
      </w:r>
      <w:r>
        <w:rPr>
          <w:sz w:val="21"/>
        </w:rPr>
        <w:t>须在签订合同之日起</w:t>
      </w:r>
      <w:r>
        <w:rPr>
          <w:sz w:val="21"/>
        </w:rPr>
        <w:t>5个工作日内指派</w:t>
      </w:r>
      <w:r>
        <w:rPr>
          <w:sz w:val="21"/>
        </w:rPr>
        <w:t>相应的现场服务人员</w:t>
      </w:r>
      <w:r>
        <w:rPr>
          <w:sz w:val="21"/>
        </w:rPr>
        <w:t>为本项目</w:t>
      </w:r>
      <w:r>
        <w:rPr>
          <w:sz w:val="21"/>
        </w:rPr>
        <w:t>提供</w:t>
      </w:r>
      <w:r>
        <w:rPr>
          <w:sz w:val="21"/>
        </w:rPr>
        <w:t>服务，现场服务人员</w:t>
      </w:r>
      <w:r>
        <w:rPr>
          <w:sz w:val="21"/>
        </w:rPr>
        <w:t>须</w:t>
      </w:r>
      <w:r>
        <w:rPr>
          <w:sz w:val="21"/>
        </w:rPr>
        <w:t>达到以下要求：</w:t>
      </w:r>
    </w:p>
    <w:p>
      <w:pPr>
        <w:pStyle w:val="null3"/>
        <w:jc w:val="left"/>
      </w:pPr>
      <w:r>
        <w:rPr>
          <w:sz w:val="21"/>
        </w:rPr>
        <w:t>（一）</w:t>
      </w:r>
      <w:r>
        <w:rPr>
          <w:sz w:val="21"/>
        </w:rPr>
        <w:t>乙方须为本项目配备专业的现场服务人员。</w:t>
      </w:r>
    </w:p>
    <w:p>
      <w:pPr>
        <w:pStyle w:val="null3"/>
        <w:jc w:val="left"/>
      </w:pPr>
      <w:r>
        <w:rPr>
          <w:sz w:val="21"/>
        </w:rPr>
        <w:t>（二）</w:t>
      </w:r>
      <w:r>
        <w:rPr>
          <w:sz w:val="21"/>
        </w:rPr>
        <w:t>乙方应向甲方提供现场服务人员的完整名单，并建立合理的管理架构。乙方不得擅自调整现场服务人员，若要更换应提前</w:t>
      </w:r>
      <w:r>
        <w:rPr>
          <w:sz w:val="21"/>
        </w:rPr>
        <w:t>15天书面向甲方提出申请，经甲方同意后方可调整。</w:t>
      </w:r>
    </w:p>
    <w:p>
      <w:pPr>
        <w:pStyle w:val="null3"/>
        <w:jc w:val="left"/>
      </w:pPr>
      <w:r>
        <w:rPr>
          <w:sz w:val="21"/>
        </w:rPr>
        <w:t>（三）</w:t>
      </w:r>
      <w:r>
        <w:rPr>
          <w:sz w:val="21"/>
        </w:rPr>
        <w:t>乙方项目现场服务人员应当服从甲方的日常工作管理，并遵守甲方的各项规章制度。</w:t>
      </w:r>
    </w:p>
    <w:p>
      <w:pPr>
        <w:pStyle w:val="null3"/>
        <w:jc w:val="left"/>
      </w:pPr>
      <w:r>
        <w:rPr>
          <w:sz w:val="21"/>
        </w:rPr>
        <w:t>（四）</w:t>
      </w:r>
      <w:r>
        <w:rPr>
          <w:sz w:val="21"/>
        </w:rPr>
        <w:t>现场服务人员如出现下述任一情形，甲方有权提出更换要求，乙方应无条件响应：</w:t>
      </w:r>
    </w:p>
    <w:p>
      <w:pPr>
        <w:pStyle w:val="null3"/>
        <w:jc w:val="left"/>
      </w:pPr>
      <w:r>
        <w:rPr>
          <w:sz w:val="21"/>
        </w:rPr>
        <w:t>①严重违反甲方规章制度的；</w:t>
      </w:r>
    </w:p>
    <w:p>
      <w:pPr>
        <w:pStyle w:val="null3"/>
        <w:jc w:val="left"/>
      </w:pPr>
      <w:r>
        <w:rPr>
          <w:sz w:val="21"/>
        </w:rPr>
        <w:t>②工作严重失职、营私舞弊给甲方造成重大损害的；</w:t>
      </w:r>
    </w:p>
    <w:p>
      <w:pPr>
        <w:pStyle w:val="null3"/>
        <w:jc w:val="left"/>
      </w:pPr>
      <w:r>
        <w:rPr>
          <w:sz w:val="21"/>
        </w:rPr>
        <w:t>③不按照甲方要求选择正确的方式方法进行工作，而给甲方造成损害的；</w:t>
      </w:r>
    </w:p>
    <w:p>
      <w:pPr>
        <w:pStyle w:val="null3"/>
        <w:jc w:val="left"/>
      </w:pPr>
      <w:r>
        <w:rPr>
          <w:sz w:val="21"/>
        </w:rPr>
        <w:t>④不服从甲方工作安排，对完成甲方的工作任务造成严重影响，或者经甲方提出，拒不改正的；</w:t>
      </w:r>
    </w:p>
    <w:p>
      <w:pPr>
        <w:pStyle w:val="null3"/>
        <w:jc w:val="left"/>
      </w:pPr>
      <w:r>
        <w:rPr>
          <w:sz w:val="21"/>
        </w:rPr>
        <w:t>⑤被依法追究刑事责任的；</w:t>
      </w:r>
    </w:p>
    <w:p>
      <w:pPr>
        <w:pStyle w:val="null3"/>
        <w:jc w:val="left"/>
      </w:pPr>
      <w:r>
        <w:rPr>
          <w:sz w:val="21"/>
        </w:rPr>
        <w:t>⑥不能胜任甲方工作的；</w:t>
      </w:r>
    </w:p>
    <w:p>
      <w:pPr>
        <w:pStyle w:val="null3"/>
        <w:jc w:val="left"/>
      </w:pPr>
      <w:r>
        <w:rPr>
          <w:sz w:val="21"/>
        </w:rPr>
        <w:t>⑦因病或非因工负伤，在规定的医疗期满后不能从事原工作的；</w:t>
      </w:r>
    </w:p>
    <w:p>
      <w:pPr>
        <w:pStyle w:val="null3"/>
        <w:jc w:val="left"/>
      </w:pPr>
      <w:r>
        <w:rPr>
          <w:sz w:val="21"/>
        </w:rPr>
        <w:t>⑧虚假的个人资料，包括但不限于：身份证明、学历证明、健康证明等；</w:t>
      </w:r>
    </w:p>
    <w:p>
      <w:pPr>
        <w:pStyle w:val="null3"/>
        <w:jc w:val="left"/>
      </w:pPr>
      <w:r>
        <w:rPr>
          <w:sz w:val="21"/>
        </w:rPr>
        <w:t>⑨有其它法律法规规定可更换现场服务人员的情形。。</w:t>
      </w:r>
    </w:p>
    <w:p>
      <w:pPr>
        <w:pStyle w:val="null3"/>
        <w:ind w:left="510"/>
      </w:pPr>
      <w:r>
        <w:rPr>
          <w:sz w:val="21"/>
          <w:b/>
          <w:color w:val="000000"/>
        </w:rPr>
        <w:t>六、</w:t>
      </w:r>
      <w:r>
        <w:rPr>
          <w:sz w:val="21"/>
          <w:b/>
          <w:color w:val="000000"/>
          <w:shd w:fill="FFFFFF" w:val="clear"/>
        </w:rPr>
        <w:t>后续服务</w:t>
      </w:r>
      <w:r>
        <w:rPr>
          <w:sz w:val="21"/>
          <w:b/>
          <w:color w:val="000000"/>
          <w:shd w:fill="FFFFFF" w:val="clear"/>
        </w:rPr>
        <w:t>及其他要求</w:t>
      </w:r>
    </w:p>
    <w:p>
      <w:pPr>
        <w:pStyle w:val="null3"/>
        <w:jc w:val="left"/>
      </w:pPr>
      <w:r>
        <w:rPr>
          <w:sz w:val="21"/>
        </w:rPr>
        <w:t>（一）乙方应当按照甲方的要求提供服务，并按照双方约定的时间周期定期向甲方汇报服务工作情况。</w:t>
      </w:r>
    </w:p>
    <w:p>
      <w:pPr>
        <w:pStyle w:val="null3"/>
        <w:jc w:val="left"/>
      </w:pPr>
      <w:r>
        <w:rPr>
          <w:sz w:val="21"/>
        </w:rPr>
        <w:t>（二）甲方有权监督、指导服务事项进展，并提出改进意见。</w:t>
      </w:r>
    </w:p>
    <w:p>
      <w:pPr>
        <w:pStyle w:val="null3"/>
        <w:jc w:val="left"/>
      </w:pPr>
      <w:r>
        <w:rPr>
          <w:sz w:val="21"/>
        </w:rPr>
        <w:t>（</w:t>
      </w:r>
      <w:r>
        <w:rPr>
          <w:sz w:val="21"/>
        </w:rPr>
        <w:t>三</w:t>
      </w:r>
      <w:r>
        <w:rPr>
          <w:sz w:val="21"/>
        </w:rPr>
        <w:t>）乙方应当按照甲方对服务团队的服务事项的考察情况及意见，及时做出工作调整，以保证服务事项的执行不受影响。</w:t>
      </w:r>
    </w:p>
    <w:p>
      <w:pPr>
        <w:pStyle w:val="null3"/>
        <w:ind w:left="510"/>
      </w:pPr>
      <w:r>
        <w:rPr>
          <w:sz w:val="21"/>
          <w:b/>
          <w:color w:val="000000"/>
        </w:rPr>
        <w:t>七、</w:t>
      </w:r>
      <w:r>
        <w:rPr>
          <w:sz w:val="21"/>
          <w:b/>
          <w:color w:val="000000"/>
          <w:shd w:fill="FFFFFF" w:val="clear"/>
        </w:rPr>
        <w:t>验收要求</w:t>
      </w:r>
    </w:p>
    <w:p>
      <w:pPr>
        <w:pStyle w:val="null3"/>
        <w:ind w:left="510"/>
      </w:pPr>
      <w:r>
        <w:rPr>
          <w:sz w:val="21"/>
          <w:color w:val="000000"/>
          <w:shd w:fill="FFFFFF" w:val="clear"/>
        </w:rPr>
        <w:t>1期：</w:t>
      </w:r>
    </w:p>
    <w:p>
      <w:pPr>
        <w:pStyle w:val="null3"/>
        <w:ind w:left="510"/>
      </w:pPr>
      <w:r>
        <w:rPr>
          <w:sz w:val="21"/>
          <w:color w:val="000000"/>
          <w:shd w:fill="FFFFFF" w:val="clear"/>
        </w:rPr>
        <w:t>（一）验收主体：由甲方自行组织验收。</w:t>
      </w:r>
    </w:p>
    <w:p>
      <w:pPr>
        <w:pStyle w:val="null3"/>
        <w:ind w:left="510"/>
      </w:pPr>
      <w:r>
        <w:rPr>
          <w:sz w:val="21"/>
          <w:color w:val="000000"/>
        </w:rPr>
        <w:t>（二）</w:t>
      </w:r>
      <w:r>
        <w:rPr>
          <w:sz w:val="21"/>
          <w:color w:val="000000"/>
          <w:shd w:fill="FFFFFF" w:val="clear"/>
        </w:rPr>
        <w:t>验收时间：甲方在合同履行期满之日起</w:t>
      </w:r>
      <w:r>
        <w:rPr>
          <w:sz w:val="21"/>
          <w:color w:val="000000"/>
          <w:shd w:fill="FFFFFF" w:val="clear"/>
        </w:rPr>
        <w:t>7个工作日内按照合同的约定对履约情况进行最终验收。</w:t>
      </w:r>
    </w:p>
    <w:p>
      <w:pPr>
        <w:pStyle w:val="null3"/>
      </w:pPr>
      <w:r>
        <w:rPr>
          <w:sz w:val="21"/>
          <w:color w:val="000000"/>
          <w:shd w:fill="FFFFFF" w:val="clear"/>
        </w:rPr>
        <w:t>（三）验收方式和程序：由甲方自行组织验收，根据每季度对乙方服务情况的季度评价结果及服务履约情况进行最终验收。</w:t>
      </w:r>
    </w:p>
    <w:p>
      <w:pPr>
        <w:pStyle w:val="null3"/>
      </w:pPr>
      <w:r>
        <w:rPr>
          <w:sz w:val="21"/>
          <w:color w:val="000000"/>
          <w:shd w:fill="FFFFFF" w:val="clear"/>
        </w:rPr>
        <w:t>（四）验收内容：乙方是否按照磋商文件、响应文件及合同向甲方提供相关服务；服务内容是否符合磋商文件和响应文件承诺中且甲方认可的合理最佳配置及各项要求。</w:t>
      </w:r>
    </w:p>
    <w:p>
      <w:pPr>
        <w:pStyle w:val="null3"/>
      </w:pPr>
      <w:r>
        <w:rPr>
          <w:sz w:val="21"/>
          <w:color w:val="000000"/>
          <w:shd w:fill="FFFFFF" w:val="clear"/>
        </w:rPr>
        <w:t>（五）验收标准：</w:t>
      </w:r>
      <w:r>
        <w:rPr>
          <w:sz w:val="21"/>
          <w:color w:val="000000"/>
          <w:shd w:fill="FFFFFF" w:val="clear"/>
        </w:rPr>
        <w:t>a.按国家、地方或行业（排列在前者优先）现行相关验收规范和评定标准执行。b.项目成果的验收标准：根据有关法律、法规、规程、规范的要求。项目成果通过甲方认可，并按照合同约定提交全部正式成果。c.验收时乙方将全部有关的项目成果资料、佐证材料交付给甲方。</w:t>
      </w:r>
    </w:p>
    <w:p>
      <w:pPr>
        <w:pStyle w:val="null3"/>
      </w:pPr>
      <w:r>
        <w:rPr>
          <w:sz w:val="21"/>
          <w:b/>
          <w:color w:val="000000"/>
        </w:rPr>
        <w:t>八、</w:t>
      </w:r>
      <w:r>
        <w:rPr>
          <w:sz w:val="21"/>
          <w:b/>
          <w:color w:val="000000"/>
          <w:shd w:fill="FFFFFF" w:val="clear"/>
        </w:rPr>
        <w:t>保密要求</w:t>
      </w:r>
    </w:p>
    <w:p>
      <w:pPr>
        <w:pStyle w:val="null3"/>
        <w:jc w:val="left"/>
      </w:pPr>
      <w:r>
        <w:rPr>
          <w:sz w:val="21"/>
        </w:rPr>
        <w:t>（一）</w:t>
      </w:r>
      <w:r>
        <w:rPr>
          <w:sz w:val="21"/>
        </w:rPr>
        <w:t>在任何情况下，乙方不得向第三方透露甲方的业务活动和商务方面的情况。</w:t>
      </w:r>
    </w:p>
    <w:p>
      <w:pPr>
        <w:pStyle w:val="null3"/>
        <w:jc w:val="left"/>
      </w:pPr>
      <w:r>
        <w:rPr>
          <w:sz w:val="21"/>
        </w:rPr>
        <w:t>（</w:t>
      </w:r>
      <w:r>
        <w:rPr>
          <w:sz w:val="21"/>
        </w:rPr>
        <w:t>二</w:t>
      </w:r>
      <w:r>
        <w:rPr>
          <w:sz w:val="21"/>
        </w:rPr>
        <w:t>）乙方须和甲方就项目执行过程中可能涉及的保密内容，单独签订保密协议，保证信息保密。</w:t>
      </w:r>
    </w:p>
    <w:p>
      <w:pPr>
        <w:pStyle w:val="null3"/>
        <w:ind w:left="510"/>
      </w:pPr>
      <w:r>
        <w:rPr>
          <w:sz w:val="21"/>
          <w:b/>
          <w:color w:val="000000"/>
        </w:rPr>
        <w:t>九、</w:t>
      </w:r>
      <w:r>
        <w:rPr>
          <w:sz w:val="21"/>
          <w:b/>
          <w:color w:val="000000"/>
          <w:shd w:fill="FFFFFF" w:val="clear"/>
        </w:rPr>
        <w:t>投诉跟踪服务要求</w:t>
      </w:r>
    </w:p>
    <w:p>
      <w:pPr>
        <w:pStyle w:val="null3"/>
      </w:pPr>
      <w:r>
        <w:rPr>
          <w:sz w:val="21"/>
          <w:color w:val="000000"/>
        </w:rPr>
        <w:t>（一）</w:t>
      </w:r>
      <w:r>
        <w:rPr>
          <w:sz w:val="21"/>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1"/>
        </w:rPr>
        <w:t>（二）</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pPr>
      <w:r>
        <w:rPr>
          <w:sz w:val="21"/>
        </w:rPr>
        <w:t>（三）</w:t>
      </w:r>
      <w:r>
        <w:rPr>
          <w:sz w:val="21"/>
          <w:color w:val="000000"/>
          <w:shd w:fill="FFFFFF" w:val="clear"/>
        </w:rPr>
        <w:t>乙方服务机构名称及地址：</w:t>
      </w:r>
      <w:r>
        <w:rPr/>
        <w:t xml:space="preserve"> </w:t>
      </w:r>
    </w:p>
    <w:p>
      <w:pPr>
        <w:pStyle w:val="null3"/>
        <w:ind w:firstLine="420"/>
      </w:pPr>
      <w:r>
        <w:rPr>
          <w:sz w:val="21"/>
          <w:color w:val="000000"/>
          <w:shd w:fill="FFFFFF" w:val="clear"/>
        </w:rPr>
        <w:t>联系人</w:t>
      </w:r>
      <w:r>
        <w:rPr>
          <w:sz w:val="21"/>
          <w:color w:val="000000"/>
          <w:shd w:fill="FFFFFF" w:val="clear"/>
        </w:rPr>
        <w:t>1：          ，联系电话：            ，手机：          ；</w:t>
      </w:r>
    </w:p>
    <w:p>
      <w:pPr>
        <w:pStyle w:val="null3"/>
        <w:ind w:firstLine="420"/>
      </w:pPr>
      <w:r>
        <w:rPr>
          <w:sz w:val="21"/>
          <w:color w:val="000000"/>
          <w:shd w:fill="FFFFFF" w:val="clear"/>
        </w:rPr>
        <w:t>联系人</w:t>
      </w:r>
      <w:r>
        <w:rPr>
          <w:sz w:val="21"/>
          <w:color w:val="000000"/>
          <w:shd w:fill="FFFFFF" w:val="clear"/>
        </w:rPr>
        <w:t>2：          ，联系电话：            ，手机：          ；</w:t>
      </w:r>
    </w:p>
    <w:p>
      <w:pPr>
        <w:pStyle w:val="null3"/>
        <w:ind w:firstLine="420"/>
      </w:pPr>
      <w:r>
        <w:rPr>
          <w:sz w:val="21"/>
          <w:color w:val="000000"/>
          <w:shd w:fill="FFFFFF" w:val="clear"/>
        </w:rPr>
        <w:t>服务专线电话：</w:t>
      </w:r>
    </w:p>
    <w:p>
      <w:pPr>
        <w:pStyle w:val="null3"/>
      </w:pPr>
      <w:r>
        <w:rPr>
          <w:sz w:val="21"/>
          <w:color w:val="000000"/>
        </w:rPr>
        <w:t>（四）</w:t>
      </w:r>
      <w:r>
        <w:rPr>
          <w:sz w:val="21"/>
          <w:color w:val="000000"/>
          <w:shd w:fill="FFFFFF" w:val="clear"/>
        </w:rPr>
        <w:t>其他服务要求：（补充内容不得对采购文件和响应文件作实质性修改）</w:t>
      </w:r>
    </w:p>
    <w:p>
      <w:pPr>
        <w:pStyle w:val="null3"/>
        <w:ind w:left="510"/>
      </w:pPr>
      <w:r>
        <w:rPr>
          <w:u w:val="single"/>
        </w:rPr>
        <w:t xml:space="preserve">                                                          </w:t>
      </w:r>
      <w:r>
        <w:rPr>
          <w:sz w:val="21"/>
          <w:color w:val="000000"/>
          <w:shd w:fill="FFFFFF" w:val="clear"/>
        </w:rPr>
        <w:t>。</w:t>
      </w:r>
    </w:p>
    <w:p>
      <w:pPr>
        <w:pStyle w:val="null3"/>
        <w:ind w:left="510"/>
      </w:pPr>
      <w:r>
        <w:rPr>
          <w:sz w:val="21"/>
          <w:b/>
          <w:color w:val="000000"/>
        </w:rPr>
        <w:t>十、</w:t>
      </w:r>
      <w:r>
        <w:rPr>
          <w:sz w:val="21"/>
          <w:b/>
          <w:color w:val="000000"/>
          <w:shd w:fill="FFFFFF" w:val="clear"/>
        </w:rPr>
        <w:t>违约责任</w:t>
      </w:r>
    </w:p>
    <w:p>
      <w:pPr>
        <w:pStyle w:val="null3"/>
      </w:pPr>
      <w:r>
        <w:rPr>
          <w:sz w:val="21"/>
          <w:color w:val="000000"/>
        </w:rPr>
        <w:t>（一）</w:t>
      </w:r>
      <w:r>
        <w:rPr>
          <w:sz w:val="21"/>
          <w:color w:val="000000"/>
          <w:shd w:fill="FFFFFF" w:val="clear"/>
        </w:rPr>
        <w:t>乙方未按要求履行合同义务时，须从违约之日起每日按合同总额的</w:t>
      </w:r>
      <w:r>
        <w:rPr>
          <w:u w:val="single"/>
        </w:rPr>
        <w:t xml:space="preserve">    </w:t>
      </w:r>
      <w:r>
        <w:rPr>
          <w:sz w:val="21"/>
          <w:color w:val="000000"/>
          <w:shd w:fill="FFFFFF" w:val="clear"/>
        </w:rPr>
        <w:t>比例向甲方支付违约金；逾期</w:t>
      </w:r>
      <w:r>
        <w:rPr>
          <w:u w:val="single"/>
        </w:rPr>
        <w:t xml:space="preserve">    </w:t>
      </w:r>
      <w:r>
        <w:rPr>
          <w:sz w:val="21"/>
          <w:color w:val="000000"/>
          <w:shd w:fill="FFFFFF" w:val="clear"/>
        </w:rPr>
        <w:t>日以上时，甲方有权终止合同，由此造成甲方的经济损失由乙方承担。违约金不足以弥补损失的，乙方应按全额赔偿。</w:t>
      </w:r>
    </w:p>
    <w:p>
      <w:pPr>
        <w:pStyle w:val="null3"/>
      </w:pPr>
      <w:r>
        <w:rPr>
          <w:sz w:val="21"/>
          <w:color w:val="000000"/>
        </w:rPr>
        <w:t>（二）</w:t>
      </w:r>
      <w:r>
        <w:rPr>
          <w:sz w:val="21"/>
          <w:color w:val="000000"/>
          <w:shd w:fill="FFFFFF" w:val="clear"/>
        </w:rPr>
        <w:t>甲方未按要求履行合同义务时，或无故拖延验收、付款时，甲方须向乙方支付滞纳金，标准为每日按逾期应付款总额的</w:t>
      </w:r>
      <w:r>
        <w:rPr>
          <w:u w:val="single"/>
        </w:rPr>
        <w:t xml:space="preserve">    </w:t>
      </w:r>
      <w:r>
        <w:rPr>
          <w:sz w:val="21"/>
          <w:color w:val="000000"/>
          <w:shd w:fill="FFFFFF" w:val="clear"/>
        </w:rPr>
        <w:t>累计。</w:t>
      </w:r>
    </w:p>
    <w:p>
      <w:pPr>
        <w:pStyle w:val="null3"/>
        <w:ind w:left="510"/>
      </w:pPr>
      <w:r>
        <w:rPr>
          <w:sz w:val="21"/>
          <w:b/>
          <w:color w:val="000000"/>
        </w:rPr>
        <w:t>十一、</w:t>
      </w:r>
      <w:r>
        <w:rPr>
          <w:sz w:val="21"/>
          <w:b/>
          <w:color w:val="000000"/>
          <w:shd w:fill="FFFFFF" w:val="clear"/>
        </w:rPr>
        <w:t>提出异议的时间和方法</w:t>
      </w:r>
    </w:p>
    <w:p>
      <w:pPr>
        <w:pStyle w:val="null3"/>
      </w:pPr>
      <w:r>
        <w:rPr>
          <w:sz w:val="21"/>
          <w:color w:val="000000"/>
        </w:rPr>
        <w:t>（一）</w:t>
      </w:r>
      <w:r>
        <w:rPr>
          <w:sz w:val="21"/>
          <w:color w:val="000000"/>
          <w:shd w:fill="FFFFFF" w:val="clear"/>
        </w:rPr>
        <w:t>甲方有异议时，应</w:t>
      </w:r>
      <w:r>
        <w:rPr>
          <w:u w:val="single"/>
        </w:rPr>
        <w:t xml:space="preserve">     </w:t>
      </w:r>
      <w:r>
        <w:rPr>
          <w:sz w:val="21"/>
          <w:color w:val="000000"/>
          <w:shd w:fill="FFFFFF" w:val="clear"/>
        </w:rPr>
        <w:t>天内向乙方提出书面异议。</w:t>
      </w:r>
    </w:p>
    <w:p>
      <w:pPr>
        <w:pStyle w:val="null3"/>
      </w:pPr>
      <w:r>
        <w:rPr>
          <w:sz w:val="21"/>
          <w:color w:val="000000"/>
        </w:rPr>
        <w:t>（二）</w:t>
      </w:r>
      <w:r>
        <w:rPr>
          <w:sz w:val="21"/>
          <w:color w:val="000000"/>
          <w:shd w:fill="FFFFFF" w:val="clear"/>
        </w:rPr>
        <w:t>乙方在接到甲方书面异议后，应在</w:t>
      </w:r>
      <w:r>
        <w:rPr>
          <w:sz w:val="21"/>
          <w:color w:val="000000"/>
          <w:shd w:fill="FFFFFF" w:val="clear"/>
        </w:rPr>
        <w:t>3天内负责处理并函复甲方处理情况，否则，即视为默认甲方提出的异议和处理意见。</w:t>
      </w:r>
    </w:p>
    <w:p>
      <w:pPr>
        <w:pStyle w:val="null3"/>
      </w:pPr>
      <w:r>
        <w:rPr>
          <w:sz w:val="21"/>
          <w:color w:val="000000"/>
        </w:rPr>
        <w:t>（三）</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1"/>
          <w:b/>
          <w:color w:val="000000"/>
        </w:rPr>
        <w:t>十二、</w:t>
      </w:r>
      <w:r>
        <w:rPr>
          <w:sz w:val="21"/>
          <w:b/>
          <w:color w:val="000000"/>
          <w:shd w:fill="FFFFFF" w:val="clear"/>
        </w:rPr>
        <w:t>争议的解决</w:t>
      </w:r>
    </w:p>
    <w:p>
      <w:pPr>
        <w:pStyle w:val="null3"/>
      </w:pPr>
      <w:r>
        <w:rPr>
          <w:sz w:val="21"/>
          <w:color w:val="000000"/>
        </w:rPr>
        <w:t>（一）</w:t>
      </w:r>
      <w:r>
        <w:rPr>
          <w:sz w:val="21"/>
          <w:color w:val="000000"/>
          <w:shd w:fill="FFFFFF" w:val="clear"/>
        </w:rPr>
        <w:t>合同履行过程中发生的任何争议，如双方未能通过友好协商解决，应向</w:t>
      </w:r>
      <w:r>
        <w:rPr>
          <w:sz w:val="21"/>
          <w:color w:val="000000"/>
          <w:shd w:fill="FFFFFF" w:val="clear"/>
        </w:rPr>
        <w:t>甲方所在地</w:t>
      </w:r>
      <w:r>
        <w:rPr>
          <w:sz w:val="21"/>
          <w:color w:val="000000"/>
          <w:shd w:fill="FFFFFF" w:val="clear"/>
        </w:rPr>
        <w:t>有管辖权的人民法院提起诉讼。</w:t>
      </w:r>
    </w:p>
    <w:p>
      <w:pPr>
        <w:pStyle w:val="null3"/>
      </w:pPr>
      <w:r>
        <w:rPr>
          <w:sz w:val="21"/>
          <w:color w:val="000000"/>
        </w:rPr>
        <w:t>（二）</w:t>
      </w:r>
      <w:r>
        <w:rPr>
          <w:sz w:val="21"/>
          <w:color w:val="000000"/>
          <w:shd w:fill="FFFFFF" w:val="clear"/>
        </w:rPr>
        <w:t>法院审理期间，除提交法院审理的事项外，其它无争议的事项和条款仍应继续履行。</w:t>
      </w:r>
    </w:p>
    <w:p>
      <w:pPr>
        <w:pStyle w:val="null3"/>
        <w:ind w:left="510"/>
      </w:pPr>
      <w:r>
        <w:rPr>
          <w:sz w:val="21"/>
          <w:b/>
          <w:color w:val="000000"/>
        </w:rPr>
        <w:t>十三、</w:t>
      </w:r>
      <w:r>
        <w:rPr>
          <w:sz w:val="21"/>
          <w:b/>
          <w:color w:val="000000"/>
          <w:shd w:fill="FFFFFF" w:val="clear"/>
        </w:rPr>
        <w:t>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1"/>
          <w:b/>
          <w:color w:val="000000"/>
        </w:rPr>
        <w:t>十四、</w:t>
      </w:r>
      <w:r>
        <w:rPr>
          <w:sz w:val="21"/>
          <w:b/>
          <w:color w:val="000000"/>
          <w:shd w:fill="FFFFFF" w:val="clear"/>
        </w:rPr>
        <w:t>税费</w:t>
      </w:r>
    </w:p>
    <w:p>
      <w:pPr>
        <w:pStyle w:val="null3"/>
      </w:pPr>
      <w:r>
        <w:rPr>
          <w:sz w:val="21"/>
          <w:color w:val="000000"/>
        </w:rPr>
        <w:t>（一）</w:t>
      </w:r>
      <w:r>
        <w:rPr>
          <w:sz w:val="21"/>
          <w:color w:val="000000"/>
          <w:shd w:fill="FFFFFF" w:val="clear"/>
        </w:rPr>
        <w:t>本合同实施过程中所发生的一切税费及不可预见费均由乙方承担。</w:t>
      </w:r>
    </w:p>
    <w:p>
      <w:pPr>
        <w:pStyle w:val="null3"/>
      </w:pPr>
      <w:r>
        <w:rPr>
          <w:sz w:val="21"/>
          <w:color w:val="000000"/>
        </w:rPr>
        <w:t>（二）</w:t>
      </w:r>
      <w:r>
        <w:rPr>
          <w:sz w:val="21"/>
          <w:color w:val="000000"/>
          <w:shd w:fill="FFFFFF" w:val="clear"/>
        </w:rPr>
        <w:t>乙方依照税务规章优先在合同履约地开具发票及纳税，咨询：</w:t>
      </w:r>
      <w:r>
        <w:rPr>
          <w:sz w:val="21"/>
          <w:color w:val="000000"/>
          <w:shd w:fill="FFFFFF" w:val="clear"/>
        </w:rPr>
        <w:t>0757-12366。</w:t>
      </w:r>
    </w:p>
    <w:p>
      <w:pPr>
        <w:pStyle w:val="null3"/>
        <w:ind w:left="510"/>
      </w:pPr>
      <w:r>
        <w:rPr>
          <w:sz w:val="21"/>
          <w:b/>
          <w:color w:val="000000"/>
        </w:rPr>
        <w:t>十五、</w:t>
      </w:r>
      <w:r>
        <w:rPr>
          <w:sz w:val="21"/>
          <w:b/>
          <w:color w:val="000000"/>
          <w:shd w:fill="FFFFFF" w:val="clear"/>
        </w:rPr>
        <w:t>合同生效与合同备案</w:t>
      </w:r>
    </w:p>
    <w:p>
      <w:pPr>
        <w:pStyle w:val="null3"/>
      </w:pPr>
      <w:r>
        <w:rPr>
          <w:sz w:val="21"/>
          <w:color w:val="000000"/>
        </w:rPr>
        <w:t>（一）</w:t>
      </w:r>
      <w:r>
        <w:rPr>
          <w:sz w:val="21"/>
          <w:color w:val="000000"/>
          <w:shd w:fill="FFFFFF" w:val="clear"/>
        </w:rPr>
        <w:t>本合同在甲乙双方法人代表或其授权代表签字盖章后生效。</w:t>
      </w:r>
    </w:p>
    <w:p>
      <w:pPr>
        <w:pStyle w:val="null3"/>
      </w:pPr>
      <w:r>
        <w:rPr>
          <w:sz w:val="21"/>
          <w:color w:val="000000"/>
        </w:rPr>
        <w:t>（二）</w:t>
      </w:r>
      <w:r>
        <w:rPr>
          <w:sz w:val="21"/>
          <w:color w:val="000000"/>
          <w:shd w:fill="FFFFFF" w:val="clear"/>
        </w:rPr>
        <w:t>自采购合同签订之日起</w:t>
      </w:r>
      <w:r>
        <w:rPr>
          <w:sz w:val="21"/>
          <w:color w:val="000000"/>
          <w:shd w:fill="FFFFFF" w:val="clear"/>
        </w:rPr>
        <w:t>7个工作日内，由甲方按照有关规定将采购合同副本报同级人民政府财政部门（政府采购管理部门）备案。</w:t>
      </w:r>
    </w:p>
    <w:p>
      <w:pPr>
        <w:pStyle w:val="null3"/>
        <w:ind w:left="510"/>
      </w:pPr>
      <w:r>
        <w:rPr>
          <w:sz w:val="21"/>
          <w:b/>
          <w:color w:val="000000"/>
        </w:rPr>
        <w:t>十六、</w:t>
      </w:r>
      <w:r>
        <w:rPr>
          <w:sz w:val="21"/>
          <w:b/>
          <w:color w:val="000000"/>
          <w:shd w:fill="FFFFFF" w:val="clear"/>
        </w:rPr>
        <w:t>关于政府采购合同融资</w:t>
      </w:r>
    </w:p>
    <w:p>
      <w:pPr>
        <w:pStyle w:val="null3"/>
      </w:pPr>
      <w:r>
        <w:rPr>
          <w:sz w:val="21"/>
          <w:color w:val="000000"/>
        </w:rPr>
        <w:t>（一）</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否  </w:t>
      </w:r>
      <w:r>
        <w:rPr>
          <w:sz w:val="21"/>
          <w:color w:val="000000"/>
        </w:rPr>
        <w:t>；</w:t>
      </w:r>
    </w:p>
    <w:p>
      <w:pPr>
        <w:pStyle w:val="null3"/>
      </w:pPr>
      <w:r>
        <w:rPr>
          <w:sz w:val="21"/>
          <w:color w:val="000000"/>
        </w:rPr>
        <w:t>（二）</w:t>
      </w:r>
      <w:r>
        <w:rPr>
          <w:sz w:val="21"/>
          <w:color w:val="000000"/>
        </w:rPr>
        <w:t>融资银行及联系方式：</w:t>
      </w:r>
      <w:r>
        <w:rPr>
          <w:u w:val="single"/>
        </w:rPr>
        <w:t xml:space="preserve">                                                </w:t>
      </w:r>
      <w:r>
        <w:rPr>
          <w:sz w:val="21"/>
          <w:color w:val="000000"/>
        </w:rPr>
        <w:t>。</w:t>
      </w:r>
    </w:p>
    <w:p>
      <w:pPr>
        <w:pStyle w:val="null3"/>
      </w:pPr>
      <w:r>
        <w:rPr>
          <w:sz w:val="21"/>
          <w:color w:val="000000"/>
        </w:rPr>
        <w:t>（三）</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ind w:left="510"/>
      </w:pPr>
      <w:r>
        <w:rPr>
          <w:sz w:val="21"/>
          <w:b/>
          <w:color w:val="000000"/>
        </w:rPr>
        <w:t>十七、</w:t>
      </w:r>
      <w:r>
        <w:rPr>
          <w:sz w:val="21"/>
          <w:b/>
          <w:color w:val="000000"/>
          <w:shd w:fill="FFFFFF" w:val="clear"/>
        </w:rPr>
        <w:t>其它</w:t>
      </w:r>
    </w:p>
    <w:p>
      <w:pPr>
        <w:pStyle w:val="null3"/>
      </w:pPr>
      <w:r>
        <w:rPr>
          <w:sz w:val="21"/>
          <w:color w:val="000000"/>
        </w:rPr>
        <w:t>（一）</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pPr>
      <w:r>
        <w:rPr>
          <w:sz w:val="21"/>
          <w:color w:val="000000"/>
        </w:rPr>
        <w:t>（二）</w:t>
      </w:r>
      <w:r>
        <w:rPr>
          <w:sz w:val="21"/>
          <w:color w:val="000000"/>
        </w:rPr>
        <w:t>如一方（包括联系人）地址、电话、传真号码有变更，应在变更后</w:t>
      </w:r>
      <w:r>
        <w:rPr>
          <w:sz w:val="21"/>
          <w:color w:val="000000"/>
        </w:rPr>
        <w:t>3个工作日内书面通知对方联系人或负责人，否则，因此造成的损失由未履行通知义务方承担相应责任。</w:t>
      </w:r>
    </w:p>
    <w:p>
      <w:pPr>
        <w:pStyle w:val="null3"/>
      </w:pPr>
      <w:r>
        <w:rPr>
          <w:sz w:val="21"/>
          <w:color w:val="000000"/>
        </w:rPr>
        <w:t>（三）</w:t>
      </w:r>
      <w:r>
        <w:rPr>
          <w:sz w:val="21"/>
          <w:color w:val="000000"/>
          <w:shd w:fill="FFFFFF" w:val="clear"/>
        </w:rPr>
        <w:t>未经甲方书面同意，乙方不得擅自向第三方转让其主体性和关键性合同义务。</w:t>
      </w:r>
    </w:p>
    <w:p>
      <w:pPr>
        <w:pStyle w:val="null3"/>
      </w:pPr>
      <w:r>
        <w:rPr>
          <w:sz w:val="21"/>
          <w:color w:val="000000"/>
        </w:rPr>
        <w:t>（四）</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pPr>
      <w:r>
        <w:rPr>
          <w:sz w:val="21"/>
          <w:color w:val="000000"/>
        </w:rPr>
        <w:t>（五）</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pPr>
      <w:r>
        <w:rPr>
          <w:sz w:val="21"/>
          <w:color w:val="000000"/>
        </w:rPr>
        <w:t>（六）</w:t>
      </w:r>
      <w:r>
        <w:rPr>
          <w:sz w:val="21"/>
          <w:color w:val="000000"/>
          <w:shd w:fill="FFFFFF" w:val="clear"/>
        </w:rPr>
        <w:t>本合同签约履约地点：广东省佛山市。</w:t>
      </w:r>
    </w:p>
    <w:p>
      <w:pPr>
        <w:pStyle w:val="null3"/>
      </w:pPr>
      <w:r>
        <w:rPr>
          <w:sz w:val="21"/>
          <w:color w:val="000000"/>
        </w:rPr>
        <w:t>（七）</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pPr>
      <w:r>
        <w:rPr>
          <w:sz w:val="21"/>
          <w:color w:val="000000"/>
        </w:rPr>
        <w:t>（八）</w:t>
      </w:r>
      <w:r>
        <w:rPr>
          <w:sz w:val="21"/>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4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r>
      <w:tr>
        <w:tc>
          <w:tcPr>
            <w:tcW w:type="dxa" w:w="428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0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21"/>
                <w:color w:val="000000"/>
                <w:shd w:fill="FFFFFF" w:val="clear"/>
              </w:rPr>
              <w:t>户</w:t>
            </w:r>
            <w:r>
              <w:rPr>
                <w:sz w:val="21"/>
                <w:color w:val="000000"/>
                <w:shd w:fill="FFFFFF" w:val="clear"/>
              </w:rPr>
              <w:t>行：</w:t>
            </w:r>
          </w:p>
        </w:tc>
      </w:tr>
    </w:tbl>
    <w:p>
      <w:pPr>
        <w:pStyle w:val="null3"/>
      </w:pPr>
      <w:r>
        <w:rPr>
          <w:sz w:val="21"/>
          <w:b/>
          <w:color w:val="000000"/>
          <w:shd w:fill="FFFFFF" w:val="clear"/>
        </w:rPr>
        <w:t>合同附件清单：</w:t>
      </w:r>
    </w:p>
    <w:p>
      <w:pPr>
        <w:pStyle w:val="null3"/>
      </w:pPr>
      <w:r>
        <w:rPr>
          <w:sz w:val="21"/>
          <w:b/>
        </w:rPr>
        <w:t>附件</w:t>
      </w:r>
      <w:r>
        <w:rPr>
          <w:sz w:val="21"/>
          <w:b/>
        </w:rPr>
        <w:t>1：</w:t>
      </w:r>
    </w:p>
    <w:p>
      <w:pPr>
        <w:pStyle w:val="null3"/>
        <w:ind w:firstLine="420"/>
      </w:pPr>
      <w:r>
        <w:rPr>
          <w:sz w:val="21"/>
        </w:rPr>
        <w:t>甲方</w:t>
      </w:r>
      <w:r>
        <w:rPr>
          <w:sz w:val="21"/>
        </w:rPr>
        <w:t>每</w:t>
      </w:r>
      <w:r>
        <w:rPr>
          <w:sz w:val="21"/>
        </w:rPr>
        <w:t>季度</w:t>
      </w:r>
      <w:r>
        <w:rPr>
          <w:sz w:val="21"/>
        </w:rPr>
        <w:t>对</w:t>
      </w:r>
      <w:r>
        <w:rPr>
          <w:sz w:val="21"/>
        </w:rPr>
        <w:t>乙方</w:t>
      </w:r>
      <w:r>
        <w:rPr>
          <w:sz w:val="21"/>
        </w:rPr>
        <w:t>服务情况进行评分考核。以下</w:t>
      </w:r>
      <w:r>
        <w:rPr>
          <w:sz w:val="21"/>
        </w:rPr>
        <w:t>评价表</w:t>
      </w:r>
      <w:r>
        <w:rPr>
          <w:sz w:val="21"/>
        </w:rPr>
        <w:t>仅供参考，具体</w:t>
      </w:r>
      <w:r>
        <w:rPr>
          <w:sz w:val="21"/>
        </w:rPr>
        <w:t>评价</w:t>
      </w:r>
      <w:r>
        <w:rPr>
          <w:sz w:val="21"/>
        </w:rPr>
        <w:t>细则将由</w:t>
      </w:r>
      <w:r>
        <w:rPr>
          <w:sz w:val="21"/>
        </w:rPr>
        <w:t>甲方</w:t>
      </w:r>
      <w:r>
        <w:rPr>
          <w:sz w:val="21"/>
        </w:rPr>
        <w:t>根据实际情况修改，</w:t>
      </w:r>
      <w:r>
        <w:rPr>
          <w:sz w:val="21"/>
        </w:rPr>
        <w:t>甲方</w:t>
      </w:r>
      <w:r>
        <w:rPr>
          <w:sz w:val="21"/>
        </w:rPr>
        <w:t>对</w:t>
      </w:r>
      <w:r>
        <w:rPr>
          <w:sz w:val="21"/>
        </w:rPr>
        <w:t>评价表</w:t>
      </w:r>
      <w:r>
        <w:rPr>
          <w:sz w:val="21"/>
        </w:rPr>
        <w:t>保持最终修改权和解释权。</w:t>
      </w:r>
    </w:p>
    <w:p>
      <w:pPr>
        <w:pStyle w:val="null3"/>
        <w:jc w:val="center"/>
      </w:pPr>
      <w:r>
        <w:rPr>
          <w:sz w:val="21"/>
          <w:b/>
        </w:rPr>
        <w:t>供应商服务情况评价表</w:t>
      </w:r>
    </w:p>
    <w:tbl>
      <w:tblPr>
        <w:tblW w:w="0" w:type="auto"/>
        <w:tblBorders>
          <w:top w:val="none" w:color="000000" w:sz="4"/>
          <w:left w:val="none" w:color="000000" w:sz="4"/>
          <w:bottom w:val="none" w:color="000000" w:sz="4"/>
          <w:right w:val="none" w:color="000000" w:sz="4"/>
          <w:insideH w:val="none"/>
          <w:insideV w:val="none"/>
        </w:tblBorders>
      </w:tblPr>
      <w:tblGrid>
        <w:gridCol w:w="645"/>
        <w:gridCol w:w="1729"/>
        <w:gridCol w:w="5084"/>
        <w:gridCol w:w="806"/>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评价项目</w:t>
            </w:r>
          </w:p>
        </w:tc>
        <w:tc>
          <w:tcPr>
            <w:tcW w:type="dxa" w:w="5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评价内容</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满分</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运行保障情况</w:t>
            </w:r>
          </w:p>
        </w:tc>
        <w:tc>
          <w:tcPr>
            <w:tcW w:type="dxa" w:w="5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提供现场服务及时，符合</w:t>
            </w:r>
            <w:r>
              <w:rPr>
                <w:sz w:val="20"/>
              </w:rPr>
              <w:t>甲方</w:t>
            </w:r>
            <w:r>
              <w:rPr>
                <w:sz w:val="20"/>
              </w:rPr>
              <w:t>要求，保证服务工作正常开展、运作顺畅</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服务情况</w:t>
            </w:r>
          </w:p>
        </w:tc>
        <w:tc>
          <w:tcPr>
            <w:tcW w:type="dxa" w:w="5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w:t>
            </w:r>
            <w:r>
              <w:rPr>
                <w:sz w:val="20"/>
              </w:rPr>
              <w:t>是否根据</w:t>
            </w:r>
            <w:r>
              <w:rPr>
                <w:sz w:val="20"/>
              </w:rPr>
              <w:t>甲方</w:t>
            </w:r>
            <w:r>
              <w:rPr>
                <w:sz w:val="20"/>
              </w:rPr>
              <w:t>需求完成相应服务内容</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管理能力</w:t>
            </w:r>
          </w:p>
        </w:tc>
        <w:tc>
          <w:tcPr>
            <w:tcW w:type="dxa" w:w="5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是否协助</w:t>
            </w:r>
            <w:r>
              <w:rPr>
                <w:sz w:val="20"/>
              </w:rPr>
              <w:t>甲方</w:t>
            </w:r>
            <w:r>
              <w:rPr>
                <w:sz w:val="20"/>
              </w:rPr>
              <w:t>统筹、协调人员管理等各环节工作，并适时提出专业性解决意见或方案</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服务情况反馈</w:t>
            </w:r>
          </w:p>
        </w:tc>
        <w:tc>
          <w:tcPr>
            <w:tcW w:type="dxa" w:w="5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w:t>
            </w:r>
            <w:r>
              <w:rPr>
                <w:sz w:val="20"/>
              </w:rPr>
              <w:t>每季度需对运营情况进行总结，并向</w:t>
            </w:r>
            <w:r>
              <w:rPr>
                <w:sz w:val="20"/>
              </w:rPr>
              <w:t>甲方</w:t>
            </w:r>
            <w:r>
              <w:rPr>
                <w:sz w:val="20"/>
              </w:rPr>
              <w:t>提交</w:t>
            </w:r>
            <w:r>
              <w:rPr>
                <w:sz w:val="20"/>
              </w:rPr>
              <w:t>基础数据报告</w:t>
            </w:r>
            <w:r>
              <w:rPr>
                <w:sz w:val="20"/>
              </w:rPr>
              <w:t>及</w:t>
            </w:r>
            <w:r>
              <w:rPr>
                <w:sz w:val="20"/>
              </w:rPr>
              <w:t>现场服务人员管理报告。</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r>
              <w:rPr>
                <w:sz w:val="20"/>
              </w:rPr>
              <w:t>人员</w:t>
            </w:r>
            <w:r>
              <w:rPr>
                <w:sz w:val="20"/>
              </w:rPr>
              <w:t>资质</w:t>
            </w:r>
          </w:p>
        </w:tc>
        <w:tc>
          <w:tcPr>
            <w:tcW w:type="dxa" w:w="5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提供的服务人员</w:t>
            </w:r>
            <w:r>
              <w:rPr>
                <w:sz w:val="20"/>
              </w:rPr>
              <w:t>资质</w:t>
            </w:r>
            <w:r>
              <w:rPr>
                <w:sz w:val="20"/>
              </w:rPr>
              <w:t>符合</w:t>
            </w:r>
            <w:r>
              <w:rPr>
                <w:sz w:val="20"/>
              </w:rPr>
              <w:t>响应</w:t>
            </w:r>
            <w:r>
              <w:rPr>
                <w:sz w:val="20"/>
              </w:rPr>
              <w:t>文件</w:t>
            </w:r>
            <w:r>
              <w:rPr>
                <w:sz w:val="20"/>
              </w:rPr>
              <w:t>要求，具备相应专业技能。</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c>
          <w:tcPr>
            <w:tcW w:type="dxa" w:w="76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综合得分满分为</w:t>
            </w:r>
            <w:r>
              <w:rPr>
                <w:sz w:val="20"/>
              </w:rPr>
              <w:t>100分，9</w:t>
            </w:r>
            <w:r>
              <w:rPr>
                <w:sz w:val="20"/>
              </w:rPr>
              <w:t>0分及以上</w:t>
            </w:r>
            <w:r>
              <w:rPr>
                <w:sz w:val="20"/>
              </w:rPr>
              <w:t>为优秀；</w:t>
            </w:r>
            <w:r>
              <w:rPr>
                <w:sz w:val="20"/>
              </w:rPr>
              <w:t>80分及以上、不满90分</w:t>
            </w:r>
            <w:r>
              <w:rPr>
                <w:sz w:val="20"/>
              </w:rPr>
              <w:t>为良好；</w:t>
            </w:r>
            <w:r>
              <w:rPr>
                <w:sz w:val="20"/>
              </w:rPr>
              <w:t>60分及以上、不满80分</w:t>
            </w:r>
            <w:r>
              <w:rPr>
                <w:sz w:val="20"/>
              </w:rPr>
              <w:t>为合格；</w:t>
            </w:r>
            <w:r>
              <w:rPr>
                <w:sz w:val="20"/>
              </w:rPr>
              <w:t>60分以下</w:t>
            </w:r>
            <w:r>
              <w:rPr>
                <w:sz w:val="20"/>
              </w:rPr>
              <w:t>为不合格。</w:t>
            </w:r>
          </w:p>
        </w:tc>
      </w:tr>
    </w:tbl>
    <w:p>
      <w:pPr>
        <w:pStyle w:val="null3"/>
        <w:jc w:val="center"/>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440601-2026-01294</w:t>
      </w:r>
    </w:p>
    <w:p>
      <w:pPr>
        <w:pStyle w:val="null3"/>
        <w:jc w:val="center"/>
        <w:outlineLvl w:val="3"/>
      </w:pPr>
      <w:r>
        <w:rPr>
          <w:sz w:val="24"/>
          <w:b/>
        </w:rPr>
        <w:t>采购项目编号：</w:t>
      </w:r>
      <w:r>
        <w:rPr>
          <w:sz w:val="24"/>
          <w:b/>
        </w:rPr>
        <w:t>GDZC-26JC037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广东中采招标有限公司</w:t>
      </w:r>
    </w:p>
    <w:p>
      <w:pPr>
        <w:pStyle w:val="null3"/>
        <w:ind w:firstLine="480"/>
      </w:pPr>
      <w:r>
        <w:rPr/>
        <w:t xml:space="preserve"> 你方组织的</w:t>
      </w:r>
      <w:r>
        <w:rPr>
          <w:u w:val="single"/>
        </w:rPr>
        <w:t>“</w:t>
      </w:r>
      <w:r>
        <w:rPr>
          <w:u w:val="single"/>
        </w:rPr>
        <w:t>佛山市数字化城市管理信息系统运作服务（2026-2027年）</w:t>
      </w:r>
      <w:r>
        <w:rPr>
          <w:u w:val="single"/>
        </w:rPr>
        <w:t>”</w:t>
      </w:r>
      <w:r>
        <w:rPr/>
        <w:t>项目的竞争性磋商[采购项目编号为：</w:t>
      </w:r>
      <w:r>
        <w:rPr>
          <w:u w:val="single"/>
        </w:rPr>
        <w:t>GDZC-26JC037</w:t>
      </w:r>
      <w:r>
        <w:rPr/>
        <w:t>]，我方愿参与响应。</w:t>
      </w:r>
    </w:p>
    <w:p>
      <w:pPr>
        <w:pStyle w:val="null3"/>
        <w:ind w:firstLine="480"/>
      </w:pPr>
      <w:r>
        <w:rPr/>
        <w:t>我方确认收到贵方提供的</w:t>
      </w:r>
      <w:r>
        <w:rPr>
          <w:u w:val="single"/>
        </w:rPr>
        <w:t>“</w:t>
      </w:r>
      <w:r>
        <w:rPr>
          <w:u w:val="single"/>
        </w:rPr>
        <w:t>佛山市数字化城市管理信息系统运作服务（2026-2027年）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佛山市数字化城市管理信息系统运作服务（2026-2027年）</w:t>
      </w:r>
      <w:r>
        <w:rPr/>
        <w:t>”项目采购[采购项目编号为</w:t>
      </w:r>
      <w:r>
        <w:rPr/>
        <w:t>GDZC-26JC037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广东中采招标有限公司</w:t>
      </w:r>
    </w:p>
    <w:p>
      <w:pPr>
        <w:pStyle w:val="null3"/>
        <w:ind w:firstLine="480"/>
      </w:pPr>
      <w:r>
        <w:rPr/>
        <w:t>我单位参加贵公司组织的</w:t>
      </w:r>
      <w:r>
        <w:rPr/>
        <w:t>佛山市数字化城市管理信息系统运作服务（2026-2027年）</w:t>
      </w:r>
      <w:r>
        <w:rPr/>
        <w:t>（采购项目编号：</w:t>
      </w:r>
      <w:r>
        <w:rPr/>
        <w:t>GDZC-26JC037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佛山市数字化城市管理信息系统运作服务（2026-2027年）</w:t>
      </w:r>
      <w:r>
        <w:rPr/>
        <w:t>”项目（采购项目编号：</w:t>
      </w:r>
      <w:r>
        <w:rPr/>
        <w:t>GDZC-26JC037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