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2770A3">
      <w:pPr>
        <w:jc w:val="center"/>
        <w:rPr>
          <w:rFonts w:hint="default" w:ascii="宋体" w:hAnsi="宋体" w:eastAsia="宋体" w:cs="宋体"/>
          <w:b/>
          <w:bCs/>
          <w:sz w:val="28"/>
          <w:szCs w:val="36"/>
          <w:highlight w:val="none"/>
          <w:lang w:val="en-US" w:eastAsia="zh-CN"/>
        </w:rPr>
      </w:pPr>
      <w:r>
        <w:rPr>
          <w:rFonts w:hint="eastAsia" w:ascii="宋体" w:hAnsi="宋体" w:eastAsia="宋体" w:cs="宋体"/>
          <w:b/>
          <w:bCs/>
          <w:sz w:val="28"/>
          <w:szCs w:val="36"/>
          <w:highlight w:val="none"/>
          <w:lang w:val="en-US" w:eastAsia="zh-CN"/>
        </w:rPr>
        <w:t>用户需求书</w:t>
      </w:r>
      <w:bookmarkStart w:id="0" w:name="_GoBack"/>
      <w:bookmarkEnd w:id="0"/>
    </w:p>
    <w:p w14:paraId="2DDA6FBB">
      <w:pPr>
        <w:numPr>
          <w:ilvl w:val="0"/>
          <w:numId w:val="1"/>
        </w:numPr>
        <w:ind w:left="0" w:leftChars="0" w:firstLine="422" w:firstLineChars="200"/>
        <w:rPr>
          <w:rFonts w:hint="eastAsia" w:ascii="宋体" w:hAnsi="宋体" w:eastAsia="宋体" w:cs="宋体"/>
          <w:b/>
          <w:bCs/>
          <w:highlight w:val="none"/>
          <w:lang w:val="en-US" w:eastAsia="zh-CN"/>
        </w:rPr>
      </w:pPr>
      <w:r>
        <w:rPr>
          <w:rFonts w:hint="eastAsia" w:ascii="宋体" w:hAnsi="宋体" w:eastAsia="宋体" w:cs="宋体"/>
          <w:b/>
          <w:bCs/>
          <w:highlight w:val="none"/>
          <w:lang w:val="en-US" w:eastAsia="zh-CN"/>
        </w:rPr>
        <w:t>项目概况</w:t>
      </w:r>
    </w:p>
    <w:p w14:paraId="2BCB55F9">
      <w:pPr>
        <w:ind w:left="0" w:leftChars="0" w:firstLine="420" w:firstLineChars="200"/>
        <w:rPr>
          <w:rFonts w:hint="eastAsia" w:ascii="宋体" w:hAnsi="宋体" w:eastAsia="宋体" w:cs="宋体"/>
          <w:highlight w:val="none"/>
          <w:lang w:val="en-US" w:eastAsia="zh-CN"/>
        </w:rPr>
      </w:pPr>
      <w:r>
        <w:rPr>
          <w:rFonts w:hint="eastAsia" w:ascii="宋体" w:hAnsi="宋体" w:eastAsia="宋体" w:cs="宋体"/>
          <w:highlight w:val="none"/>
          <w:lang w:val="en-US" w:eastAsia="zh-CN"/>
        </w:rPr>
        <w:t>本项目通过公开招标方式选定承接佛山市三水区乐平镇财政和公有资产管理办公室2026-2029年度工程造价咨询服务项目概算审核、预结算审核和复核、决算审核工作的中介机构。根据采购人评审工作开展情况，将负责需要评审的任务划分为10个子包，每个子包选定1家中标人负责评审任务。各子包定标原则：推荐综合得分排名第一的投标人为中标候选人。</w:t>
      </w:r>
    </w:p>
    <w:p w14:paraId="40A8EADE">
      <w:pPr>
        <w:ind w:left="0" w:leftChars="0" w:firstLine="420" w:firstLineChars="200"/>
        <w:rPr>
          <w:rFonts w:hint="eastAsia" w:ascii="宋体" w:hAnsi="宋体" w:eastAsia="宋体" w:cs="宋体"/>
          <w:highlight w:val="none"/>
          <w:lang w:val="en-US" w:eastAsia="zh-CN"/>
        </w:rPr>
      </w:pPr>
      <w:r>
        <w:rPr>
          <w:rFonts w:hint="eastAsia" w:ascii="宋体" w:hAnsi="宋体" w:eastAsia="宋体" w:cs="宋体"/>
          <w:highlight w:val="none"/>
          <w:lang w:val="en-US" w:eastAsia="zh-CN"/>
        </w:rPr>
        <w:t>由于送审项目具有不确定性和无法预知性，评审工作任务不受送审项目规模限制，有关事项明确如下：</w:t>
      </w:r>
    </w:p>
    <w:p w14:paraId="45C5AC2D">
      <w:pPr>
        <w:ind w:left="0" w:leftChars="0" w:firstLine="420" w:firstLineChars="200"/>
        <w:rPr>
          <w:rFonts w:hint="eastAsia" w:ascii="宋体" w:hAnsi="宋体" w:eastAsia="宋体" w:cs="宋体"/>
          <w:highlight w:val="none"/>
          <w:lang w:val="en-US" w:eastAsia="zh-CN"/>
        </w:rPr>
      </w:pPr>
      <w:r>
        <w:rPr>
          <w:rFonts w:hint="eastAsia" w:ascii="宋体" w:hAnsi="宋体" w:eastAsia="宋体" w:cs="宋体"/>
          <w:highlight w:val="none"/>
          <w:lang w:val="en-US" w:eastAsia="zh-CN"/>
        </w:rPr>
        <w:t>1.本项目造价评审具体包括：概算审核、预结算审核和复核、决算审核等造价评审内容。本项目造价评审涉及的专业包括水利、公园、市政、公路、轨道、土建、安装等。</w:t>
      </w:r>
    </w:p>
    <w:p w14:paraId="5AD407BF">
      <w:pPr>
        <w:ind w:left="0" w:leftChars="0" w:firstLine="420" w:firstLineChars="200"/>
        <w:rPr>
          <w:rFonts w:hint="eastAsia" w:ascii="宋体" w:hAnsi="宋体" w:eastAsia="宋体" w:cs="宋体"/>
          <w:highlight w:val="none"/>
          <w:lang w:val="en-US" w:eastAsia="zh-CN"/>
        </w:rPr>
      </w:pPr>
      <w:r>
        <w:rPr>
          <w:rFonts w:hint="eastAsia" w:ascii="宋体" w:hAnsi="宋体" w:eastAsia="宋体" w:cs="宋体"/>
          <w:highlight w:val="none"/>
          <w:lang w:val="en-US" w:eastAsia="zh-CN"/>
        </w:rPr>
        <w:t>2.中标人在服务期内，须安排二级造价师及以上资格证书的工作人员按采购人要求累计参加不超过20次的除负责评审项目外的义务检查、复核等工作，义务检查、复核工作的服务费已在整个服务期项目评审服务费用标准中综合考虑，采购人不另行付费，具体操作流程按采购人要求执行。</w:t>
      </w:r>
    </w:p>
    <w:p w14:paraId="01D46921">
      <w:pPr>
        <w:ind w:left="0" w:leftChars="0" w:firstLine="420" w:firstLineChars="200"/>
        <w:rPr>
          <w:rFonts w:hint="eastAsia" w:ascii="宋体" w:hAnsi="宋体" w:eastAsia="宋体" w:cs="宋体"/>
          <w:highlight w:val="none"/>
          <w:lang w:val="en-US" w:eastAsia="zh-CN"/>
        </w:rPr>
      </w:pPr>
      <w:r>
        <w:rPr>
          <w:rFonts w:hint="eastAsia" w:ascii="宋体" w:hAnsi="宋体" w:eastAsia="宋体" w:cs="宋体"/>
          <w:highlight w:val="none"/>
          <w:lang w:val="en-US" w:eastAsia="zh-CN"/>
        </w:rPr>
        <w:t>3.中标人在服务期内取得评审任务的规模和数量是不确定的，中标人参与投标等同于认可本条款。服务期内中标人不应以业务取得量为由提出索赔等不合理要求。</w:t>
      </w:r>
    </w:p>
    <w:p w14:paraId="4B8459AB">
      <w:pPr>
        <w:ind w:left="0" w:leftChars="0" w:firstLine="420" w:firstLineChars="200"/>
        <w:rPr>
          <w:rFonts w:hint="eastAsia" w:ascii="宋体" w:hAnsi="宋体" w:eastAsia="宋体" w:cs="宋体"/>
          <w:highlight w:val="none"/>
          <w:lang w:val="en-US" w:eastAsia="zh-CN"/>
        </w:rPr>
      </w:pPr>
      <w:r>
        <w:rPr>
          <w:rFonts w:hint="eastAsia" w:ascii="宋体" w:hAnsi="宋体" w:eastAsia="宋体" w:cs="宋体"/>
          <w:highlight w:val="none"/>
          <w:lang w:val="en-US" w:eastAsia="zh-CN"/>
        </w:rPr>
        <w:t>4.在服务期内，评审范围有可能依据法律法规或政府文件的要求进行调整。如发生调整，双方应就调整内容协商一致并签订补充协议。如评审范围调整后产生本项目收费标准未约束的费用，由双方参照行业标准和市场行情协商确定收费标准。无法就前述调整内容达成一致的，双方均可提出终止服务合同，采购人应按本合同约定标准，就中标人已完成且验收合格的评审项目支付相应费用。</w:t>
      </w:r>
    </w:p>
    <w:p w14:paraId="6F4C3947">
      <w:pPr>
        <w:ind w:left="0" w:leftChars="0" w:firstLine="420" w:firstLineChars="200"/>
        <w:rPr>
          <w:rFonts w:hint="eastAsia" w:ascii="宋体" w:hAnsi="宋体" w:eastAsia="宋体" w:cs="宋体"/>
          <w:highlight w:val="none"/>
          <w:lang w:val="en-US" w:eastAsia="zh-CN"/>
        </w:rPr>
      </w:pPr>
      <w:r>
        <w:rPr>
          <w:rFonts w:hint="eastAsia" w:ascii="宋体" w:hAnsi="宋体" w:eastAsia="宋体" w:cs="宋体"/>
          <w:highlight w:val="none"/>
          <w:lang w:val="en-US" w:eastAsia="zh-CN"/>
        </w:rPr>
        <w:t>5.服务期内，因中标人原因导致合同终止的，采购人仍应按合同约定标准，就中标人已完成且验收合格的评审项目支付相应费用；因中标人根本违约给采购人造成损失的，采购人有权另行追究其违约责任。</w:t>
      </w:r>
    </w:p>
    <w:p w14:paraId="11126C6E">
      <w:pPr>
        <w:numPr>
          <w:ilvl w:val="0"/>
          <w:numId w:val="1"/>
        </w:numPr>
        <w:ind w:left="0" w:leftChars="0" w:firstLine="422" w:firstLineChars="200"/>
        <w:rPr>
          <w:rFonts w:hint="eastAsia" w:ascii="宋体" w:hAnsi="宋体" w:eastAsia="宋体" w:cs="宋体"/>
          <w:b/>
          <w:bCs/>
          <w:highlight w:val="none"/>
          <w:lang w:val="en-US" w:eastAsia="zh-CN"/>
        </w:rPr>
      </w:pPr>
      <w:r>
        <w:rPr>
          <w:rFonts w:hint="eastAsia" w:ascii="宋体" w:hAnsi="宋体" w:eastAsia="宋体" w:cs="宋体"/>
          <w:b/>
          <w:bCs/>
          <w:highlight w:val="none"/>
          <w:lang w:val="en-US" w:eastAsia="zh-CN"/>
        </w:rPr>
        <w:t>项目分配原则</w:t>
      </w:r>
    </w:p>
    <w:p w14:paraId="06BB0636">
      <w:pPr>
        <w:ind w:left="0" w:leftChars="0" w:firstLine="420" w:firstLineChars="200"/>
        <w:rPr>
          <w:rFonts w:hint="eastAsia" w:ascii="宋体" w:hAnsi="宋体" w:eastAsia="宋体" w:cs="宋体"/>
          <w:highlight w:val="none"/>
          <w:lang w:val="en-US" w:eastAsia="zh-CN"/>
        </w:rPr>
      </w:pPr>
      <w:r>
        <w:rPr>
          <w:rFonts w:hint="eastAsia" w:ascii="宋体" w:hAnsi="宋体" w:eastAsia="宋体" w:cs="宋体"/>
          <w:highlight w:val="none"/>
          <w:lang w:val="en-US" w:eastAsia="zh-CN"/>
        </w:rPr>
        <w:t>项目评审包括概算审核、预结算审核和复核、决算审核。佛山市三水区乐平镇财政和公有资产管理办公室对任务分配办法分为子包内循环轮号法和择优选择法两种。中标人以评标顺序确定顺序号。</w:t>
      </w:r>
    </w:p>
    <w:p w14:paraId="587658FF">
      <w:pPr>
        <w:ind w:left="0" w:leftChars="0" w:firstLine="420" w:firstLineChars="200"/>
        <w:rPr>
          <w:rFonts w:hint="eastAsia" w:ascii="宋体" w:hAnsi="宋体" w:eastAsia="宋体" w:cs="宋体"/>
          <w:highlight w:val="none"/>
          <w:lang w:val="en-US" w:eastAsia="zh-CN"/>
        </w:rPr>
      </w:pPr>
      <w:r>
        <w:rPr>
          <w:rFonts w:hint="eastAsia" w:ascii="宋体" w:hAnsi="宋体" w:eastAsia="宋体" w:cs="宋体"/>
          <w:highlight w:val="none"/>
          <w:lang w:val="en-US" w:eastAsia="zh-CN"/>
        </w:rPr>
        <w:t>1.循环轮号法的具体操作为：</w:t>
      </w:r>
    </w:p>
    <w:p w14:paraId="0AE6F87F">
      <w:pPr>
        <w:ind w:left="0" w:leftChars="0" w:firstLine="420" w:firstLineChars="200"/>
        <w:rPr>
          <w:rFonts w:hint="eastAsia" w:ascii="宋体" w:hAnsi="宋体" w:eastAsia="宋体" w:cs="宋体"/>
          <w:highlight w:val="none"/>
          <w:lang w:val="en-US" w:eastAsia="zh-CN"/>
        </w:rPr>
      </w:pPr>
      <w:r>
        <w:rPr>
          <w:rFonts w:hint="eastAsia" w:ascii="宋体" w:hAnsi="宋体" w:eastAsia="宋体" w:cs="宋体"/>
          <w:highlight w:val="none"/>
          <w:lang w:val="en-US" w:eastAsia="zh-CN"/>
        </w:rPr>
        <w:t>①对签约中标人按其中标子包序号作为顺序号。②接到项目工程投资的编审任务后，采购人基建股按照循环轮号规则分配给轮号最前的中标人，中标人接受委托后，该中标人的轮号调整到最后，其他中标人轮号向前累进一位。③对按循环轮号法轮到的中标人却因该中标人与委托项目有利害关系需回避的项目，该项目的委托业务改由轮号第二的中标人实施，接受委托任务的中标人其轮号调整到最后，原轮号第一的中标人顺延调整到第二位，其余的中标人轮号不变，依次类推。④若全部中标人均需同时回避的项目，由采购人另行委托咨询单位提供服务并支付费用。</w:t>
      </w:r>
    </w:p>
    <w:p w14:paraId="145B8FF8">
      <w:pPr>
        <w:ind w:left="0" w:leftChars="0" w:firstLine="420" w:firstLineChars="200"/>
        <w:rPr>
          <w:rFonts w:hint="eastAsia" w:ascii="宋体" w:hAnsi="宋体" w:eastAsia="宋体" w:cs="宋体"/>
          <w:highlight w:val="none"/>
          <w:lang w:val="en-US" w:eastAsia="zh-CN"/>
        </w:rPr>
      </w:pPr>
      <w:r>
        <w:rPr>
          <w:rFonts w:hint="eastAsia" w:ascii="宋体" w:hAnsi="宋体" w:eastAsia="宋体" w:cs="宋体"/>
          <w:highlight w:val="none"/>
          <w:lang w:val="en-US" w:eastAsia="zh-CN"/>
        </w:rPr>
        <w:t>2.择优选择法的具体操作为：</w:t>
      </w:r>
    </w:p>
    <w:p w14:paraId="01B33B68">
      <w:pPr>
        <w:ind w:left="0" w:leftChars="0" w:firstLine="420" w:firstLineChars="200"/>
        <w:rPr>
          <w:rFonts w:hint="eastAsia" w:ascii="宋体" w:hAnsi="宋体" w:eastAsia="宋体" w:cs="宋体"/>
          <w:highlight w:val="none"/>
          <w:lang w:val="en-US" w:eastAsia="zh-CN"/>
        </w:rPr>
      </w:pPr>
      <w:r>
        <w:rPr>
          <w:rFonts w:hint="eastAsia" w:ascii="宋体" w:hAnsi="宋体" w:eastAsia="宋体" w:cs="宋体"/>
          <w:highlight w:val="none"/>
          <w:lang w:val="en-US" w:eastAsia="zh-CN"/>
        </w:rPr>
        <w:t>（1）符合以下情况的项目，可采取择优选择法：建设单位要求压缩中介审核总体时间比例超过20%的项目或总投资1亿（含）以上的项目。</w:t>
      </w:r>
    </w:p>
    <w:p w14:paraId="15751657">
      <w:pPr>
        <w:ind w:left="0" w:leftChars="0" w:firstLine="420" w:firstLineChars="200"/>
        <w:rPr>
          <w:rFonts w:hint="eastAsia" w:ascii="宋体" w:hAnsi="宋体" w:eastAsia="宋体" w:cs="宋体"/>
          <w:highlight w:val="none"/>
          <w:lang w:val="en-US" w:eastAsia="zh-CN"/>
        </w:rPr>
      </w:pPr>
      <w:r>
        <w:rPr>
          <w:rFonts w:hint="eastAsia" w:ascii="宋体" w:hAnsi="宋体" w:eastAsia="宋体" w:cs="宋体"/>
          <w:highlight w:val="none"/>
          <w:lang w:val="en-US" w:eastAsia="zh-CN"/>
        </w:rPr>
        <w:t>（2）择优选择要根据工程评审的要求，从规定范围的签约中标人（服务期第1年为子包一、二、三的相应中标人；服务期第2、3年为前一年的考核结果排名前3的中标人）中循环轮号，接受委托后，不影响中标人的原轮号顺序。若排名前3名中标人因服务合同结算金额达到对应子包合同上限或因需要回避，均不能接受委托的，则从排名4～6的中标人循环轮号。如中标人一个自然年度内拒绝择优项目的，本自然年度不再安排择优项目。但中标人因存在利益冲突、缺乏相应专业能力等合理事由而拒绝的，不在此限。</w:t>
      </w:r>
    </w:p>
    <w:p w14:paraId="223F224F">
      <w:pPr>
        <w:ind w:left="0" w:leftChars="0" w:firstLine="420" w:firstLineChars="200"/>
        <w:rPr>
          <w:rFonts w:hint="eastAsia" w:ascii="宋体" w:hAnsi="宋体" w:eastAsia="宋体" w:cs="宋体"/>
          <w:highlight w:val="none"/>
          <w:lang w:val="en-US" w:eastAsia="zh-CN"/>
        </w:rPr>
      </w:pPr>
      <w:r>
        <w:rPr>
          <w:rFonts w:hint="eastAsia" w:ascii="宋体" w:hAnsi="宋体" w:eastAsia="宋体" w:cs="宋体"/>
          <w:highlight w:val="none"/>
          <w:lang w:val="en-US" w:eastAsia="zh-CN"/>
        </w:rPr>
        <w:t>（3）概算项目存在多个标段的，由承接首个标段的中标人负责剩余标段的概算审核任务，不影响中标人的原轮号顺序。</w:t>
      </w:r>
    </w:p>
    <w:p w14:paraId="6D7D06E6">
      <w:pPr>
        <w:ind w:left="0" w:leftChars="0" w:firstLine="420" w:firstLineChars="200"/>
        <w:rPr>
          <w:rFonts w:hint="eastAsia" w:ascii="宋体" w:hAnsi="宋体" w:eastAsia="宋体" w:cs="宋体"/>
          <w:highlight w:val="none"/>
          <w:lang w:val="en-US" w:eastAsia="zh-CN"/>
        </w:rPr>
      </w:pPr>
      <w:r>
        <w:rPr>
          <w:rFonts w:hint="eastAsia" w:ascii="宋体" w:hAnsi="宋体" w:eastAsia="宋体" w:cs="宋体"/>
          <w:highlight w:val="none"/>
          <w:lang w:val="en-US" w:eastAsia="zh-CN"/>
        </w:rPr>
        <w:t>（4）每年度按择优选择的分配办法选定的评审项目一般不超过当年送审项目数量（不含财务决算审核项目）的20%。</w:t>
      </w:r>
    </w:p>
    <w:p w14:paraId="31C01DAF">
      <w:pPr>
        <w:numPr>
          <w:ilvl w:val="0"/>
          <w:numId w:val="1"/>
        </w:numPr>
        <w:ind w:left="0" w:leftChars="0" w:firstLine="422" w:firstLineChars="200"/>
        <w:rPr>
          <w:rFonts w:hint="eastAsia" w:ascii="宋体" w:hAnsi="宋体" w:eastAsia="宋体" w:cs="宋体"/>
          <w:b/>
          <w:bCs/>
          <w:highlight w:val="none"/>
          <w:lang w:val="en-US" w:eastAsia="zh-CN"/>
        </w:rPr>
      </w:pPr>
      <w:r>
        <w:rPr>
          <w:rFonts w:hint="eastAsia" w:ascii="宋体" w:hAnsi="宋体" w:eastAsia="宋体" w:cs="宋体"/>
          <w:b/>
          <w:bCs/>
          <w:highlight w:val="none"/>
          <w:lang w:val="en-US" w:eastAsia="zh-CN"/>
        </w:rPr>
        <w:t>服务团队人员要求</w:t>
      </w:r>
    </w:p>
    <w:p w14:paraId="61B8C4CD">
      <w:pPr>
        <w:ind w:left="0" w:leftChars="0" w:firstLine="420" w:firstLineChars="200"/>
        <w:rPr>
          <w:rFonts w:hint="eastAsia" w:ascii="宋体" w:hAnsi="宋体" w:eastAsia="宋体" w:cs="宋体"/>
          <w:highlight w:val="none"/>
          <w:lang w:val="en-US" w:eastAsia="zh-CN"/>
        </w:rPr>
      </w:pPr>
      <w:r>
        <w:rPr>
          <w:rFonts w:hint="eastAsia" w:ascii="宋体" w:hAnsi="宋体" w:eastAsia="宋体" w:cs="宋体"/>
          <w:highlight w:val="none"/>
          <w:lang w:val="en-US" w:eastAsia="zh-CN"/>
        </w:rPr>
        <w:t>1.服务团队人员均为专业技术人员，每个子包的中标人拟派评审人员名单人数在9人及以上，具体人数由投标人根据采购人的要求和投标人的自身情况决定。中标人投入本项目服务团队中持有一级造价工程师（含一级造价工程师或水利工程造价工程师或公路工程造价师）证书须不少于8人，持有会计专业中级及以上职称技术资格或注册会计师证书须不少于1人。</w:t>
      </w:r>
    </w:p>
    <w:p w14:paraId="7BE2014D">
      <w:pPr>
        <w:ind w:left="0" w:leftChars="0" w:firstLine="420" w:firstLineChars="200"/>
        <w:rPr>
          <w:rFonts w:hint="eastAsia" w:ascii="宋体" w:hAnsi="宋体" w:eastAsia="宋体" w:cs="宋体"/>
          <w:highlight w:val="none"/>
          <w:lang w:val="en-US" w:eastAsia="zh-CN"/>
        </w:rPr>
      </w:pPr>
      <w:r>
        <w:rPr>
          <w:rFonts w:hint="eastAsia" w:ascii="宋体" w:hAnsi="宋体" w:eastAsia="宋体" w:cs="宋体"/>
          <w:highlight w:val="none"/>
          <w:lang w:val="en-US" w:eastAsia="zh-CN"/>
        </w:rPr>
        <w:t>2.人员专业要求</w:t>
      </w:r>
    </w:p>
    <w:p w14:paraId="37F79C98">
      <w:pPr>
        <w:ind w:left="0" w:leftChars="0" w:firstLine="420" w:firstLineChars="200"/>
        <w:rPr>
          <w:rFonts w:hint="eastAsia" w:ascii="宋体" w:hAnsi="宋体" w:eastAsia="宋体" w:cs="宋体"/>
          <w:highlight w:val="none"/>
          <w:lang w:val="en-US" w:eastAsia="zh-CN"/>
        </w:rPr>
      </w:pPr>
      <w:r>
        <w:rPr>
          <w:rFonts w:hint="eastAsia" w:ascii="宋体" w:hAnsi="宋体" w:eastAsia="宋体" w:cs="宋体"/>
          <w:highlight w:val="none"/>
          <w:lang w:val="en-US" w:eastAsia="zh-CN"/>
        </w:rPr>
        <w:t>1)技术人员</w:t>
      </w:r>
    </w:p>
    <w:p w14:paraId="615A3738">
      <w:pPr>
        <w:ind w:left="0" w:leftChars="0" w:firstLine="420" w:firstLineChars="200"/>
        <w:rPr>
          <w:rFonts w:hint="eastAsia" w:ascii="宋体" w:hAnsi="宋体" w:eastAsia="宋体" w:cs="宋体"/>
          <w:highlight w:val="none"/>
          <w:lang w:val="en-US" w:eastAsia="zh-CN"/>
        </w:rPr>
      </w:pPr>
      <w:r>
        <w:rPr>
          <w:rFonts w:hint="eastAsia" w:ascii="宋体" w:hAnsi="宋体" w:eastAsia="宋体" w:cs="宋体"/>
          <w:highlight w:val="none"/>
          <w:lang w:val="en-US" w:eastAsia="zh-CN"/>
        </w:rPr>
        <w:t>①　土建专业：要求至少2人持有政府部门颁发的有效的一级造价工程师证书（专业：土木建筑）；</w:t>
      </w:r>
    </w:p>
    <w:p w14:paraId="78CCD90D">
      <w:pPr>
        <w:ind w:left="0" w:leftChars="0" w:firstLine="420" w:firstLineChars="200"/>
        <w:rPr>
          <w:rFonts w:hint="eastAsia" w:ascii="宋体" w:hAnsi="宋体" w:eastAsia="宋体" w:cs="宋体"/>
          <w:highlight w:val="none"/>
          <w:lang w:val="en-US" w:eastAsia="zh-CN"/>
        </w:rPr>
      </w:pPr>
      <w:r>
        <w:rPr>
          <w:rFonts w:hint="eastAsia" w:ascii="宋体" w:hAnsi="宋体" w:eastAsia="宋体" w:cs="宋体"/>
          <w:highlight w:val="none"/>
          <w:lang w:val="en-US" w:eastAsia="zh-CN"/>
        </w:rPr>
        <w:t>②　安装专业：要求至少2人持有政府部门颁发的有效的一级造价工程师证书（专业：安装工程）；</w:t>
      </w:r>
    </w:p>
    <w:p w14:paraId="651FFA87">
      <w:pPr>
        <w:ind w:left="0" w:leftChars="0" w:firstLine="420" w:firstLineChars="200"/>
        <w:rPr>
          <w:rFonts w:hint="eastAsia" w:ascii="宋体" w:hAnsi="宋体" w:eastAsia="宋体" w:cs="宋体"/>
          <w:highlight w:val="none"/>
          <w:lang w:val="en-US" w:eastAsia="zh-CN"/>
        </w:rPr>
      </w:pPr>
      <w:r>
        <w:rPr>
          <w:rFonts w:hint="eastAsia" w:ascii="宋体" w:hAnsi="宋体" w:eastAsia="宋体" w:cs="宋体"/>
          <w:highlight w:val="none"/>
          <w:lang w:val="en-US" w:eastAsia="zh-CN"/>
        </w:rPr>
        <w:t>③　交通运输专业：要求至少2人持有政府部门颁发的有效的公路工程造价师证书或一级造价工程师证书（专业：交通）；</w:t>
      </w:r>
    </w:p>
    <w:p w14:paraId="4DD2D9D2">
      <w:pPr>
        <w:ind w:left="0" w:leftChars="0" w:firstLine="420" w:firstLineChars="200"/>
        <w:rPr>
          <w:rFonts w:hint="eastAsia" w:ascii="宋体" w:hAnsi="宋体" w:eastAsia="宋体" w:cs="宋体"/>
          <w:highlight w:val="none"/>
          <w:lang w:val="en-US" w:eastAsia="zh-CN"/>
        </w:rPr>
      </w:pPr>
      <w:r>
        <w:rPr>
          <w:rFonts w:hint="eastAsia" w:ascii="宋体" w:hAnsi="宋体" w:eastAsia="宋体" w:cs="宋体"/>
          <w:highlight w:val="none"/>
          <w:lang w:val="en-US" w:eastAsia="zh-CN"/>
        </w:rPr>
        <w:t>④　水利专业：要求至少2人持有政府部门颁发的有效的水利工程造价工程师证书或一级造价工程师证书（专业：水利）；</w:t>
      </w:r>
    </w:p>
    <w:p w14:paraId="0D9A164E">
      <w:pPr>
        <w:ind w:left="0" w:leftChars="0" w:firstLine="420" w:firstLineChars="200"/>
        <w:rPr>
          <w:rFonts w:hint="eastAsia" w:ascii="宋体" w:hAnsi="宋体" w:eastAsia="宋体" w:cs="宋体"/>
          <w:highlight w:val="none"/>
          <w:lang w:val="en-US" w:eastAsia="zh-CN"/>
        </w:rPr>
      </w:pPr>
      <w:r>
        <w:rPr>
          <w:rFonts w:hint="eastAsia" w:ascii="宋体" w:hAnsi="宋体" w:eastAsia="宋体" w:cs="宋体"/>
          <w:highlight w:val="none"/>
          <w:lang w:val="en-US" w:eastAsia="zh-CN"/>
        </w:rPr>
        <w:t>⑤　会计专业：要求至少1人持有会计专业中级（或以上）职称技术资格或注册会计师证书；</w:t>
      </w:r>
    </w:p>
    <w:p w14:paraId="450BEBA4">
      <w:pPr>
        <w:ind w:left="0" w:leftChars="0" w:firstLine="420" w:firstLineChars="200"/>
        <w:rPr>
          <w:rFonts w:hint="eastAsia" w:ascii="宋体" w:hAnsi="宋体" w:eastAsia="宋体" w:cs="宋体"/>
          <w:highlight w:val="none"/>
          <w:lang w:val="en-US" w:eastAsia="zh-CN"/>
        </w:rPr>
      </w:pPr>
      <w:r>
        <w:rPr>
          <w:rFonts w:hint="eastAsia" w:ascii="宋体" w:hAnsi="宋体" w:eastAsia="宋体" w:cs="宋体"/>
          <w:highlight w:val="none"/>
          <w:lang w:val="en-US" w:eastAsia="zh-CN"/>
        </w:rPr>
        <w:t>3.服务团队备案</w:t>
      </w:r>
    </w:p>
    <w:p w14:paraId="3858312E">
      <w:pPr>
        <w:ind w:left="0" w:leftChars="0" w:firstLine="420" w:firstLineChars="200"/>
        <w:rPr>
          <w:rFonts w:hint="eastAsia" w:ascii="宋体" w:hAnsi="宋体" w:eastAsia="宋体" w:cs="宋体"/>
          <w:highlight w:val="none"/>
          <w:lang w:val="en-US" w:eastAsia="zh-CN"/>
        </w:rPr>
      </w:pPr>
      <w:r>
        <w:rPr>
          <w:rFonts w:hint="eastAsia" w:ascii="宋体" w:hAnsi="宋体" w:eastAsia="宋体" w:cs="宋体"/>
          <w:highlight w:val="none"/>
          <w:lang w:val="en-US" w:eastAsia="zh-CN"/>
        </w:rPr>
        <w:t>1)中标人投标时提供的拟投入本项目人员即为备案团队名单，不得随意更换或减少人员数量。服务团队所有人员在服务期内需要调换的，必须以同等资历或以上人员（同等资历指执业资格及从业经验）在5个工作日内提出替换申请。未经采购人同意即擅自更换、脱岗或离职的，超过3次即解除服务合同。</w:t>
      </w:r>
    </w:p>
    <w:p w14:paraId="174CC550">
      <w:pPr>
        <w:ind w:left="0" w:leftChars="0" w:firstLine="420" w:firstLineChars="200"/>
        <w:rPr>
          <w:rFonts w:hint="eastAsia" w:ascii="宋体" w:hAnsi="宋体" w:eastAsia="宋体" w:cs="宋体"/>
          <w:highlight w:val="none"/>
          <w:lang w:val="en-US" w:eastAsia="zh-CN"/>
        </w:rPr>
      </w:pPr>
      <w:r>
        <w:rPr>
          <w:rFonts w:hint="eastAsia" w:ascii="宋体" w:hAnsi="宋体" w:eastAsia="宋体" w:cs="宋体"/>
          <w:highlight w:val="none"/>
          <w:lang w:val="en-US" w:eastAsia="zh-CN"/>
        </w:rPr>
        <w:t>2)在采购人认为理由充分的前提下，经采购人同意方可替换。申请人员更换应遵循资质和职称对等或更高替换原则，即新替人员职称、注册造价资格等应等于或高于原人员职称和资格。服务期内，中标人未经采购人书面同意在单项工程审核过程中变更审核人员的，该项工程扣减10%服务费（不可抗力原因除外）。评审服务期内，因中标人原因单项工程审核过程中累计变更审核人员超过3次，采购人有权单方面终止服务合同。</w:t>
      </w:r>
    </w:p>
    <w:p w14:paraId="57909854">
      <w:pPr>
        <w:ind w:left="0" w:leftChars="0" w:firstLine="420" w:firstLineChars="200"/>
        <w:rPr>
          <w:rFonts w:hint="eastAsia" w:ascii="宋体" w:hAnsi="宋体" w:eastAsia="宋体" w:cs="宋体"/>
          <w:highlight w:val="none"/>
          <w:lang w:val="en-US" w:eastAsia="zh-CN"/>
        </w:rPr>
      </w:pPr>
      <w:r>
        <w:rPr>
          <w:rFonts w:hint="eastAsia" w:ascii="宋体" w:hAnsi="宋体" w:eastAsia="宋体" w:cs="宋体"/>
          <w:highlight w:val="none"/>
          <w:lang w:val="en-US" w:eastAsia="zh-CN"/>
        </w:rPr>
        <w:t>3)采购人对中标人的审核人员定制统一的工作牌样式，到采购人单位对数及办理业务时，中标人的审核人员必须佩戴采购人要求的工作牌进场。</w:t>
      </w:r>
    </w:p>
    <w:p w14:paraId="1BDB8A74">
      <w:pPr>
        <w:ind w:left="0" w:leftChars="0" w:firstLine="420" w:firstLineChars="200"/>
        <w:rPr>
          <w:rFonts w:hint="eastAsia" w:ascii="宋体" w:hAnsi="宋体" w:eastAsia="宋体" w:cs="宋体"/>
          <w:highlight w:val="none"/>
          <w:lang w:val="en-US" w:eastAsia="zh-CN"/>
        </w:rPr>
      </w:pPr>
      <w:r>
        <w:rPr>
          <w:rFonts w:hint="eastAsia" w:ascii="宋体" w:hAnsi="宋体" w:eastAsia="宋体" w:cs="宋体"/>
          <w:highlight w:val="none"/>
          <w:lang w:val="en-US" w:eastAsia="zh-CN"/>
        </w:rPr>
        <w:t>4)单个项目的服务人员由中标人在备案团队名单中选择并自行安排，中标人必须安排责任心强、技术过硬的人员向采购人提供咨询服务，并按要求做好评审项目人员的安排报备手续。</w:t>
      </w:r>
    </w:p>
    <w:p w14:paraId="5888BB33">
      <w:pPr>
        <w:numPr>
          <w:ilvl w:val="0"/>
          <w:numId w:val="1"/>
        </w:numPr>
        <w:ind w:left="0" w:leftChars="0" w:firstLine="422" w:firstLineChars="200"/>
        <w:rPr>
          <w:rFonts w:hint="eastAsia" w:ascii="宋体" w:hAnsi="宋体" w:eastAsia="宋体" w:cs="宋体"/>
          <w:b/>
          <w:bCs/>
          <w:highlight w:val="none"/>
          <w:lang w:val="en-US" w:eastAsia="zh-CN"/>
        </w:rPr>
      </w:pPr>
      <w:r>
        <w:rPr>
          <w:rFonts w:hint="eastAsia" w:ascii="宋体" w:hAnsi="宋体" w:eastAsia="宋体" w:cs="宋体"/>
          <w:b/>
          <w:bCs/>
          <w:highlight w:val="none"/>
          <w:lang w:val="en-US" w:eastAsia="zh-CN"/>
        </w:rPr>
        <w:t>服务要求</w:t>
      </w:r>
    </w:p>
    <w:p w14:paraId="0B6A4C13">
      <w:pPr>
        <w:numPr>
          <w:ilvl w:val="0"/>
          <w:numId w:val="2"/>
        </w:numPr>
        <w:ind w:left="0" w:leftChars="0" w:firstLine="420" w:firstLineChars="200"/>
        <w:rPr>
          <w:rFonts w:hint="eastAsia" w:ascii="宋体" w:hAnsi="宋体" w:eastAsia="宋体" w:cs="宋体"/>
          <w:highlight w:val="none"/>
          <w:lang w:val="en-US" w:eastAsia="zh-CN"/>
        </w:rPr>
      </w:pPr>
      <w:r>
        <w:rPr>
          <w:rFonts w:hint="eastAsia" w:ascii="宋体" w:hAnsi="宋体" w:eastAsia="宋体" w:cs="宋体"/>
          <w:highlight w:val="none"/>
          <w:lang w:val="en-US" w:eastAsia="zh-CN"/>
        </w:rPr>
        <w:t>中标人必须独立完成采购人委托的评审任务，不得将评审业务转让给第三方实施。采购人若发现中标人将采购人委托的评审业务转让给第三方实施的，一经证实，有权单方面终止服务合同，并不作任何赔偿。</w:t>
      </w:r>
    </w:p>
    <w:p w14:paraId="16520E0D">
      <w:pPr>
        <w:numPr>
          <w:ilvl w:val="0"/>
          <w:numId w:val="2"/>
        </w:numPr>
        <w:ind w:left="0" w:leftChars="0" w:firstLine="420" w:firstLineChars="200"/>
        <w:rPr>
          <w:rFonts w:hint="eastAsia" w:ascii="宋体" w:hAnsi="宋体" w:eastAsia="宋体" w:cs="宋体"/>
          <w:highlight w:val="none"/>
          <w:lang w:val="en-US" w:eastAsia="zh-CN"/>
        </w:rPr>
      </w:pPr>
      <w:r>
        <w:rPr>
          <w:rFonts w:hint="eastAsia" w:ascii="宋体" w:hAnsi="宋体" w:eastAsia="宋体" w:cs="宋体"/>
          <w:highlight w:val="none"/>
          <w:lang w:val="en-US" w:eastAsia="zh-CN"/>
        </w:rPr>
        <w:t>中标人提供基建工程概算、预结算审核和复核、决算审核服务，并将项目审核的初稿、修订稿、终稿及评审过程相关资料的电子版发送至采购人。项目委派后，中标人须按时派出本公司的专业技术人员到采购人处签项目的纸质资料，检查评审资料是否齐全。取件人须带上取件委托书、加盖单位公章确认的本人身份证材料。服务过程中一切资料来往均需到采购人现场签收；过程性沟通文件、修订稿等，经采购人同意，可通过双方指定的电子邮箱等线上方式进行确认。</w:t>
      </w:r>
    </w:p>
    <w:p w14:paraId="09E95F18">
      <w:pPr>
        <w:numPr>
          <w:ilvl w:val="0"/>
          <w:numId w:val="2"/>
        </w:numPr>
        <w:ind w:left="0" w:leftChars="0" w:firstLine="420" w:firstLineChars="200"/>
        <w:rPr>
          <w:rFonts w:hint="eastAsia" w:ascii="宋体" w:hAnsi="宋体" w:eastAsia="宋体" w:cs="宋体"/>
          <w:highlight w:val="none"/>
          <w:lang w:val="en-US" w:eastAsia="zh-CN"/>
        </w:rPr>
      </w:pPr>
      <w:r>
        <w:rPr>
          <w:rFonts w:hint="eastAsia" w:ascii="宋体" w:hAnsi="宋体" w:eastAsia="宋体" w:cs="宋体"/>
          <w:highlight w:val="none"/>
          <w:lang w:val="en-US" w:eastAsia="zh-CN"/>
        </w:rPr>
        <w:t>项目对数环节均采用现场会议形式（会议地点：佛山市三水区乐平镇财政和公有资产管理办公室），中标人需派出该项目审核负责人参加会议，负责人不到场的按《佛山市三水区乐平镇财政和公有资产管理办公室2026-2029年度工程造价咨询服务项目概决算审核、预结算审核和复核中介机构单项评审工作考核表》条款进行处罚。</w:t>
      </w:r>
    </w:p>
    <w:p w14:paraId="0AE1D5C4">
      <w:pPr>
        <w:numPr>
          <w:ilvl w:val="0"/>
          <w:numId w:val="2"/>
        </w:numPr>
        <w:ind w:left="0" w:leftChars="0" w:firstLine="420" w:firstLineChars="200"/>
        <w:rPr>
          <w:rFonts w:hint="eastAsia" w:ascii="宋体" w:hAnsi="宋体" w:eastAsia="宋体" w:cs="宋体"/>
          <w:highlight w:val="none"/>
          <w:lang w:val="en-US" w:eastAsia="zh-CN"/>
        </w:rPr>
      </w:pPr>
      <w:r>
        <w:rPr>
          <w:rFonts w:hint="eastAsia" w:ascii="宋体" w:hAnsi="宋体" w:eastAsia="宋体" w:cs="宋体"/>
          <w:highlight w:val="none"/>
          <w:lang w:val="en-US" w:eastAsia="zh-CN"/>
        </w:rPr>
        <w:t>采购人当天上午10:00前通过电子邮件或电话等双方约定的方式派送评审项目，中标人公司联系人手机随同收到短信提醒，并于收到通知后2个工作日内派员到采购人指定地点（佛山市三水区乐平镇财政和公有资产管理办公室）领取评审项目纸质资料及接收电子文档，如逾期领取的，该项工程扣减10%服务费，累计超过3次，采购人有权单方面终止服务合同。如逾期领取且经采购人书面催告后仍不取件的，除不可抗力的自然灾害导致逾期领取外均视同无正当理由拒绝接受分配任务，采购人有权单方面终止其服务合同，按循环轮号原则调整任务分配。</w:t>
      </w:r>
    </w:p>
    <w:p w14:paraId="3587AE43">
      <w:pPr>
        <w:numPr>
          <w:ilvl w:val="0"/>
          <w:numId w:val="2"/>
        </w:numPr>
        <w:ind w:left="0" w:leftChars="0" w:firstLine="420" w:firstLineChars="200"/>
        <w:rPr>
          <w:rFonts w:hint="eastAsia" w:ascii="宋体" w:hAnsi="宋体" w:eastAsia="宋体" w:cs="宋体"/>
          <w:highlight w:val="none"/>
          <w:lang w:val="en-US" w:eastAsia="zh-CN"/>
        </w:rPr>
      </w:pPr>
      <w:r>
        <w:rPr>
          <w:rFonts w:hint="eastAsia" w:ascii="宋体" w:hAnsi="宋体" w:eastAsia="宋体" w:cs="宋体"/>
          <w:highlight w:val="none"/>
          <w:lang w:val="en-US" w:eastAsia="zh-CN"/>
        </w:rPr>
        <w:t>在工程评审过程中，采购人若发现中标人的服务人员存在单个项目考核评分表中的服务技术质量、服务态度及效率、职业操守等问题不能胜任评审工作要求的，采购人有权要求更换相关服务人员并扣罚审核费用（扣罚审核费用具体根据《佛山市三水区乐平镇财政和公有资产管理办公室2026-2029年度工程造价咨询服务项目概决算审核、预结算审核和复核中介机构单项评审工作考核表》扣分情况而定），中标人应无条件配合服务人员的更换工作，情况严重的，采购人有权终止服务合同。</w:t>
      </w:r>
    </w:p>
    <w:p w14:paraId="548F81D0">
      <w:pPr>
        <w:numPr>
          <w:ilvl w:val="0"/>
          <w:numId w:val="2"/>
        </w:numPr>
        <w:ind w:left="0" w:leftChars="0" w:firstLine="420" w:firstLineChars="200"/>
        <w:rPr>
          <w:rFonts w:hint="eastAsia" w:ascii="宋体" w:hAnsi="宋体" w:eastAsia="宋体" w:cs="宋体"/>
          <w:highlight w:val="none"/>
          <w:lang w:val="en-US" w:eastAsia="zh-CN"/>
        </w:rPr>
      </w:pPr>
      <w:r>
        <w:rPr>
          <w:rFonts w:hint="eastAsia" w:ascii="宋体" w:hAnsi="宋体" w:eastAsia="宋体" w:cs="宋体"/>
          <w:highlight w:val="none"/>
          <w:lang w:val="en-US" w:eastAsia="zh-CN"/>
        </w:rPr>
        <w:t>为实施对中标人评审结果准确性的监督，采购人有权委托有关部门、其他中标人、专家、第三方等机构对中标人完成的评审结果进行复核、审查。对项目评审工作底稿等工作过程资料，采购人将随时进行抽查，中标人必须无条件配合采购人做好检查工作。拒绝接受采购人监督检查和管理的中标人，采购人有权单方面终止服务合同，并不作任何赔偿。</w:t>
      </w:r>
    </w:p>
    <w:p w14:paraId="07EB9357">
      <w:pPr>
        <w:numPr>
          <w:ilvl w:val="0"/>
          <w:numId w:val="2"/>
        </w:numPr>
        <w:ind w:left="0" w:leftChars="0" w:firstLine="420" w:firstLineChars="200"/>
        <w:rPr>
          <w:rFonts w:hint="eastAsia" w:ascii="宋体" w:hAnsi="宋体" w:eastAsia="宋体" w:cs="宋体"/>
          <w:highlight w:val="none"/>
          <w:lang w:val="en-US" w:eastAsia="zh-CN"/>
        </w:rPr>
      </w:pPr>
      <w:r>
        <w:rPr>
          <w:rFonts w:hint="eastAsia" w:ascii="宋体" w:hAnsi="宋体" w:eastAsia="宋体" w:cs="宋体"/>
          <w:highlight w:val="none"/>
          <w:lang w:val="en-US" w:eastAsia="zh-CN"/>
        </w:rPr>
        <w:t>概算审核、预结算审核和复核项目，中标人及其服务人员与建设、施工、设计、监理、编制、核对、全过程造价控制和材料设备供应商等机构有相关利益关系，可能影响评审公平、公正的情形，应当主动向采购人提出回避；决算审核项目，中标人须与决算编制单位回避，否则采购人有权终止服务合同。</w:t>
      </w:r>
    </w:p>
    <w:p w14:paraId="179547A4">
      <w:pPr>
        <w:numPr>
          <w:ilvl w:val="0"/>
          <w:numId w:val="2"/>
        </w:numPr>
        <w:ind w:left="0" w:leftChars="0" w:firstLine="420" w:firstLineChars="200"/>
        <w:rPr>
          <w:rFonts w:hint="eastAsia" w:ascii="宋体" w:hAnsi="宋体" w:eastAsia="宋体" w:cs="宋体"/>
          <w:highlight w:val="none"/>
          <w:lang w:val="en-US" w:eastAsia="zh-CN"/>
        </w:rPr>
      </w:pPr>
      <w:r>
        <w:rPr>
          <w:rFonts w:hint="eastAsia" w:ascii="宋体" w:hAnsi="宋体" w:eastAsia="宋体" w:cs="宋体"/>
          <w:highlight w:val="none"/>
          <w:lang w:val="en-US" w:eastAsia="zh-CN"/>
        </w:rPr>
        <w:t>中标人对已完成的评审项目有继续提供咨询或协助采购人处理有关后续工作的义务，对拒绝提供后继服务，情节严重的，采购人有权终止服务合同。</w:t>
      </w:r>
    </w:p>
    <w:p w14:paraId="4760A53F">
      <w:pPr>
        <w:numPr>
          <w:ilvl w:val="0"/>
          <w:numId w:val="2"/>
        </w:numPr>
        <w:ind w:left="0" w:leftChars="0" w:firstLine="420" w:firstLineChars="200"/>
        <w:rPr>
          <w:rFonts w:hint="eastAsia" w:ascii="宋体" w:hAnsi="宋体" w:eastAsia="宋体" w:cs="宋体"/>
          <w:highlight w:val="none"/>
          <w:lang w:val="en-US" w:eastAsia="zh-CN"/>
        </w:rPr>
      </w:pPr>
      <w:r>
        <w:rPr>
          <w:rFonts w:hint="eastAsia" w:ascii="宋体" w:hAnsi="宋体" w:eastAsia="宋体" w:cs="宋体"/>
          <w:highlight w:val="none"/>
        </w:rPr>
        <w:t>除发生回避情况及不可抗力等情况外，中标人不得拒绝接受评审任务，不得中途弃审，否则采购人有权终止该中标人的服务合同，将中标人拒绝履行投标承诺和合同义务的行为报相关行业主管部门处理，追究其相关的法律和经济责任，所造成的一切损失由其负责。若采购人提出需加快进度完成评审工作，对压缩总体时间比例20%以内，负责该项目子包的中标人不得拒绝接受评审任务，审核费用也不作补充；超过20%的，负责该项目子包的中标人有权拒绝承接该项目，采购人根据项目的实际情况按择优分配原则调整任务分配</w:t>
      </w:r>
      <w:r>
        <w:rPr>
          <w:rFonts w:hint="eastAsia" w:ascii="宋体" w:hAnsi="宋体" w:eastAsia="宋体" w:cs="宋体"/>
          <w:highlight w:val="none"/>
          <w:lang w:val="en-US" w:eastAsia="zh-CN"/>
        </w:rPr>
        <w:t>。</w:t>
      </w:r>
    </w:p>
    <w:p w14:paraId="68D68B5A">
      <w:pPr>
        <w:numPr>
          <w:ilvl w:val="0"/>
          <w:numId w:val="2"/>
        </w:numPr>
        <w:ind w:left="0" w:leftChars="0" w:firstLine="420" w:firstLineChars="200"/>
        <w:rPr>
          <w:rFonts w:hint="eastAsia" w:ascii="宋体" w:hAnsi="宋体" w:eastAsia="宋体" w:cs="宋体"/>
          <w:highlight w:val="none"/>
          <w:lang w:val="en-US" w:eastAsia="zh-CN"/>
        </w:rPr>
      </w:pPr>
      <w:r>
        <w:rPr>
          <w:rFonts w:hint="eastAsia" w:ascii="宋体" w:hAnsi="宋体" w:eastAsia="宋体" w:cs="宋体"/>
          <w:highlight w:val="none"/>
          <w:lang w:val="en-US" w:eastAsia="zh-CN"/>
        </w:rPr>
        <w:t>因中标人原因导致项目评审结论不实，给采购人造成损失的，该中标人除承担全部损失赔偿责任外，采购人还将根据情节的严重程度对该中标人作出通报批评、扣罚审核费或终止服务合同等处罚。</w:t>
      </w:r>
    </w:p>
    <w:p w14:paraId="44629734">
      <w:pPr>
        <w:numPr>
          <w:ilvl w:val="0"/>
          <w:numId w:val="2"/>
        </w:numPr>
        <w:ind w:left="0" w:leftChars="0" w:firstLine="420" w:firstLineChars="200"/>
        <w:rPr>
          <w:rFonts w:hint="eastAsia" w:ascii="宋体" w:hAnsi="宋体" w:eastAsia="宋体" w:cs="宋体"/>
          <w:highlight w:val="none"/>
          <w:lang w:val="en-US" w:eastAsia="zh-CN"/>
        </w:rPr>
      </w:pPr>
      <w:r>
        <w:rPr>
          <w:rFonts w:hint="eastAsia" w:ascii="宋体" w:hAnsi="宋体" w:eastAsia="宋体" w:cs="宋体"/>
          <w:highlight w:val="none"/>
          <w:lang w:val="en-US" w:eastAsia="zh-CN"/>
        </w:rPr>
        <w:t>中标人的营业执照被吊销的，应主动向采购人提出，采购人应终止服务合同。如中标人有意隐瞒被吊销的事实，若被采购人发现的，采购人将有权终止服务合同并对其所造成的经济损失和法律纠纷依法追究经济和法律责任。</w:t>
      </w:r>
    </w:p>
    <w:p w14:paraId="6EED008A">
      <w:pPr>
        <w:numPr>
          <w:ilvl w:val="0"/>
          <w:numId w:val="2"/>
        </w:numPr>
        <w:ind w:left="0" w:leftChars="0" w:firstLine="420" w:firstLineChars="200"/>
        <w:rPr>
          <w:rFonts w:hint="eastAsia" w:ascii="宋体" w:hAnsi="宋体" w:eastAsia="宋体" w:cs="宋体"/>
          <w:highlight w:val="none"/>
          <w:lang w:val="en-US" w:eastAsia="zh-CN"/>
        </w:rPr>
      </w:pPr>
      <w:r>
        <w:rPr>
          <w:rFonts w:hint="eastAsia" w:ascii="宋体" w:hAnsi="宋体" w:eastAsia="宋体" w:cs="宋体"/>
          <w:highlight w:val="none"/>
          <w:lang w:val="en-US" w:eastAsia="zh-CN"/>
        </w:rPr>
        <w:t>中标人须对与评审项目有关的送审资料、内容、意见和评审报告等进行保密，除法律法规要求向第三方提供外，在未征得采购人同意的情况下不得向与评审业务无关的第三方泄露。对中标人出现评审质量问题或泄密等违约行为的，采购人有权对违约中标人进行警告、暂停或终止服务合同等处理，并对其所造成的经济损失和法律纠纷依法追究经济和法律责任。</w:t>
      </w:r>
    </w:p>
    <w:p w14:paraId="1EB41A1A">
      <w:pPr>
        <w:numPr>
          <w:ilvl w:val="0"/>
          <w:numId w:val="2"/>
        </w:numPr>
        <w:ind w:left="0" w:leftChars="0" w:firstLine="420" w:firstLineChars="200"/>
        <w:rPr>
          <w:rFonts w:hint="eastAsia" w:ascii="宋体" w:hAnsi="宋体" w:eastAsia="宋体" w:cs="宋体"/>
          <w:highlight w:val="none"/>
          <w:lang w:val="en-US" w:eastAsia="zh-CN"/>
        </w:rPr>
      </w:pPr>
      <w:r>
        <w:rPr>
          <w:rFonts w:hint="eastAsia" w:ascii="宋体" w:hAnsi="宋体" w:eastAsia="宋体" w:cs="宋体"/>
          <w:highlight w:val="none"/>
          <w:lang w:val="en-US" w:eastAsia="zh-CN"/>
        </w:rPr>
        <w:t>实行廉政建设一票否决制。服务期内，采购人若发现中标人或中标人服务人员有弄虚作假、玩忽职守、徇私舞弊等违规违纪现象，或与建设、施工、设计、监理、编制、核对、全过程造价咨询、材料设备供应商等单位串通，违反诚实信用和投标承诺，或利用评审之便，谋取不正当利益以及一切非法利益或损害采购人利益的，一经查实，采购人有权终止服务合同，将违法违规情况移交相关部门处理，对所造成的损失依法追究其责任。</w:t>
      </w:r>
    </w:p>
    <w:p w14:paraId="550E658B">
      <w:pPr>
        <w:numPr>
          <w:ilvl w:val="0"/>
          <w:numId w:val="2"/>
        </w:numPr>
        <w:ind w:left="0" w:leftChars="0" w:firstLine="420" w:firstLineChars="200"/>
        <w:rPr>
          <w:rFonts w:hint="eastAsia" w:ascii="宋体" w:hAnsi="宋体" w:eastAsia="宋体" w:cs="宋体"/>
          <w:highlight w:val="none"/>
          <w:lang w:val="en-US" w:eastAsia="zh-CN"/>
        </w:rPr>
      </w:pPr>
      <w:r>
        <w:rPr>
          <w:rFonts w:hint="eastAsia" w:ascii="宋体" w:hAnsi="宋体" w:eastAsia="宋体" w:cs="宋体"/>
          <w:highlight w:val="none"/>
          <w:lang w:val="en-US" w:eastAsia="zh-CN"/>
        </w:rPr>
        <w:t>中标人出具审核报告终稿的审核人、复核人须具有与项目行业对应(或项目主要部分专业)的一级造价师盖章。</w:t>
      </w:r>
    </w:p>
    <w:p w14:paraId="0E2E61D3">
      <w:pPr>
        <w:numPr>
          <w:ilvl w:val="0"/>
          <w:numId w:val="2"/>
        </w:numPr>
        <w:ind w:left="0" w:leftChars="0" w:firstLine="420" w:firstLineChars="200"/>
        <w:rPr>
          <w:rFonts w:hint="eastAsia" w:ascii="宋体" w:hAnsi="宋体" w:eastAsia="宋体" w:cs="宋体"/>
          <w:highlight w:val="none"/>
          <w:lang w:val="en-US" w:eastAsia="zh-CN"/>
        </w:rPr>
      </w:pPr>
      <w:r>
        <w:rPr>
          <w:rFonts w:hint="eastAsia" w:ascii="宋体" w:hAnsi="宋体" w:eastAsia="宋体" w:cs="宋体"/>
          <w:highlight w:val="none"/>
          <w:lang w:val="en-US" w:eastAsia="zh-CN"/>
        </w:rPr>
        <w:t>对中标人出现的其他严重违法违规行为，采购人有权终止服务合同，追究其相关的法律和经济责任，所造成的一切损失由其负责。</w:t>
      </w:r>
    </w:p>
    <w:p w14:paraId="7D019341">
      <w:pPr>
        <w:numPr>
          <w:ilvl w:val="0"/>
          <w:numId w:val="2"/>
        </w:numPr>
        <w:ind w:left="0" w:leftChars="0" w:firstLine="420" w:firstLineChars="200"/>
        <w:rPr>
          <w:rFonts w:hint="eastAsia" w:ascii="宋体" w:hAnsi="宋体" w:eastAsia="宋体" w:cs="宋体"/>
          <w:highlight w:val="none"/>
          <w:lang w:val="en-US" w:eastAsia="zh-CN"/>
        </w:rPr>
      </w:pPr>
      <w:r>
        <w:rPr>
          <w:rFonts w:hint="eastAsia" w:ascii="宋体" w:hAnsi="宋体" w:eastAsia="宋体" w:cs="宋体"/>
          <w:highlight w:val="none"/>
          <w:lang w:val="en-US" w:eastAsia="zh-CN"/>
        </w:rPr>
        <w:t>服务期内，采购人如对投资评审管理办法有调整的，中标人须按调整后的投资评审管理办法提供服务。如因该等调整导致中标人服务成本显著增加或服务方式发生重大变化的，双方应协商调整服务费用或服务方式；协商不成的，任何一方均有权无责解除合同。</w:t>
      </w:r>
    </w:p>
    <w:p w14:paraId="0A2BCE2D">
      <w:pPr>
        <w:numPr>
          <w:ilvl w:val="0"/>
          <w:numId w:val="1"/>
        </w:numPr>
        <w:ind w:left="0" w:leftChars="0" w:firstLine="422" w:firstLineChars="200"/>
        <w:rPr>
          <w:rFonts w:hint="eastAsia" w:ascii="宋体" w:hAnsi="宋体" w:eastAsia="宋体" w:cs="宋体"/>
          <w:b/>
          <w:bCs/>
          <w:highlight w:val="none"/>
          <w:lang w:val="en-US" w:eastAsia="zh-CN"/>
        </w:rPr>
      </w:pPr>
      <w:r>
        <w:rPr>
          <w:rFonts w:hint="eastAsia" w:ascii="宋体" w:hAnsi="宋体" w:eastAsia="宋体" w:cs="宋体"/>
          <w:b/>
          <w:bCs/>
          <w:highlight w:val="none"/>
          <w:lang w:val="en-US" w:eastAsia="zh-CN"/>
        </w:rPr>
        <w:t>服务时限要求</w:t>
      </w:r>
    </w:p>
    <w:p w14:paraId="01D4A16C">
      <w:pPr>
        <w:ind w:left="0" w:leftChars="0" w:firstLine="420" w:firstLineChars="200"/>
        <w:rPr>
          <w:rFonts w:hint="eastAsia" w:ascii="宋体" w:hAnsi="宋体" w:eastAsia="宋体" w:cs="宋体"/>
          <w:highlight w:val="none"/>
          <w:lang w:val="en-US" w:eastAsia="zh-CN"/>
        </w:rPr>
      </w:pPr>
      <w:r>
        <w:rPr>
          <w:rFonts w:hint="eastAsia" w:ascii="宋体" w:hAnsi="宋体" w:eastAsia="宋体" w:cs="宋体"/>
          <w:highlight w:val="none"/>
          <w:lang w:val="en-US" w:eastAsia="zh-CN"/>
        </w:rPr>
        <w:t>1.概算审核项目审核完成时限</w:t>
      </w:r>
    </w:p>
    <w:p w14:paraId="5A120EA3">
      <w:pPr>
        <w:ind w:left="0" w:leftChars="0" w:firstLine="420" w:firstLineChars="200"/>
        <w:rPr>
          <w:rFonts w:hint="eastAsia" w:ascii="宋体" w:hAnsi="宋体" w:eastAsia="宋体" w:cs="宋体"/>
          <w:highlight w:val="none"/>
          <w:lang w:val="en-US" w:eastAsia="zh-CN"/>
        </w:rPr>
      </w:pPr>
      <w:r>
        <w:rPr>
          <w:rFonts w:hint="eastAsia" w:ascii="宋体" w:hAnsi="宋体" w:eastAsia="宋体" w:cs="宋体"/>
          <w:highlight w:val="none"/>
          <w:lang w:val="en-US" w:eastAsia="zh-CN"/>
        </w:rPr>
        <w:t>中标人的审核初稿用时在采购人通知取件后下一个工作日开始计算，且整个评审过程只允许出具2次修订稿，审核用时以双方签收记录为准。审核完成时限详见下表：</w:t>
      </w:r>
    </w:p>
    <w:tbl>
      <w:tblPr>
        <w:tblStyle w:val="3"/>
        <w:tblW w:w="4997" w:type="pct"/>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635"/>
        <w:gridCol w:w="1714"/>
        <w:gridCol w:w="1334"/>
        <w:gridCol w:w="1298"/>
        <w:gridCol w:w="1298"/>
        <w:gridCol w:w="1262"/>
        <w:gridCol w:w="970"/>
      </w:tblGrid>
      <w:tr w14:paraId="5547E4D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73" w:type="pct"/>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116DADB3">
            <w:pPr>
              <w:pStyle w:val="5"/>
              <w:jc w:val="center"/>
              <w:rPr>
                <w:rFonts w:hint="eastAsia" w:ascii="宋体" w:hAnsi="宋体" w:eastAsia="宋体" w:cs="宋体"/>
                <w:highlight w:val="none"/>
              </w:rPr>
            </w:pPr>
            <w:r>
              <w:rPr>
                <w:rFonts w:hint="eastAsia" w:ascii="宋体" w:hAnsi="宋体" w:eastAsia="宋体" w:cs="宋体"/>
                <w:sz w:val="21"/>
                <w:highlight w:val="none"/>
              </w:rPr>
              <w:t>序号</w:t>
            </w:r>
          </w:p>
        </w:tc>
        <w:tc>
          <w:tcPr>
            <w:tcW w:w="1006" w:type="pct"/>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56D8D1E0">
            <w:pPr>
              <w:pStyle w:val="5"/>
              <w:jc w:val="center"/>
              <w:rPr>
                <w:rFonts w:hint="eastAsia" w:ascii="宋体" w:hAnsi="宋体" w:eastAsia="宋体" w:cs="宋体"/>
                <w:highlight w:val="none"/>
              </w:rPr>
            </w:pPr>
            <w:r>
              <w:rPr>
                <w:rFonts w:hint="eastAsia" w:ascii="宋体" w:hAnsi="宋体" w:eastAsia="宋体" w:cs="宋体"/>
                <w:sz w:val="21"/>
                <w:highlight w:val="none"/>
              </w:rPr>
              <w:t>项目造价</w:t>
            </w:r>
          </w:p>
        </w:tc>
        <w:tc>
          <w:tcPr>
            <w:tcW w:w="783" w:type="pct"/>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131AD7FD">
            <w:pPr>
              <w:pStyle w:val="5"/>
              <w:jc w:val="center"/>
              <w:rPr>
                <w:rFonts w:hint="eastAsia" w:ascii="宋体" w:hAnsi="宋体" w:eastAsia="宋体" w:cs="宋体"/>
                <w:highlight w:val="none"/>
              </w:rPr>
            </w:pPr>
            <w:r>
              <w:rPr>
                <w:rFonts w:hint="eastAsia" w:ascii="宋体" w:hAnsi="宋体" w:eastAsia="宋体" w:cs="宋体"/>
                <w:sz w:val="21"/>
                <w:highlight w:val="none"/>
              </w:rPr>
              <w:t>初稿审核时限</w:t>
            </w:r>
          </w:p>
        </w:tc>
        <w:tc>
          <w:tcPr>
            <w:tcW w:w="762" w:type="pct"/>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5599DFBE">
            <w:pPr>
              <w:pStyle w:val="5"/>
              <w:jc w:val="center"/>
              <w:rPr>
                <w:rFonts w:hint="eastAsia" w:ascii="宋体" w:hAnsi="宋体" w:eastAsia="宋体" w:cs="宋体"/>
                <w:highlight w:val="none"/>
              </w:rPr>
            </w:pPr>
            <w:r>
              <w:rPr>
                <w:rFonts w:hint="eastAsia" w:ascii="宋体" w:hAnsi="宋体" w:eastAsia="宋体" w:cs="宋体"/>
                <w:sz w:val="21"/>
                <w:highlight w:val="none"/>
              </w:rPr>
              <w:t>修订1稿出具时限</w:t>
            </w:r>
          </w:p>
        </w:tc>
        <w:tc>
          <w:tcPr>
            <w:tcW w:w="762" w:type="pct"/>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14F432FC">
            <w:pPr>
              <w:pStyle w:val="5"/>
              <w:jc w:val="center"/>
              <w:rPr>
                <w:rFonts w:hint="eastAsia" w:ascii="宋体" w:hAnsi="宋体" w:eastAsia="宋体" w:cs="宋体"/>
                <w:highlight w:val="none"/>
              </w:rPr>
            </w:pPr>
            <w:r>
              <w:rPr>
                <w:rFonts w:hint="eastAsia" w:ascii="宋体" w:hAnsi="宋体" w:eastAsia="宋体" w:cs="宋体"/>
                <w:sz w:val="21"/>
                <w:highlight w:val="none"/>
              </w:rPr>
              <w:t>修订2稿出具时限</w:t>
            </w:r>
          </w:p>
        </w:tc>
        <w:tc>
          <w:tcPr>
            <w:tcW w:w="741" w:type="pct"/>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6768BBF3">
            <w:pPr>
              <w:pStyle w:val="5"/>
              <w:jc w:val="center"/>
              <w:rPr>
                <w:rFonts w:hint="eastAsia" w:ascii="宋体" w:hAnsi="宋体" w:eastAsia="宋体" w:cs="宋体"/>
                <w:highlight w:val="none"/>
              </w:rPr>
            </w:pPr>
            <w:r>
              <w:rPr>
                <w:rFonts w:hint="eastAsia" w:ascii="宋体" w:hAnsi="宋体" w:eastAsia="宋体" w:cs="宋体"/>
                <w:sz w:val="21"/>
                <w:highlight w:val="none"/>
              </w:rPr>
              <w:t>终稿出具时限</w:t>
            </w:r>
          </w:p>
        </w:tc>
        <w:tc>
          <w:tcPr>
            <w:tcW w:w="569" w:type="pct"/>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661D9DBE">
            <w:pPr>
              <w:pStyle w:val="5"/>
              <w:jc w:val="center"/>
              <w:rPr>
                <w:rFonts w:hint="eastAsia" w:ascii="宋体" w:hAnsi="宋体" w:eastAsia="宋体" w:cs="宋体"/>
                <w:highlight w:val="none"/>
              </w:rPr>
            </w:pPr>
            <w:r>
              <w:rPr>
                <w:rFonts w:hint="eastAsia" w:ascii="宋体" w:hAnsi="宋体" w:eastAsia="宋体" w:cs="宋体"/>
                <w:sz w:val="21"/>
                <w:highlight w:val="none"/>
              </w:rPr>
              <w:t>纸质正稿出具时限</w:t>
            </w:r>
          </w:p>
        </w:tc>
      </w:tr>
      <w:tr w14:paraId="61F5E56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73"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869E0F6">
            <w:pPr>
              <w:pStyle w:val="5"/>
              <w:jc w:val="center"/>
              <w:rPr>
                <w:rFonts w:hint="eastAsia" w:ascii="宋体" w:hAnsi="宋体" w:eastAsia="宋体" w:cs="宋体"/>
                <w:highlight w:val="none"/>
              </w:rPr>
            </w:pPr>
            <w:r>
              <w:rPr>
                <w:rFonts w:hint="eastAsia" w:ascii="宋体" w:hAnsi="宋体" w:eastAsia="宋体" w:cs="宋体"/>
                <w:sz w:val="21"/>
                <w:highlight w:val="none"/>
              </w:rPr>
              <w:t>1</w:t>
            </w:r>
          </w:p>
        </w:tc>
        <w:tc>
          <w:tcPr>
            <w:tcW w:w="1006"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D3FE593">
            <w:pPr>
              <w:pStyle w:val="5"/>
              <w:jc w:val="center"/>
              <w:rPr>
                <w:rFonts w:hint="eastAsia" w:ascii="宋体" w:hAnsi="宋体" w:eastAsia="宋体" w:cs="宋体"/>
                <w:highlight w:val="none"/>
              </w:rPr>
            </w:pPr>
            <w:r>
              <w:rPr>
                <w:rFonts w:hint="eastAsia" w:ascii="宋体" w:hAnsi="宋体" w:eastAsia="宋体" w:cs="宋体"/>
                <w:sz w:val="21"/>
                <w:highlight w:val="none"/>
              </w:rPr>
              <w:t>人民币500万元以下</w:t>
            </w:r>
          </w:p>
        </w:tc>
        <w:tc>
          <w:tcPr>
            <w:tcW w:w="783"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29094A3">
            <w:pPr>
              <w:pStyle w:val="5"/>
              <w:jc w:val="center"/>
              <w:rPr>
                <w:rFonts w:hint="eastAsia" w:ascii="宋体" w:hAnsi="宋体" w:eastAsia="宋体" w:cs="宋体"/>
                <w:highlight w:val="none"/>
              </w:rPr>
            </w:pPr>
            <w:r>
              <w:rPr>
                <w:rFonts w:hint="eastAsia" w:ascii="宋体" w:hAnsi="宋体" w:eastAsia="宋体" w:cs="宋体"/>
                <w:sz w:val="21"/>
                <w:highlight w:val="none"/>
              </w:rPr>
              <w:t>5个工作日</w:t>
            </w:r>
          </w:p>
        </w:tc>
        <w:tc>
          <w:tcPr>
            <w:tcW w:w="762"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7E08970">
            <w:pPr>
              <w:pStyle w:val="5"/>
              <w:jc w:val="center"/>
              <w:rPr>
                <w:rFonts w:hint="eastAsia" w:ascii="宋体" w:hAnsi="宋体" w:eastAsia="宋体" w:cs="宋体"/>
                <w:highlight w:val="none"/>
              </w:rPr>
            </w:pPr>
            <w:r>
              <w:rPr>
                <w:rFonts w:hint="eastAsia" w:ascii="宋体" w:hAnsi="宋体" w:eastAsia="宋体" w:cs="宋体"/>
                <w:sz w:val="21"/>
                <w:highlight w:val="none"/>
              </w:rPr>
              <w:t>接收到建设单位回复初稿意见后的次日起2个工作日内出具修订1稿</w:t>
            </w:r>
          </w:p>
        </w:tc>
        <w:tc>
          <w:tcPr>
            <w:tcW w:w="762"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BE7C0BA">
            <w:pPr>
              <w:pStyle w:val="5"/>
              <w:jc w:val="center"/>
              <w:rPr>
                <w:rFonts w:hint="eastAsia" w:ascii="宋体" w:hAnsi="宋体" w:eastAsia="宋体" w:cs="宋体"/>
                <w:highlight w:val="none"/>
              </w:rPr>
            </w:pPr>
            <w:r>
              <w:rPr>
                <w:rFonts w:hint="eastAsia" w:ascii="宋体" w:hAnsi="宋体" w:eastAsia="宋体" w:cs="宋体"/>
                <w:sz w:val="21"/>
                <w:highlight w:val="none"/>
              </w:rPr>
              <w:t>接收到建设单位回复修订1稿意见后的次日起2个工作日内出具修订2稿</w:t>
            </w:r>
          </w:p>
        </w:tc>
        <w:tc>
          <w:tcPr>
            <w:tcW w:w="741"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A8C3ADC">
            <w:pPr>
              <w:pStyle w:val="5"/>
              <w:jc w:val="center"/>
              <w:rPr>
                <w:rFonts w:hint="eastAsia" w:ascii="宋体" w:hAnsi="宋体" w:eastAsia="宋体" w:cs="宋体"/>
                <w:highlight w:val="none"/>
              </w:rPr>
            </w:pPr>
            <w:r>
              <w:rPr>
                <w:rFonts w:hint="eastAsia" w:ascii="宋体" w:hAnsi="宋体" w:eastAsia="宋体" w:cs="宋体"/>
                <w:sz w:val="21"/>
                <w:highlight w:val="none"/>
              </w:rPr>
              <w:t>接收到建设单位回复修订2稿意见后的次日起2个工作日内出具终稿</w:t>
            </w:r>
          </w:p>
        </w:tc>
        <w:tc>
          <w:tcPr>
            <w:tcW w:w="569"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107F90D">
            <w:pPr>
              <w:pStyle w:val="5"/>
              <w:jc w:val="center"/>
              <w:rPr>
                <w:rFonts w:hint="eastAsia" w:ascii="宋体" w:hAnsi="宋体" w:eastAsia="宋体" w:cs="宋体"/>
                <w:highlight w:val="none"/>
              </w:rPr>
            </w:pPr>
            <w:r>
              <w:rPr>
                <w:rFonts w:hint="eastAsia" w:ascii="宋体" w:hAnsi="宋体" w:eastAsia="宋体" w:cs="宋体"/>
                <w:sz w:val="21"/>
                <w:highlight w:val="none"/>
              </w:rPr>
              <w:t>3个工作日内</w:t>
            </w:r>
          </w:p>
        </w:tc>
      </w:tr>
      <w:tr w14:paraId="1C8040E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73"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1BB0C62">
            <w:pPr>
              <w:pStyle w:val="5"/>
              <w:jc w:val="center"/>
              <w:rPr>
                <w:rFonts w:hint="eastAsia" w:ascii="宋体" w:hAnsi="宋体" w:eastAsia="宋体" w:cs="宋体"/>
                <w:highlight w:val="none"/>
              </w:rPr>
            </w:pPr>
            <w:r>
              <w:rPr>
                <w:rFonts w:hint="eastAsia" w:ascii="宋体" w:hAnsi="宋体" w:eastAsia="宋体" w:cs="宋体"/>
                <w:sz w:val="21"/>
                <w:highlight w:val="none"/>
              </w:rPr>
              <w:t>2</w:t>
            </w:r>
          </w:p>
        </w:tc>
        <w:tc>
          <w:tcPr>
            <w:tcW w:w="1006"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3E9B981">
            <w:pPr>
              <w:pStyle w:val="5"/>
              <w:jc w:val="center"/>
              <w:rPr>
                <w:rFonts w:hint="eastAsia" w:ascii="宋体" w:hAnsi="宋体" w:eastAsia="宋体" w:cs="宋体"/>
                <w:highlight w:val="none"/>
              </w:rPr>
            </w:pPr>
            <w:r>
              <w:rPr>
                <w:rFonts w:hint="eastAsia" w:ascii="宋体" w:hAnsi="宋体" w:eastAsia="宋体" w:cs="宋体"/>
                <w:sz w:val="21"/>
                <w:highlight w:val="none"/>
              </w:rPr>
              <w:t>人民币500万元（含）—人民币3,000万元以下</w:t>
            </w:r>
          </w:p>
        </w:tc>
        <w:tc>
          <w:tcPr>
            <w:tcW w:w="783"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9614EDD">
            <w:pPr>
              <w:pStyle w:val="5"/>
              <w:jc w:val="center"/>
              <w:rPr>
                <w:rFonts w:hint="eastAsia" w:ascii="宋体" w:hAnsi="宋体" w:eastAsia="宋体" w:cs="宋体"/>
                <w:highlight w:val="none"/>
              </w:rPr>
            </w:pPr>
            <w:r>
              <w:rPr>
                <w:rFonts w:hint="eastAsia" w:ascii="宋体" w:hAnsi="宋体" w:eastAsia="宋体" w:cs="宋体"/>
                <w:sz w:val="21"/>
                <w:highlight w:val="none"/>
              </w:rPr>
              <w:t>8个工作日</w:t>
            </w:r>
          </w:p>
        </w:tc>
        <w:tc>
          <w:tcPr>
            <w:tcW w:w="762"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B9F1547">
            <w:pPr>
              <w:pStyle w:val="5"/>
              <w:jc w:val="center"/>
              <w:rPr>
                <w:rFonts w:hint="eastAsia" w:ascii="宋体" w:hAnsi="宋体" w:eastAsia="宋体" w:cs="宋体"/>
                <w:highlight w:val="none"/>
              </w:rPr>
            </w:pPr>
            <w:r>
              <w:rPr>
                <w:rFonts w:hint="eastAsia" w:ascii="宋体" w:hAnsi="宋体" w:eastAsia="宋体" w:cs="宋体"/>
                <w:sz w:val="21"/>
                <w:highlight w:val="none"/>
              </w:rPr>
              <w:t>接收到建设单位回复初稿意见后的次日起3个工作日内出具修订1稿</w:t>
            </w:r>
          </w:p>
        </w:tc>
        <w:tc>
          <w:tcPr>
            <w:tcW w:w="762"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8B81157">
            <w:pPr>
              <w:pStyle w:val="5"/>
              <w:jc w:val="center"/>
              <w:rPr>
                <w:rFonts w:hint="eastAsia" w:ascii="宋体" w:hAnsi="宋体" w:eastAsia="宋体" w:cs="宋体"/>
                <w:highlight w:val="none"/>
              </w:rPr>
            </w:pPr>
            <w:r>
              <w:rPr>
                <w:rFonts w:hint="eastAsia" w:ascii="宋体" w:hAnsi="宋体" w:eastAsia="宋体" w:cs="宋体"/>
                <w:sz w:val="21"/>
                <w:highlight w:val="none"/>
              </w:rPr>
              <w:t>接收到建设单位回复修订1稿意见后的次日起3个工作日内出具修订2稿</w:t>
            </w:r>
          </w:p>
        </w:tc>
        <w:tc>
          <w:tcPr>
            <w:tcW w:w="741"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2FD3701">
            <w:pPr>
              <w:pStyle w:val="5"/>
              <w:jc w:val="center"/>
              <w:rPr>
                <w:rFonts w:hint="eastAsia" w:ascii="宋体" w:hAnsi="宋体" w:eastAsia="宋体" w:cs="宋体"/>
                <w:highlight w:val="none"/>
              </w:rPr>
            </w:pPr>
            <w:r>
              <w:rPr>
                <w:rFonts w:hint="eastAsia" w:ascii="宋体" w:hAnsi="宋体" w:eastAsia="宋体" w:cs="宋体"/>
                <w:sz w:val="21"/>
                <w:highlight w:val="none"/>
              </w:rPr>
              <w:t>接收到建设单位回复修订2稿意见后的次日起3个工作日内出具终稿</w:t>
            </w:r>
          </w:p>
        </w:tc>
        <w:tc>
          <w:tcPr>
            <w:tcW w:w="569"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39E7831">
            <w:pPr>
              <w:pStyle w:val="5"/>
              <w:jc w:val="center"/>
              <w:rPr>
                <w:rFonts w:hint="eastAsia" w:ascii="宋体" w:hAnsi="宋体" w:eastAsia="宋体" w:cs="宋体"/>
                <w:highlight w:val="none"/>
              </w:rPr>
            </w:pPr>
            <w:r>
              <w:rPr>
                <w:rFonts w:hint="eastAsia" w:ascii="宋体" w:hAnsi="宋体" w:eastAsia="宋体" w:cs="宋体"/>
                <w:sz w:val="21"/>
                <w:highlight w:val="none"/>
              </w:rPr>
              <w:t>3个工作日内</w:t>
            </w:r>
          </w:p>
        </w:tc>
      </w:tr>
      <w:tr w14:paraId="1515347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73"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E202356">
            <w:pPr>
              <w:pStyle w:val="5"/>
              <w:jc w:val="center"/>
              <w:rPr>
                <w:rFonts w:hint="eastAsia" w:ascii="宋体" w:hAnsi="宋体" w:eastAsia="宋体" w:cs="宋体"/>
                <w:highlight w:val="none"/>
              </w:rPr>
            </w:pPr>
            <w:r>
              <w:rPr>
                <w:rFonts w:hint="eastAsia" w:ascii="宋体" w:hAnsi="宋体" w:eastAsia="宋体" w:cs="宋体"/>
                <w:sz w:val="21"/>
                <w:highlight w:val="none"/>
              </w:rPr>
              <w:t>3</w:t>
            </w:r>
          </w:p>
        </w:tc>
        <w:tc>
          <w:tcPr>
            <w:tcW w:w="1006"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34E776F">
            <w:pPr>
              <w:pStyle w:val="5"/>
              <w:jc w:val="center"/>
              <w:rPr>
                <w:rFonts w:hint="eastAsia" w:ascii="宋体" w:hAnsi="宋体" w:eastAsia="宋体" w:cs="宋体"/>
                <w:highlight w:val="none"/>
              </w:rPr>
            </w:pPr>
            <w:r>
              <w:rPr>
                <w:rFonts w:hint="eastAsia" w:ascii="宋体" w:hAnsi="宋体" w:eastAsia="宋体" w:cs="宋体"/>
                <w:sz w:val="21"/>
                <w:highlight w:val="none"/>
              </w:rPr>
              <w:t>人民币3,000万元（含）—人民币10,000万元以下</w:t>
            </w:r>
          </w:p>
        </w:tc>
        <w:tc>
          <w:tcPr>
            <w:tcW w:w="783"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21D8BD7">
            <w:pPr>
              <w:pStyle w:val="5"/>
              <w:jc w:val="center"/>
              <w:rPr>
                <w:rFonts w:hint="eastAsia" w:ascii="宋体" w:hAnsi="宋体" w:eastAsia="宋体" w:cs="宋体"/>
                <w:highlight w:val="none"/>
              </w:rPr>
            </w:pPr>
            <w:r>
              <w:rPr>
                <w:rFonts w:hint="eastAsia" w:ascii="宋体" w:hAnsi="宋体" w:eastAsia="宋体" w:cs="宋体"/>
                <w:sz w:val="21"/>
                <w:highlight w:val="none"/>
              </w:rPr>
              <w:t>10个工作日</w:t>
            </w:r>
          </w:p>
        </w:tc>
        <w:tc>
          <w:tcPr>
            <w:tcW w:w="762"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809E5C2">
            <w:pPr>
              <w:pStyle w:val="5"/>
              <w:jc w:val="center"/>
              <w:rPr>
                <w:rFonts w:hint="eastAsia" w:ascii="宋体" w:hAnsi="宋体" w:eastAsia="宋体" w:cs="宋体"/>
                <w:highlight w:val="none"/>
              </w:rPr>
            </w:pPr>
            <w:r>
              <w:rPr>
                <w:rFonts w:hint="eastAsia" w:ascii="宋体" w:hAnsi="宋体" w:eastAsia="宋体" w:cs="宋体"/>
                <w:sz w:val="21"/>
                <w:highlight w:val="none"/>
              </w:rPr>
              <w:t>接收到建设单位回复初稿意见后的次日起5个工作日内出具修订1稿</w:t>
            </w:r>
          </w:p>
        </w:tc>
        <w:tc>
          <w:tcPr>
            <w:tcW w:w="762"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19B61C7">
            <w:pPr>
              <w:pStyle w:val="5"/>
              <w:jc w:val="center"/>
              <w:rPr>
                <w:rFonts w:hint="eastAsia" w:ascii="宋体" w:hAnsi="宋体" w:eastAsia="宋体" w:cs="宋体"/>
                <w:highlight w:val="none"/>
              </w:rPr>
            </w:pPr>
            <w:r>
              <w:rPr>
                <w:rFonts w:hint="eastAsia" w:ascii="宋体" w:hAnsi="宋体" w:eastAsia="宋体" w:cs="宋体"/>
                <w:sz w:val="21"/>
                <w:highlight w:val="none"/>
              </w:rPr>
              <w:t>接收到建设单位回复修订1稿意见后的次日起5个工作日内出具修订2稿</w:t>
            </w:r>
          </w:p>
        </w:tc>
        <w:tc>
          <w:tcPr>
            <w:tcW w:w="741"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7A665E3">
            <w:pPr>
              <w:pStyle w:val="5"/>
              <w:jc w:val="center"/>
              <w:rPr>
                <w:rFonts w:hint="eastAsia" w:ascii="宋体" w:hAnsi="宋体" w:eastAsia="宋体" w:cs="宋体"/>
                <w:highlight w:val="none"/>
              </w:rPr>
            </w:pPr>
            <w:r>
              <w:rPr>
                <w:rFonts w:hint="eastAsia" w:ascii="宋体" w:hAnsi="宋体" w:eastAsia="宋体" w:cs="宋体"/>
                <w:sz w:val="21"/>
                <w:highlight w:val="none"/>
              </w:rPr>
              <w:t>接收到建设单位回复修订2稿意见后的次日起5个工作日内出具终稿</w:t>
            </w:r>
          </w:p>
        </w:tc>
        <w:tc>
          <w:tcPr>
            <w:tcW w:w="569"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8D82839">
            <w:pPr>
              <w:pStyle w:val="5"/>
              <w:jc w:val="center"/>
              <w:rPr>
                <w:rFonts w:hint="eastAsia" w:ascii="宋体" w:hAnsi="宋体" w:eastAsia="宋体" w:cs="宋体"/>
                <w:highlight w:val="none"/>
              </w:rPr>
            </w:pPr>
            <w:r>
              <w:rPr>
                <w:rFonts w:hint="eastAsia" w:ascii="宋体" w:hAnsi="宋体" w:eastAsia="宋体" w:cs="宋体"/>
                <w:sz w:val="21"/>
                <w:highlight w:val="none"/>
              </w:rPr>
              <w:t>3个工作日内</w:t>
            </w:r>
          </w:p>
        </w:tc>
      </w:tr>
      <w:tr w14:paraId="55DD714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73"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EF51FD7">
            <w:pPr>
              <w:pStyle w:val="5"/>
              <w:jc w:val="center"/>
              <w:rPr>
                <w:rFonts w:hint="eastAsia" w:ascii="宋体" w:hAnsi="宋体" w:eastAsia="宋体" w:cs="宋体"/>
                <w:highlight w:val="none"/>
              </w:rPr>
            </w:pPr>
            <w:r>
              <w:rPr>
                <w:rFonts w:hint="eastAsia" w:ascii="宋体" w:hAnsi="宋体" w:eastAsia="宋体" w:cs="宋体"/>
                <w:sz w:val="21"/>
                <w:highlight w:val="none"/>
              </w:rPr>
              <w:t>4</w:t>
            </w:r>
          </w:p>
        </w:tc>
        <w:tc>
          <w:tcPr>
            <w:tcW w:w="1006"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E957194">
            <w:pPr>
              <w:pStyle w:val="5"/>
              <w:jc w:val="center"/>
              <w:rPr>
                <w:rFonts w:hint="eastAsia" w:ascii="宋体" w:hAnsi="宋体" w:eastAsia="宋体" w:cs="宋体"/>
                <w:highlight w:val="none"/>
              </w:rPr>
            </w:pPr>
            <w:r>
              <w:rPr>
                <w:rFonts w:hint="eastAsia" w:ascii="宋体" w:hAnsi="宋体" w:eastAsia="宋体" w:cs="宋体"/>
                <w:sz w:val="21"/>
                <w:highlight w:val="none"/>
              </w:rPr>
              <w:t>人民币10,000万元以上(含）</w:t>
            </w:r>
          </w:p>
        </w:tc>
        <w:tc>
          <w:tcPr>
            <w:tcW w:w="783"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6EA4696">
            <w:pPr>
              <w:pStyle w:val="5"/>
              <w:jc w:val="center"/>
              <w:rPr>
                <w:rFonts w:hint="eastAsia" w:ascii="宋体" w:hAnsi="宋体" w:eastAsia="宋体" w:cs="宋体"/>
                <w:highlight w:val="none"/>
              </w:rPr>
            </w:pPr>
            <w:r>
              <w:rPr>
                <w:rFonts w:hint="eastAsia" w:ascii="宋体" w:hAnsi="宋体" w:eastAsia="宋体" w:cs="宋体"/>
                <w:sz w:val="21"/>
                <w:highlight w:val="none"/>
              </w:rPr>
              <w:t>14个工作日</w:t>
            </w:r>
          </w:p>
        </w:tc>
        <w:tc>
          <w:tcPr>
            <w:tcW w:w="762"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C6C90DC">
            <w:pPr>
              <w:pStyle w:val="5"/>
              <w:jc w:val="center"/>
              <w:rPr>
                <w:rFonts w:hint="eastAsia" w:ascii="宋体" w:hAnsi="宋体" w:eastAsia="宋体" w:cs="宋体"/>
                <w:highlight w:val="none"/>
              </w:rPr>
            </w:pPr>
            <w:r>
              <w:rPr>
                <w:rFonts w:hint="eastAsia" w:ascii="宋体" w:hAnsi="宋体" w:eastAsia="宋体" w:cs="宋体"/>
                <w:sz w:val="21"/>
                <w:highlight w:val="none"/>
              </w:rPr>
              <w:t>接收到建设单位回复初稿意见后的次日起7个工作日内出具修订1稿</w:t>
            </w:r>
          </w:p>
        </w:tc>
        <w:tc>
          <w:tcPr>
            <w:tcW w:w="762"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1D26210">
            <w:pPr>
              <w:pStyle w:val="5"/>
              <w:jc w:val="center"/>
              <w:rPr>
                <w:rFonts w:hint="eastAsia" w:ascii="宋体" w:hAnsi="宋体" w:eastAsia="宋体" w:cs="宋体"/>
                <w:highlight w:val="none"/>
              </w:rPr>
            </w:pPr>
            <w:r>
              <w:rPr>
                <w:rFonts w:hint="eastAsia" w:ascii="宋体" w:hAnsi="宋体" w:eastAsia="宋体" w:cs="宋体"/>
                <w:sz w:val="21"/>
                <w:highlight w:val="none"/>
              </w:rPr>
              <w:t>接收到建设单位回复修订1稿意见后的次日起7个工作日内出具修订2稿</w:t>
            </w:r>
          </w:p>
        </w:tc>
        <w:tc>
          <w:tcPr>
            <w:tcW w:w="741"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3490518">
            <w:pPr>
              <w:pStyle w:val="5"/>
              <w:jc w:val="center"/>
              <w:rPr>
                <w:rFonts w:hint="eastAsia" w:ascii="宋体" w:hAnsi="宋体" w:eastAsia="宋体" w:cs="宋体"/>
                <w:highlight w:val="none"/>
              </w:rPr>
            </w:pPr>
            <w:r>
              <w:rPr>
                <w:rFonts w:hint="eastAsia" w:ascii="宋体" w:hAnsi="宋体" w:eastAsia="宋体" w:cs="宋体"/>
                <w:sz w:val="21"/>
                <w:highlight w:val="none"/>
              </w:rPr>
              <w:t>接收到建设单位回复修订2稿意见后的次日起7个工作日内出具终稿</w:t>
            </w:r>
          </w:p>
        </w:tc>
        <w:tc>
          <w:tcPr>
            <w:tcW w:w="569"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2272D52">
            <w:pPr>
              <w:pStyle w:val="5"/>
              <w:jc w:val="center"/>
              <w:rPr>
                <w:rFonts w:hint="eastAsia" w:ascii="宋体" w:hAnsi="宋体" w:eastAsia="宋体" w:cs="宋体"/>
                <w:highlight w:val="none"/>
              </w:rPr>
            </w:pPr>
            <w:r>
              <w:rPr>
                <w:rFonts w:hint="eastAsia" w:ascii="宋体" w:hAnsi="宋体" w:eastAsia="宋体" w:cs="宋体"/>
                <w:sz w:val="21"/>
                <w:highlight w:val="none"/>
              </w:rPr>
              <w:t>3个工作日内</w:t>
            </w:r>
          </w:p>
        </w:tc>
      </w:tr>
    </w:tbl>
    <w:p w14:paraId="0AB9B6EC">
      <w:pPr>
        <w:rPr>
          <w:rFonts w:hint="eastAsia" w:ascii="宋体" w:hAnsi="宋体" w:eastAsia="宋体" w:cs="宋体"/>
          <w:highlight w:val="none"/>
          <w:lang w:val="en-US" w:eastAsia="zh-CN"/>
        </w:rPr>
      </w:pPr>
    </w:p>
    <w:p w14:paraId="0D7CF028">
      <w:pPr>
        <w:rPr>
          <w:rFonts w:hint="eastAsia" w:ascii="宋体" w:hAnsi="宋体" w:eastAsia="宋体" w:cs="宋体"/>
          <w:highlight w:val="none"/>
          <w:lang w:val="en-US" w:eastAsia="zh-CN"/>
        </w:rPr>
      </w:pPr>
      <w:r>
        <w:rPr>
          <w:rFonts w:hint="eastAsia" w:ascii="宋体" w:hAnsi="宋体" w:eastAsia="宋体" w:cs="宋体"/>
          <w:highlight w:val="none"/>
          <w:lang w:val="en-US" w:eastAsia="zh-CN"/>
        </w:rPr>
        <w:t>2.竣工财务决算审核项目审核完成时限</w:t>
      </w:r>
    </w:p>
    <w:p w14:paraId="667EA94F">
      <w:pPr>
        <w:rPr>
          <w:rFonts w:hint="eastAsia" w:ascii="宋体" w:hAnsi="宋体" w:eastAsia="宋体" w:cs="宋体"/>
          <w:highlight w:val="none"/>
          <w:lang w:val="en-US" w:eastAsia="zh-CN"/>
        </w:rPr>
      </w:pPr>
      <w:r>
        <w:rPr>
          <w:rFonts w:hint="eastAsia" w:ascii="宋体" w:hAnsi="宋体" w:eastAsia="宋体" w:cs="宋体"/>
          <w:highlight w:val="none"/>
          <w:lang w:val="en-US" w:eastAsia="zh-CN"/>
        </w:rPr>
        <w:t>中标人的审核初稿用时在采购人通知取件后下一个工作日开始计算，且整个评审过程只允许出具2次修订稿，审核用时以双方签收记录为准。审核完成时限详见下表：</w:t>
      </w:r>
    </w:p>
    <w:tbl>
      <w:tblPr>
        <w:tblStyle w:val="3"/>
        <w:tblW w:w="4998" w:type="pct"/>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634"/>
        <w:gridCol w:w="1589"/>
        <w:gridCol w:w="1470"/>
        <w:gridCol w:w="1281"/>
        <w:gridCol w:w="1281"/>
        <w:gridCol w:w="1128"/>
        <w:gridCol w:w="1130"/>
      </w:tblGrid>
      <w:tr w14:paraId="3CD87AE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72" w:type="pct"/>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205E6BE7">
            <w:pPr>
              <w:pStyle w:val="5"/>
              <w:jc w:val="center"/>
              <w:rPr>
                <w:rFonts w:hint="eastAsia" w:ascii="宋体" w:hAnsi="宋体" w:eastAsia="宋体" w:cs="宋体"/>
                <w:highlight w:val="none"/>
              </w:rPr>
            </w:pPr>
            <w:r>
              <w:rPr>
                <w:rFonts w:hint="eastAsia" w:ascii="宋体" w:hAnsi="宋体" w:eastAsia="宋体" w:cs="宋体"/>
                <w:sz w:val="21"/>
                <w:highlight w:val="none"/>
              </w:rPr>
              <w:t>序号</w:t>
            </w:r>
          </w:p>
        </w:tc>
        <w:tc>
          <w:tcPr>
            <w:tcW w:w="933" w:type="pct"/>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3117489E">
            <w:pPr>
              <w:pStyle w:val="5"/>
              <w:jc w:val="center"/>
              <w:rPr>
                <w:rFonts w:hint="eastAsia" w:ascii="宋体" w:hAnsi="宋体" w:eastAsia="宋体" w:cs="宋体"/>
                <w:highlight w:val="none"/>
              </w:rPr>
            </w:pPr>
            <w:r>
              <w:rPr>
                <w:rFonts w:hint="eastAsia" w:ascii="宋体" w:hAnsi="宋体" w:eastAsia="宋体" w:cs="宋体"/>
                <w:sz w:val="21"/>
                <w:highlight w:val="none"/>
              </w:rPr>
              <w:t>项目造价</w:t>
            </w:r>
          </w:p>
        </w:tc>
        <w:tc>
          <w:tcPr>
            <w:tcW w:w="863" w:type="pct"/>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28C82D11">
            <w:pPr>
              <w:pStyle w:val="5"/>
              <w:jc w:val="center"/>
              <w:rPr>
                <w:rFonts w:hint="eastAsia" w:ascii="宋体" w:hAnsi="宋体" w:eastAsia="宋体" w:cs="宋体"/>
                <w:highlight w:val="none"/>
              </w:rPr>
            </w:pPr>
            <w:r>
              <w:rPr>
                <w:rFonts w:hint="eastAsia" w:ascii="宋体" w:hAnsi="宋体" w:eastAsia="宋体" w:cs="宋体"/>
                <w:sz w:val="21"/>
                <w:highlight w:val="none"/>
              </w:rPr>
              <w:t>初稿审核时限</w:t>
            </w:r>
          </w:p>
        </w:tc>
        <w:tc>
          <w:tcPr>
            <w:tcW w:w="752" w:type="pct"/>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5D24CC10">
            <w:pPr>
              <w:pStyle w:val="5"/>
              <w:jc w:val="center"/>
              <w:rPr>
                <w:rFonts w:hint="eastAsia" w:ascii="宋体" w:hAnsi="宋体" w:eastAsia="宋体" w:cs="宋体"/>
                <w:highlight w:val="none"/>
              </w:rPr>
            </w:pPr>
            <w:r>
              <w:rPr>
                <w:rFonts w:hint="eastAsia" w:ascii="宋体" w:hAnsi="宋体" w:eastAsia="宋体" w:cs="宋体"/>
                <w:sz w:val="21"/>
                <w:highlight w:val="none"/>
              </w:rPr>
              <w:t>修订1稿出具时限</w:t>
            </w:r>
          </w:p>
        </w:tc>
        <w:tc>
          <w:tcPr>
            <w:tcW w:w="752" w:type="pct"/>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5EEFA380">
            <w:pPr>
              <w:pStyle w:val="5"/>
              <w:jc w:val="center"/>
              <w:rPr>
                <w:rFonts w:hint="eastAsia" w:ascii="宋体" w:hAnsi="宋体" w:eastAsia="宋体" w:cs="宋体"/>
                <w:highlight w:val="none"/>
              </w:rPr>
            </w:pPr>
            <w:r>
              <w:rPr>
                <w:rFonts w:hint="eastAsia" w:ascii="宋体" w:hAnsi="宋体" w:eastAsia="宋体" w:cs="宋体"/>
                <w:sz w:val="21"/>
                <w:highlight w:val="none"/>
              </w:rPr>
              <w:t>修订2稿出具时限</w:t>
            </w:r>
          </w:p>
        </w:tc>
        <w:tc>
          <w:tcPr>
            <w:tcW w:w="662" w:type="pct"/>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60157617">
            <w:pPr>
              <w:pStyle w:val="5"/>
              <w:jc w:val="center"/>
              <w:rPr>
                <w:rFonts w:hint="eastAsia" w:ascii="宋体" w:hAnsi="宋体" w:eastAsia="宋体" w:cs="宋体"/>
                <w:highlight w:val="none"/>
              </w:rPr>
            </w:pPr>
            <w:r>
              <w:rPr>
                <w:rFonts w:hint="eastAsia" w:ascii="宋体" w:hAnsi="宋体" w:eastAsia="宋体" w:cs="宋体"/>
                <w:sz w:val="21"/>
                <w:highlight w:val="none"/>
              </w:rPr>
              <w:t>终稿出具时限</w:t>
            </w:r>
          </w:p>
        </w:tc>
        <w:tc>
          <w:tcPr>
            <w:tcW w:w="663" w:type="pct"/>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5722CF2E">
            <w:pPr>
              <w:pStyle w:val="5"/>
              <w:jc w:val="center"/>
              <w:rPr>
                <w:rFonts w:hint="eastAsia" w:ascii="宋体" w:hAnsi="宋体" w:eastAsia="宋体" w:cs="宋体"/>
                <w:highlight w:val="none"/>
              </w:rPr>
            </w:pPr>
            <w:r>
              <w:rPr>
                <w:rFonts w:hint="eastAsia" w:ascii="宋体" w:hAnsi="宋体" w:eastAsia="宋体" w:cs="宋体"/>
                <w:sz w:val="21"/>
                <w:highlight w:val="none"/>
              </w:rPr>
              <w:t>纸质正稿出具时限</w:t>
            </w:r>
          </w:p>
        </w:tc>
      </w:tr>
      <w:tr w14:paraId="6CB8E7C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72"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7463BD3">
            <w:pPr>
              <w:pStyle w:val="5"/>
              <w:jc w:val="center"/>
              <w:rPr>
                <w:rFonts w:hint="eastAsia" w:ascii="宋体" w:hAnsi="宋体" w:eastAsia="宋体" w:cs="宋体"/>
                <w:highlight w:val="none"/>
              </w:rPr>
            </w:pPr>
            <w:r>
              <w:rPr>
                <w:rFonts w:hint="eastAsia" w:ascii="宋体" w:hAnsi="宋体" w:eastAsia="宋体" w:cs="宋体"/>
                <w:sz w:val="21"/>
                <w:highlight w:val="none"/>
              </w:rPr>
              <w:t>1</w:t>
            </w:r>
          </w:p>
        </w:tc>
        <w:tc>
          <w:tcPr>
            <w:tcW w:w="933"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1EFCE37">
            <w:pPr>
              <w:pStyle w:val="5"/>
              <w:jc w:val="center"/>
              <w:rPr>
                <w:rFonts w:hint="eastAsia" w:ascii="宋体" w:hAnsi="宋体" w:eastAsia="宋体" w:cs="宋体"/>
                <w:highlight w:val="none"/>
              </w:rPr>
            </w:pPr>
            <w:r>
              <w:rPr>
                <w:rFonts w:hint="eastAsia" w:ascii="宋体" w:hAnsi="宋体" w:eastAsia="宋体" w:cs="宋体"/>
                <w:sz w:val="21"/>
                <w:highlight w:val="none"/>
              </w:rPr>
              <w:t>人民币500万元以下</w:t>
            </w:r>
          </w:p>
        </w:tc>
        <w:tc>
          <w:tcPr>
            <w:tcW w:w="863"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AE8AD44">
            <w:pPr>
              <w:pStyle w:val="5"/>
              <w:jc w:val="center"/>
              <w:rPr>
                <w:rFonts w:hint="eastAsia" w:ascii="宋体" w:hAnsi="宋体" w:eastAsia="宋体" w:cs="宋体"/>
                <w:highlight w:val="none"/>
              </w:rPr>
            </w:pPr>
            <w:r>
              <w:rPr>
                <w:rFonts w:hint="eastAsia" w:ascii="宋体" w:hAnsi="宋体" w:eastAsia="宋体" w:cs="宋体"/>
                <w:sz w:val="21"/>
                <w:highlight w:val="none"/>
              </w:rPr>
              <w:t>12个工作日</w:t>
            </w:r>
          </w:p>
        </w:tc>
        <w:tc>
          <w:tcPr>
            <w:tcW w:w="752"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B99EDE3">
            <w:pPr>
              <w:pStyle w:val="5"/>
              <w:jc w:val="center"/>
              <w:rPr>
                <w:rFonts w:hint="eastAsia" w:ascii="宋体" w:hAnsi="宋体" w:eastAsia="宋体" w:cs="宋体"/>
                <w:highlight w:val="none"/>
              </w:rPr>
            </w:pPr>
            <w:r>
              <w:rPr>
                <w:rFonts w:hint="eastAsia" w:ascii="宋体" w:hAnsi="宋体" w:eastAsia="宋体" w:cs="宋体"/>
                <w:sz w:val="21"/>
                <w:highlight w:val="none"/>
              </w:rPr>
              <w:t>接收到建设单位回复初稿意见后的次日起6个工作日内出具修订1稿</w:t>
            </w:r>
          </w:p>
        </w:tc>
        <w:tc>
          <w:tcPr>
            <w:tcW w:w="752"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63D636B">
            <w:pPr>
              <w:pStyle w:val="5"/>
              <w:jc w:val="center"/>
              <w:rPr>
                <w:rFonts w:hint="eastAsia" w:ascii="宋体" w:hAnsi="宋体" w:eastAsia="宋体" w:cs="宋体"/>
                <w:highlight w:val="none"/>
              </w:rPr>
            </w:pPr>
            <w:r>
              <w:rPr>
                <w:rFonts w:hint="eastAsia" w:ascii="宋体" w:hAnsi="宋体" w:eastAsia="宋体" w:cs="宋体"/>
                <w:sz w:val="21"/>
                <w:highlight w:val="none"/>
              </w:rPr>
              <w:t>接收到建设单位回复修订1稿意见后的次日起6个工作日内出具修订2稿</w:t>
            </w:r>
          </w:p>
        </w:tc>
        <w:tc>
          <w:tcPr>
            <w:tcW w:w="662"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DDF28E0">
            <w:pPr>
              <w:pStyle w:val="5"/>
              <w:jc w:val="center"/>
              <w:rPr>
                <w:rFonts w:hint="eastAsia" w:ascii="宋体" w:hAnsi="宋体" w:eastAsia="宋体" w:cs="宋体"/>
                <w:highlight w:val="none"/>
              </w:rPr>
            </w:pPr>
            <w:r>
              <w:rPr>
                <w:rFonts w:hint="eastAsia" w:ascii="宋体" w:hAnsi="宋体" w:eastAsia="宋体" w:cs="宋体"/>
                <w:sz w:val="21"/>
                <w:highlight w:val="none"/>
              </w:rPr>
              <w:t>接收到建设单位回复修订2稿意见后的次日起6个工作日内出具终稿</w:t>
            </w:r>
          </w:p>
        </w:tc>
        <w:tc>
          <w:tcPr>
            <w:tcW w:w="663"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667CF19">
            <w:pPr>
              <w:pStyle w:val="5"/>
              <w:jc w:val="center"/>
              <w:rPr>
                <w:rFonts w:hint="eastAsia" w:ascii="宋体" w:hAnsi="宋体" w:eastAsia="宋体" w:cs="宋体"/>
                <w:highlight w:val="none"/>
              </w:rPr>
            </w:pPr>
            <w:r>
              <w:rPr>
                <w:rFonts w:hint="eastAsia" w:ascii="宋体" w:hAnsi="宋体" w:eastAsia="宋体" w:cs="宋体"/>
                <w:sz w:val="21"/>
                <w:highlight w:val="none"/>
              </w:rPr>
              <w:t>3个工作日内</w:t>
            </w:r>
          </w:p>
        </w:tc>
      </w:tr>
      <w:tr w14:paraId="4C54E71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72"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520841F">
            <w:pPr>
              <w:pStyle w:val="5"/>
              <w:jc w:val="center"/>
              <w:rPr>
                <w:rFonts w:hint="eastAsia" w:ascii="宋体" w:hAnsi="宋体" w:eastAsia="宋体" w:cs="宋体"/>
                <w:highlight w:val="none"/>
              </w:rPr>
            </w:pPr>
            <w:r>
              <w:rPr>
                <w:rFonts w:hint="eastAsia" w:ascii="宋体" w:hAnsi="宋体" w:eastAsia="宋体" w:cs="宋体"/>
                <w:sz w:val="21"/>
                <w:highlight w:val="none"/>
              </w:rPr>
              <w:t>2</w:t>
            </w:r>
          </w:p>
        </w:tc>
        <w:tc>
          <w:tcPr>
            <w:tcW w:w="933"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8926474">
            <w:pPr>
              <w:pStyle w:val="5"/>
              <w:jc w:val="center"/>
              <w:rPr>
                <w:rFonts w:hint="eastAsia" w:ascii="宋体" w:hAnsi="宋体" w:eastAsia="宋体" w:cs="宋体"/>
                <w:highlight w:val="none"/>
              </w:rPr>
            </w:pPr>
            <w:r>
              <w:rPr>
                <w:rFonts w:hint="eastAsia" w:ascii="宋体" w:hAnsi="宋体" w:eastAsia="宋体" w:cs="宋体"/>
                <w:sz w:val="21"/>
                <w:highlight w:val="none"/>
              </w:rPr>
              <w:t>人民币500万元（含）—人民币3,000万元以下</w:t>
            </w:r>
          </w:p>
        </w:tc>
        <w:tc>
          <w:tcPr>
            <w:tcW w:w="863"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E3ACE65">
            <w:pPr>
              <w:pStyle w:val="5"/>
              <w:jc w:val="center"/>
              <w:rPr>
                <w:rFonts w:hint="eastAsia" w:ascii="宋体" w:hAnsi="宋体" w:eastAsia="宋体" w:cs="宋体"/>
                <w:highlight w:val="none"/>
              </w:rPr>
            </w:pPr>
            <w:r>
              <w:rPr>
                <w:rFonts w:hint="eastAsia" w:ascii="宋体" w:hAnsi="宋体" w:eastAsia="宋体" w:cs="宋体"/>
                <w:sz w:val="21"/>
                <w:highlight w:val="none"/>
              </w:rPr>
              <w:t>20个工作日</w:t>
            </w:r>
          </w:p>
        </w:tc>
        <w:tc>
          <w:tcPr>
            <w:tcW w:w="752"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05A5D9A">
            <w:pPr>
              <w:pStyle w:val="5"/>
              <w:jc w:val="center"/>
              <w:rPr>
                <w:rFonts w:hint="eastAsia" w:ascii="宋体" w:hAnsi="宋体" w:eastAsia="宋体" w:cs="宋体"/>
                <w:highlight w:val="none"/>
              </w:rPr>
            </w:pPr>
            <w:r>
              <w:rPr>
                <w:rFonts w:hint="eastAsia" w:ascii="宋体" w:hAnsi="宋体" w:eastAsia="宋体" w:cs="宋体"/>
                <w:sz w:val="21"/>
                <w:highlight w:val="none"/>
              </w:rPr>
              <w:t>接收到建设单位回复初稿意见后的次日起8个工作日内出具修订1稿</w:t>
            </w:r>
          </w:p>
        </w:tc>
        <w:tc>
          <w:tcPr>
            <w:tcW w:w="752"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92DAEE2">
            <w:pPr>
              <w:pStyle w:val="5"/>
              <w:jc w:val="center"/>
              <w:rPr>
                <w:rFonts w:hint="eastAsia" w:ascii="宋体" w:hAnsi="宋体" w:eastAsia="宋体" w:cs="宋体"/>
                <w:highlight w:val="none"/>
              </w:rPr>
            </w:pPr>
            <w:r>
              <w:rPr>
                <w:rFonts w:hint="eastAsia" w:ascii="宋体" w:hAnsi="宋体" w:eastAsia="宋体" w:cs="宋体"/>
                <w:sz w:val="21"/>
                <w:highlight w:val="none"/>
              </w:rPr>
              <w:t>接收到建设单位回复修订1稿意见后的次日起8个工作日内出具修订2稿</w:t>
            </w:r>
          </w:p>
        </w:tc>
        <w:tc>
          <w:tcPr>
            <w:tcW w:w="662"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78BF905">
            <w:pPr>
              <w:pStyle w:val="5"/>
              <w:jc w:val="center"/>
              <w:rPr>
                <w:rFonts w:hint="eastAsia" w:ascii="宋体" w:hAnsi="宋体" w:eastAsia="宋体" w:cs="宋体"/>
                <w:highlight w:val="none"/>
              </w:rPr>
            </w:pPr>
            <w:r>
              <w:rPr>
                <w:rFonts w:hint="eastAsia" w:ascii="宋体" w:hAnsi="宋体" w:eastAsia="宋体" w:cs="宋体"/>
                <w:sz w:val="21"/>
                <w:highlight w:val="none"/>
              </w:rPr>
              <w:t>接收到建设单位回复修订2稿意见后的次日起8个工作日内出具终稿</w:t>
            </w:r>
          </w:p>
        </w:tc>
        <w:tc>
          <w:tcPr>
            <w:tcW w:w="663"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5E9AF34">
            <w:pPr>
              <w:pStyle w:val="5"/>
              <w:jc w:val="center"/>
              <w:rPr>
                <w:rFonts w:hint="eastAsia" w:ascii="宋体" w:hAnsi="宋体" w:eastAsia="宋体" w:cs="宋体"/>
                <w:highlight w:val="none"/>
              </w:rPr>
            </w:pPr>
            <w:r>
              <w:rPr>
                <w:rFonts w:hint="eastAsia" w:ascii="宋体" w:hAnsi="宋体" w:eastAsia="宋体" w:cs="宋体"/>
                <w:sz w:val="21"/>
                <w:highlight w:val="none"/>
              </w:rPr>
              <w:t>3个工作日内</w:t>
            </w:r>
          </w:p>
        </w:tc>
      </w:tr>
      <w:tr w14:paraId="0F1B113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72"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452E338">
            <w:pPr>
              <w:pStyle w:val="5"/>
              <w:jc w:val="center"/>
              <w:rPr>
                <w:rFonts w:hint="eastAsia" w:ascii="宋体" w:hAnsi="宋体" w:eastAsia="宋体" w:cs="宋体"/>
                <w:highlight w:val="none"/>
              </w:rPr>
            </w:pPr>
            <w:r>
              <w:rPr>
                <w:rFonts w:hint="eastAsia" w:ascii="宋体" w:hAnsi="宋体" w:eastAsia="宋体" w:cs="宋体"/>
                <w:sz w:val="21"/>
                <w:highlight w:val="none"/>
              </w:rPr>
              <w:t>3</w:t>
            </w:r>
          </w:p>
        </w:tc>
        <w:tc>
          <w:tcPr>
            <w:tcW w:w="933"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D0537E7">
            <w:pPr>
              <w:pStyle w:val="5"/>
              <w:jc w:val="center"/>
              <w:rPr>
                <w:rFonts w:hint="eastAsia" w:ascii="宋体" w:hAnsi="宋体" w:eastAsia="宋体" w:cs="宋体"/>
                <w:highlight w:val="none"/>
              </w:rPr>
            </w:pPr>
            <w:r>
              <w:rPr>
                <w:rFonts w:hint="eastAsia" w:ascii="宋体" w:hAnsi="宋体" w:eastAsia="宋体" w:cs="宋体"/>
                <w:sz w:val="21"/>
                <w:highlight w:val="none"/>
              </w:rPr>
              <w:t>人民币3,000万元（含）—人民币5,000万元以下</w:t>
            </w:r>
          </w:p>
        </w:tc>
        <w:tc>
          <w:tcPr>
            <w:tcW w:w="863"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01F0CF9">
            <w:pPr>
              <w:pStyle w:val="5"/>
              <w:jc w:val="center"/>
              <w:rPr>
                <w:rFonts w:hint="eastAsia" w:ascii="宋体" w:hAnsi="宋体" w:eastAsia="宋体" w:cs="宋体"/>
                <w:highlight w:val="none"/>
              </w:rPr>
            </w:pPr>
            <w:r>
              <w:rPr>
                <w:rFonts w:hint="eastAsia" w:ascii="宋体" w:hAnsi="宋体" w:eastAsia="宋体" w:cs="宋体"/>
                <w:sz w:val="21"/>
                <w:highlight w:val="none"/>
              </w:rPr>
              <w:t>25个工作日</w:t>
            </w:r>
          </w:p>
        </w:tc>
        <w:tc>
          <w:tcPr>
            <w:tcW w:w="752"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4B74DDE">
            <w:pPr>
              <w:pStyle w:val="5"/>
              <w:jc w:val="center"/>
              <w:rPr>
                <w:rFonts w:hint="eastAsia" w:ascii="宋体" w:hAnsi="宋体" w:eastAsia="宋体" w:cs="宋体"/>
                <w:highlight w:val="none"/>
              </w:rPr>
            </w:pPr>
            <w:r>
              <w:rPr>
                <w:rFonts w:hint="eastAsia" w:ascii="宋体" w:hAnsi="宋体" w:eastAsia="宋体" w:cs="宋体"/>
                <w:sz w:val="21"/>
                <w:highlight w:val="none"/>
              </w:rPr>
              <w:t>接收到建设单位回复初稿意见后的次日起11个工作日内出具修订1稿</w:t>
            </w:r>
          </w:p>
        </w:tc>
        <w:tc>
          <w:tcPr>
            <w:tcW w:w="752"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1C482A6">
            <w:pPr>
              <w:pStyle w:val="5"/>
              <w:jc w:val="center"/>
              <w:rPr>
                <w:rFonts w:hint="eastAsia" w:ascii="宋体" w:hAnsi="宋体" w:eastAsia="宋体" w:cs="宋体"/>
                <w:highlight w:val="none"/>
              </w:rPr>
            </w:pPr>
            <w:r>
              <w:rPr>
                <w:rFonts w:hint="eastAsia" w:ascii="宋体" w:hAnsi="宋体" w:eastAsia="宋体" w:cs="宋体"/>
                <w:sz w:val="21"/>
                <w:highlight w:val="none"/>
              </w:rPr>
              <w:t>接收到建设单位回复修订1稿意见后的次日起11个工作日内出具修订2稿</w:t>
            </w:r>
          </w:p>
        </w:tc>
        <w:tc>
          <w:tcPr>
            <w:tcW w:w="662"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63373C1">
            <w:pPr>
              <w:pStyle w:val="5"/>
              <w:jc w:val="center"/>
              <w:rPr>
                <w:rFonts w:hint="eastAsia" w:ascii="宋体" w:hAnsi="宋体" w:eastAsia="宋体" w:cs="宋体"/>
                <w:highlight w:val="none"/>
              </w:rPr>
            </w:pPr>
            <w:r>
              <w:rPr>
                <w:rFonts w:hint="eastAsia" w:ascii="宋体" w:hAnsi="宋体" w:eastAsia="宋体" w:cs="宋体"/>
                <w:sz w:val="21"/>
                <w:highlight w:val="none"/>
              </w:rPr>
              <w:t>接收到建设单位回复修订2稿意见后的次日起11个工作日内出具终稿</w:t>
            </w:r>
          </w:p>
        </w:tc>
        <w:tc>
          <w:tcPr>
            <w:tcW w:w="663"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4CBA323">
            <w:pPr>
              <w:pStyle w:val="5"/>
              <w:jc w:val="center"/>
              <w:rPr>
                <w:rFonts w:hint="eastAsia" w:ascii="宋体" w:hAnsi="宋体" w:eastAsia="宋体" w:cs="宋体"/>
                <w:highlight w:val="none"/>
              </w:rPr>
            </w:pPr>
            <w:r>
              <w:rPr>
                <w:rFonts w:hint="eastAsia" w:ascii="宋体" w:hAnsi="宋体" w:eastAsia="宋体" w:cs="宋体"/>
                <w:sz w:val="21"/>
                <w:highlight w:val="none"/>
              </w:rPr>
              <w:t>3个工作日内</w:t>
            </w:r>
          </w:p>
        </w:tc>
      </w:tr>
      <w:tr w14:paraId="3F9F4DB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72"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2CF5C32">
            <w:pPr>
              <w:pStyle w:val="5"/>
              <w:jc w:val="center"/>
              <w:rPr>
                <w:rFonts w:hint="eastAsia" w:ascii="宋体" w:hAnsi="宋体" w:eastAsia="宋体" w:cs="宋体"/>
                <w:highlight w:val="none"/>
              </w:rPr>
            </w:pPr>
            <w:r>
              <w:rPr>
                <w:rFonts w:hint="eastAsia" w:ascii="宋体" w:hAnsi="宋体" w:eastAsia="宋体" w:cs="宋体"/>
                <w:sz w:val="21"/>
                <w:highlight w:val="none"/>
              </w:rPr>
              <w:t>4</w:t>
            </w:r>
          </w:p>
        </w:tc>
        <w:tc>
          <w:tcPr>
            <w:tcW w:w="933"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0DF06E1">
            <w:pPr>
              <w:pStyle w:val="5"/>
              <w:jc w:val="center"/>
              <w:rPr>
                <w:rFonts w:hint="eastAsia" w:ascii="宋体" w:hAnsi="宋体" w:eastAsia="宋体" w:cs="宋体"/>
                <w:highlight w:val="none"/>
              </w:rPr>
            </w:pPr>
            <w:r>
              <w:rPr>
                <w:rFonts w:hint="eastAsia" w:ascii="宋体" w:hAnsi="宋体" w:eastAsia="宋体" w:cs="宋体"/>
                <w:sz w:val="21"/>
                <w:highlight w:val="none"/>
              </w:rPr>
              <w:t>人民币5,000万元（含）—人民币10,000万元以下</w:t>
            </w:r>
          </w:p>
        </w:tc>
        <w:tc>
          <w:tcPr>
            <w:tcW w:w="863"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D34281E">
            <w:pPr>
              <w:pStyle w:val="5"/>
              <w:jc w:val="center"/>
              <w:rPr>
                <w:rFonts w:hint="eastAsia" w:ascii="宋体" w:hAnsi="宋体" w:eastAsia="宋体" w:cs="宋体"/>
                <w:highlight w:val="none"/>
              </w:rPr>
            </w:pPr>
            <w:r>
              <w:rPr>
                <w:rFonts w:hint="eastAsia" w:ascii="宋体" w:hAnsi="宋体" w:eastAsia="宋体" w:cs="宋体"/>
                <w:sz w:val="21"/>
                <w:highlight w:val="none"/>
              </w:rPr>
              <w:t>35个工作日</w:t>
            </w:r>
          </w:p>
        </w:tc>
        <w:tc>
          <w:tcPr>
            <w:tcW w:w="752"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931CD68">
            <w:pPr>
              <w:pStyle w:val="5"/>
              <w:jc w:val="center"/>
              <w:rPr>
                <w:rFonts w:hint="eastAsia" w:ascii="宋体" w:hAnsi="宋体" w:eastAsia="宋体" w:cs="宋体"/>
                <w:highlight w:val="none"/>
              </w:rPr>
            </w:pPr>
            <w:r>
              <w:rPr>
                <w:rFonts w:hint="eastAsia" w:ascii="宋体" w:hAnsi="宋体" w:eastAsia="宋体" w:cs="宋体"/>
                <w:sz w:val="21"/>
                <w:highlight w:val="none"/>
              </w:rPr>
              <w:t>接收到建设单位回复初稿意见后的次日起11个工作日内出具修订1稿</w:t>
            </w:r>
          </w:p>
        </w:tc>
        <w:tc>
          <w:tcPr>
            <w:tcW w:w="752"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8142285">
            <w:pPr>
              <w:pStyle w:val="5"/>
              <w:jc w:val="center"/>
              <w:rPr>
                <w:rFonts w:hint="eastAsia" w:ascii="宋体" w:hAnsi="宋体" w:eastAsia="宋体" w:cs="宋体"/>
                <w:highlight w:val="none"/>
              </w:rPr>
            </w:pPr>
            <w:r>
              <w:rPr>
                <w:rFonts w:hint="eastAsia" w:ascii="宋体" w:hAnsi="宋体" w:eastAsia="宋体" w:cs="宋体"/>
                <w:sz w:val="21"/>
                <w:highlight w:val="none"/>
              </w:rPr>
              <w:t>接收到建设单位回复修订1稿意见后的次日起11个工作日内出具修订2稿</w:t>
            </w:r>
          </w:p>
        </w:tc>
        <w:tc>
          <w:tcPr>
            <w:tcW w:w="662"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BC8D2CD">
            <w:pPr>
              <w:pStyle w:val="5"/>
              <w:jc w:val="center"/>
              <w:rPr>
                <w:rFonts w:hint="eastAsia" w:ascii="宋体" w:hAnsi="宋体" w:eastAsia="宋体" w:cs="宋体"/>
                <w:highlight w:val="none"/>
              </w:rPr>
            </w:pPr>
            <w:r>
              <w:rPr>
                <w:rFonts w:hint="eastAsia" w:ascii="宋体" w:hAnsi="宋体" w:eastAsia="宋体" w:cs="宋体"/>
                <w:sz w:val="21"/>
                <w:highlight w:val="none"/>
              </w:rPr>
              <w:t>接收到建设单位回复修订2稿意见后的次日起11个工作日内出具终稿</w:t>
            </w:r>
          </w:p>
        </w:tc>
        <w:tc>
          <w:tcPr>
            <w:tcW w:w="663"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6A1EAC7">
            <w:pPr>
              <w:pStyle w:val="5"/>
              <w:jc w:val="center"/>
              <w:rPr>
                <w:rFonts w:hint="eastAsia" w:ascii="宋体" w:hAnsi="宋体" w:eastAsia="宋体" w:cs="宋体"/>
                <w:highlight w:val="none"/>
              </w:rPr>
            </w:pPr>
            <w:r>
              <w:rPr>
                <w:rFonts w:hint="eastAsia" w:ascii="宋体" w:hAnsi="宋体" w:eastAsia="宋体" w:cs="宋体"/>
                <w:sz w:val="21"/>
                <w:highlight w:val="none"/>
              </w:rPr>
              <w:t>3个工作日内</w:t>
            </w:r>
          </w:p>
        </w:tc>
      </w:tr>
      <w:tr w14:paraId="4BBE4CB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72"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7527A9D">
            <w:pPr>
              <w:pStyle w:val="5"/>
              <w:jc w:val="center"/>
              <w:rPr>
                <w:rFonts w:hint="eastAsia" w:ascii="宋体" w:hAnsi="宋体" w:eastAsia="宋体" w:cs="宋体"/>
                <w:highlight w:val="none"/>
              </w:rPr>
            </w:pPr>
            <w:r>
              <w:rPr>
                <w:rFonts w:hint="eastAsia" w:ascii="宋体" w:hAnsi="宋体" w:eastAsia="宋体" w:cs="宋体"/>
                <w:sz w:val="21"/>
                <w:highlight w:val="none"/>
              </w:rPr>
              <w:t>5</w:t>
            </w:r>
          </w:p>
        </w:tc>
        <w:tc>
          <w:tcPr>
            <w:tcW w:w="933"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97FA94D">
            <w:pPr>
              <w:pStyle w:val="5"/>
              <w:jc w:val="center"/>
              <w:rPr>
                <w:rFonts w:hint="eastAsia" w:ascii="宋体" w:hAnsi="宋体" w:eastAsia="宋体" w:cs="宋体"/>
                <w:highlight w:val="none"/>
              </w:rPr>
            </w:pPr>
            <w:r>
              <w:rPr>
                <w:rFonts w:hint="eastAsia" w:ascii="宋体" w:hAnsi="宋体" w:eastAsia="宋体" w:cs="宋体"/>
                <w:sz w:val="21"/>
                <w:highlight w:val="none"/>
              </w:rPr>
              <w:t>人民币10,000万元以上(含）</w:t>
            </w:r>
          </w:p>
        </w:tc>
        <w:tc>
          <w:tcPr>
            <w:tcW w:w="863"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3FF2058">
            <w:pPr>
              <w:pStyle w:val="5"/>
              <w:jc w:val="center"/>
              <w:rPr>
                <w:rFonts w:hint="eastAsia" w:ascii="宋体" w:hAnsi="宋体" w:eastAsia="宋体" w:cs="宋体"/>
                <w:highlight w:val="none"/>
              </w:rPr>
            </w:pPr>
            <w:r>
              <w:rPr>
                <w:rFonts w:hint="eastAsia" w:ascii="宋体" w:hAnsi="宋体" w:eastAsia="宋体" w:cs="宋体"/>
                <w:sz w:val="21"/>
                <w:highlight w:val="none"/>
              </w:rPr>
              <w:t>40个工作日</w:t>
            </w:r>
          </w:p>
        </w:tc>
        <w:tc>
          <w:tcPr>
            <w:tcW w:w="752"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5190A23">
            <w:pPr>
              <w:pStyle w:val="5"/>
              <w:jc w:val="center"/>
              <w:rPr>
                <w:rFonts w:hint="eastAsia" w:ascii="宋体" w:hAnsi="宋体" w:eastAsia="宋体" w:cs="宋体"/>
                <w:highlight w:val="none"/>
              </w:rPr>
            </w:pPr>
            <w:r>
              <w:rPr>
                <w:rFonts w:hint="eastAsia" w:ascii="宋体" w:hAnsi="宋体" w:eastAsia="宋体" w:cs="宋体"/>
                <w:sz w:val="21"/>
                <w:highlight w:val="none"/>
              </w:rPr>
              <w:t>接收到建设单位回复初稿意见后的次日起14个工作日内出具修订1稿</w:t>
            </w:r>
          </w:p>
        </w:tc>
        <w:tc>
          <w:tcPr>
            <w:tcW w:w="752"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2C25F81">
            <w:pPr>
              <w:pStyle w:val="5"/>
              <w:jc w:val="center"/>
              <w:rPr>
                <w:rFonts w:hint="eastAsia" w:ascii="宋体" w:hAnsi="宋体" w:eastAsia="宋体" w:cs="宋体"/>
                <w:highlight w:val="none"/>
              </w:rPr>
            </w:pPr>
            <w:r>
              <w:rPr>
                <w:rFonts w:hint="eastAsia" w:ascii="宋体" w:hAnsi="宋体" w:eastAsia="宋体" w:cs="宋体"/>
                <w:sz w:val="21"/>
                <w:highlight w:val="none"/>
              </w:rPr>
              <w:t>接收到建设单位回复修订1稿意见后的次日起14个工作日内出具修订2稿</w:t>
            </w:r>
          </w:p>
        </w:tc>
        <w:tc>
          <w:tcPr>
            <w:tcW w:w="662"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F770CF5">
            <w:pPr>
              <w:pStyle w:val="5"/>
              <w:jc w:val="center"/>
              <w:rPr>
                <w:rFonts w:hint="eastAsia" w:ascii="宋体" w:hAnsi="宋体" w:eastAsia="宋体" w:cs="宋体"/>
                <w:highlight w:val="none"/>
              </w:rPr>
            </w:pPr>
            <w:r>
              <w:rPr>
                <w:rFonts w:hint="eastAsia" w:ascii="宋体" w:hAnsi="宋体" w:eastAsia="宋体" w:cs="宋体"/>
                <w:sz w:val="21"/>
                <w:highlight w:val="none"/>
              </w:rPr>
              <w:t>接收到建设单位回复修订2稿意见后的次日起14个工作日内出具终稿</w:t>
            </w:r>
          </w:p>
        </w:tc>
        <w:tc>
          <w:tcPr>
            <w:tcW w:w="663"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A0860BA">
            <w:pPr>
              <w:pStyle w:val="5"/>
              <w:jc w:val="center"/>
              <w:rPr>
                <w:rFonts w:hint="eastAsia" w:ascii="宋体" w:hAnsi="宋体" w:eastAsia="宋体" w:cs="宋体"/>
                <w:highlight w:val="none"/>
              </w:rPr>
            </w:pPr>
            <w:r>
              <w:rPr>
                <w:rFonts w:hint="eastAsia" w:ascii="宋体" w:hAnsi="宋体" w:eastAsia="宋体" w:cs="宋体"/>
                <w:sz w:val="21"/>
                <w:highlight w:val="none"/>
              </w:rPr>
              <w:t>3个工作日内</w:t>
            </w:r>
          </w:p>
        </w:tc>
      </w:tr>
    </w:tbl>
    <w:p w14:paraId="72264E39">
      <w:pPr>
        <w:rPr>
          <w:rFonts w:hint="eastAsia" w:ascii="宋体" w:hAnsi="宋体" w:eastAsia="宋体" w:cs="宋体"/>
          <w:highlight w:val="none"/>
          <w:lang w:val="en-US" w:eastAsia="zh-CN"/>
        </w:rPr>
      </w:pPr>
      <w:r>
        <w:rPr>
          <w:rFonts w:hint="eastAsia" w:ascii="宋体" w:hAnsi="宋体" w:eastAsia="宋体" w:cs="宋体"/>
          <w:highlight w:val="none"/>
          <w:lang w:val="en-US" w:eastAsia="zh-CN"/>
        </w:rPr>
        <w:t>3.预结算审核和复核项目完成时限</w:t>
      </w:r>
    </w:p>
    <w:p w14:paraId="45032901">
      <w:pPr>
        <w:rPr>
          <w:rFonts w:hint="eastAsia" w:ascii="宋体" w:hAnsi="宋体" w:eastAsia="宋体" w:cs="宋体"/>
          <w:highlight w:val="none"/>
          <w:lang w:val="en-US" w:eastAsia="zh-CN"/>
        </w:rPr>
      </w:pPr>
      <w:r>
        <w:rPr>
          <w:rFonts w:hint="eastAsia" w:ascii="宋体" w:hAnsi="宋体" w:eastAsia="宋体" w:cs="宋体"/>
          <w:highlight w:val="none"/>
          <w:lang w:val="en-US" w:eastAsia="zh-CN"/>
        </w:rPr>
        <w:t>（1）预算审核和复核项目—中标人的审核初稿用时在采购人通知取件后下一个工作日开始计算，且整个评审过程只允许出具2次修订稿，审核用时以双方签收记录为准。审核完成时限详见下表：</w:t>
      </w:r>
    </w:p>
    <w:tbl>
      <w:tblPr>
        <w:tblStyle w:val="3"/>
        <w:tblW w:w="0" w:type="auto"/>
        <w:tblInd w:w="12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462"/>
        <w:gridCol w:w="1551"/>
        <w:gridCol w:w="629"/>
        <w:gridCol w:w="1653"/>
        <w:gridCol w:w="1736"/>
        <w:gridCol w:w="1653"/>
        <w:gridCol w:w="712"/>
      </w:tblGrid>
      <w:tr w14:paraId="66D44F8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5C2B058E">
            <w:pPr>
              <w:pStyle w:val="5"/>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序号</w:t>
            </w:r>
          </w:p>
        </w:tc>
        <w:tc>
          <w:tcPr>
            <w:tcW w:w="0" w:type="auto"/>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6DBFE594">
            <w:pPr>
              <w:pStyle w:val="5"/>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项目造价</w:t>
            </w:r>
          </w:p>
        </w:tc>
        <w:tc>
          <w:tcPr>
            <w:tcW w:w="0" w:type="auto"/>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020A97C2">
            <w:pPr>
              <w:pStyle w:val="5"/>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初稿审核时限</w:t>
            </w:r>
          </w:p>
        </w:tc>
        <w:tc>
          <w:tcPr>
            <w:tcW w:w="0" w:type="auto"/>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3374B128">
            <w:pPr>
              <w:pStyle w:val="5"/>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修订1稿出具时限</w:t>
            </w:r>
          </w:p>
        </w:tc>
        <w:tc>
          <w:tcPr>
            <w:tcW w:w="0" w:type="auto"/>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790D17D8">
            <w:pPr>
              <w:pStyle w:val="5"/>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修订2稿出具时限</w:t>
            </w:r>
          </w:p>
        </w:tc>
        <w:tc>
          <w:tcPr>
            <w:tcW w:w="0" w:type="auto"/>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4DFDC5A4">
            <w:pPr>
              <w:pStyle w:val="5"/>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终稿出具时限</w:t>
            </w:r>
          </w:p>
        </w:tc>
        <w:tc>
          <w:tcPr>
            <w:tcW w:w="0" w:type="auto"/>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2201378C">
            <w:pPr>
              <w:pStyle w:val="5"/>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纸质正稿出具时限</w:t>
            </w:r>
          </w:p>
        </w:tc>
      </w:tr>
      <w:tr w14:paraId="46228BB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0" w:type="auto"/>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BAB352D">
            <w:pPr>
              <w:pStyle w:val="5"/>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1</w:t>
            </w:r>
          </w:p>
        </w:tc>
        <w:tc>
          <w:tcPr>
            <w:tcW w:w="0" w:type="auto"/>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AC027C5">
            <w:pPr>
              <w:pStyle w:val="5"/>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500万元以下</w:t>
            </w:r>
          </w:p>
        </w:tc>
        <w:tc>
          <w:tcPr>
            <w:tcW w:w="0" w:type="auto"/>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FE8C57C">
            <w:pPr>
              <w:pStyle w:val="5"/>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5个工作日</w:t>
            </w:r>
          </w:p>
        </w:tc>
        <w:tc>
          <w:tcPr>
            <w:tcW w:w="0" w:type="auto"/>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7D7D22E">
            <w:pPr>
              <w:pStyle w:val="5"/>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接收到建设单位回复初稿意见后的次日起3个工作日内出具修订1稿</w:t>
            </w:r>
          </w:p>
        </w:tc>
        <w:tc>
          <w:tcPr>
            <w:tcW w:w="0" w:type="auto"/>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6A727D8">
            <w:pPr>
              <w:pStyle w:val="5"/>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接收到建设单位回复修订1稿意见后的次日起3个工作日内出具修订2稿</w:t>
            </w:r>
          </w:p>
        </w:tc>
        <w:tc>
          <w:tcPr>
            <w:tcW w:w="0" w:type="auto"/>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43FC49D">
            <w:pPr>
              <w:pStyle w:val="5"/>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接收到建设单位回复修订2稿意见后的次日起3个工作日内出具终稿</w:t>
            </w:r>
          </w:p>
        </w:tc>
        <w:tc>
          <w:tcPr>
            <w:tcW w:w="0" w:type="auto"/>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DA4B53A">
            <w:pPr>
              <w:pStyle w:val="5"/>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3个工作日内</w:t>
            </w:r>
          </w:p>
        </w:tc>
      </w:tr>
      <w:tr w14:paraId="1897474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0" w:type="auto"/>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B0A97AA">
            <w:pPr>
              <w:pStyle w:val="5"/>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2</w:t>
            </w:r>
          </w:p>
        </w:tc>
        <w:tc>
          <w:tcPr>
            <w:tcW w:w="0" w:type="auto"/>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4110B5B">
            <w:pPr>
              <w:pStyle w:val="5"/>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500万元（含）—3,000万元以下</w:t>
            </w:r>
          </w:p>
        </w:tc>
        <w:tc>
          <w:tcPr>
            <w:tcW w:w="0" w:type="auto"/>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FF654EE">
            <w:pPr>
              <w:pStyle w:val="5"/>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10个工作日</w:t>
            </w:r>
          </w:p>
        </w:tc>
        <w:tc>
          <w:tcPr>
            <w:tcW w:w="0" w:type="auto"/>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90949BC">
            <w:pPr>
              <w:pStyle w:val="5"/>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接收到建设单位回复初稿意见后的次日起5个工作日内出具修订1稿</w:t>
            </w:r>
          </w:p>
        </w:tc>
        <w:tc>
          <w:tcPr>
            <w:tcW w:w="0" w:type="auto"/>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986CEED">
            <w:pPr>
              <w:pStyle w:val="5"/>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接收到建设单位回复修订1稿意见后的次日起5个工作日内出具修订2稿</w:t>
            </w:r>
          </w:p>
        </w:tc>
        <w:tc>
          <w:tcPr>
            <w:tcW w:w="0" w:type="auto"/>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5419E41">
            <w:pPr>
              <w:pStyle w:val="5"/>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接收到建设单位回复修订2稿意见后的次日起5个工作日内出具终稿</w:t>
            </w:r>
          </w:p>
        </w:tc>
        <w:tc>
          <w:tcPr>
            <w:tcW w:w="0" w:type="auto"/>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BA1EAEE">
            <w:pPr>
              <w:pStyle w:val="5"/>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3个工作日内</w:t>
            </w:r>
          </w:p>
        </w:tc>
      </w:tr>
      <w:tr w14:paraId="732BE2B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0" w:type="auto"/>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2A16A6C">
            <w:pPr>
              <w:pStyle w:val="5"/>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3</w:t>
            </w:r>
          </w:p>
        </w:tc>
        <w:tc>
          <w:tcPr>
            <w:tcW w:w="0" w:type="auto"/>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F07E365">
            <w:pPr>
              <w:pStyle w:val="5"/>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3,000万元（含）—10,000万元以下</w:t>
            </w:r>
          </w:p>
        </w:tc>
        <w:tc>
          <w:tcPr>
            <w:tcW w:w="0" w:type="auto"/>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D334ACA">
            <w:pPr>
              <w:pStyle w:val="5"/>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12个工作日</w:t>
            </w:r>
          </w:p>
        </w:tc>
        <w:tc>
          <w:tcPr>
            <w:tcW w:w="0" w:type="auto"/>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5BA7278">
            <w:pPr>
              <w:pStyle w:val="5"/>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接收到建设单位回复初稿意见后的次日起7个工作日内出具修订1稿</w:t>
            </w:r>
          </w:p>
        </w:tc>
        <w:tc>
          <w:tcPr>
            <w:tcW w:w="0" w:type="auto"/>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E5D5CCE">
            <w:pPr>
              <w:pStyle w:val="5"/>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接收到建设单位回复修订1稿意见后的次日起7个工作日内出具修订2稿</w:t>
            </w:r>
          </w:p>
        </w:tc>
        <w:tc>
          <w:tcPr>
            <w:tcW w:w="0" w:type="auto"/>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274A5BB">
            <w:pPr>
              <w:pStyle w:val="5"/>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接收到建设单位回复修订2稿意见后的次日起7个工作日内出具终稿</w:t>
            </w:r>
          </w:p>
        </w:tc>
        <w:tc>
          <w:tcPr>
            <w:tcW w:w="0" w:type="auto"/>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4031232">
            <w:pPr>
              <w:pStyle w:val="5"/>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3个工作日内</w:t>
            </w:r>
          </w:p>
        </w:tc>
      </w:tr>
      <w:tr w14:paraId="4D83C02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0" w:type="auto"/>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2268C11">
            <w:pPr>
              <w:pStyle w:val="5"/>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4</w:t>
            </w:r>
          </w:p>
        </w:tc>
        <w:tc>
          <w:tcPr>
            <w:tcW w:w="0" w:type="auto"/>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957C10A">
            <w:pPr>
              <w:pStyle w:val="5"/>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10,000万元以上(含）</w:t>
            </w:r>
          </w:p>
        </w:tc>
        <w:tc>
          <w:tcPr>
            <w:tcW w:w="0" w:type="auto"/>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F4BA731">
            <w:pPr>
              <w:pStyle w:val="5"/>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16个工作日</w:t>
            </w:r>
          </w:p>
        </w:tc>
        <w:tc>
          <w:tcPr>
            <w:tcW w:w="0" w:type="auto"/>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B7A0FFE">
            <w:pPr>
              <w:pStyle w:val="5"/>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接收到建设单位回复初稿意见后的次日起10个工作日内出具修订1稿</w:t>
            </w:r>
          </w:p>
        </w:tc>
        <w:tc>
          <w:tcPr>
            <w:tcW w:w="0" w:type="auto"/>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B70BE56">
            <w:pPr>
              <w:pStyle w:val="5"/>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接收到建设单位回复修订1稿意见后的次日起10个工作日内出具修订2稿</w:t>
            </w:r>
          </w:p>
        </w:tc>
        <w:tc>
          <w:tcPr>
            <w:tcW w:w="0" w:type="auto"/>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5C98D9A">
            <w:pPr>
              <w:pStyle w:val="5"/>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接收到建设单位回复修订2稿意见后的次日起10个工作日内出具终稿</w:t>
            </w:r>
          </w:p>
        </w:tc>
        <w:tc>
          <w:tcPr>
            <w:tcW w:w="0" w:type="auto"/>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CD499FA">
            <w:pPr>
              <w:pStyle w:val="5"/>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3个工作日内</w:t>
            </w:r>
          </w:p>
        </w:tc>
      </w:tr>
    </w:tbl>
    <w:p w14:paraId="0A3AEC68">
      <w:pPr>
        <w:pStyle w:val="5"/>
        <w:jc w:val="both"/>
        <w:rPr>
          <w:rFonts w:hint="eastAsia" w:ascii="宋体" w:hAnsi="宋体" w:eastAsia="宋体" w:cs="宋体"/>
          <w:highlight w:val="none"/>
        </w:rPr>
      </w:pPr>
      <w:r>
        <w:rPr>
          <w:rFonts w:hint="eastAsia" w:ascii="宋体" w:hAnsi="宋体" w:eastAsia="宋体" w:cs="宋体"/>
          <w:sz w:val="21"/>
          <w:highlight w:val="none"/>
        </w:rPr>
        <w:t>（2）结算审核和复核项目—中标人的审核初稿用时在</w:t>
      </w:r>
      <w:r>
        <w:rPr>
          <w:rFonts w:hint="eastAsia" w:ascii="宋体" w:hAnsi="宋体" w:eastAsia="宋体" w:cs="宋体"/>
          <w:highlight w:val="none"/>
          <w:lang w:val="en-US" w:eastAsia="zh-CN"/>
        </w:rPr>
        <w:t>采购人通知取件</w:t>
      </w:r>
      <w:r>
        <w:rPr>
          <w:rFonts w:hint="eastAsia" w:ascii="宋体" w:hAnsi="宋体" w:eastAsia="宋体" w:cs="宋体"/>
          <w:sz w:val="21"/>
          <w:highlight w:val="none"/>
        </w:rPr>
        <w:t>后下一个工作日开始计算，且整个评审过程只允许出具2次修订稿，审核用时</w:t>
      </w:r>
      <w:r>
        <w:rPr>
          <w:rFonts w:hint="eastAsia" w:ascii="宋体" w:hAnsi="宋体" w:eastAsia="宋体" w:cs="宋体"/>
          <w:highlight w:val="none"/>
          <w:lang w:val="en-US" w:eastAsia="zh-CN"/>
        </w:rPr>
        <w:t>以双方签收记录为准</w:t>
      </w:r>
      <w:r>
        <w:rPr>
          <w:rFonts w:hint="eastAsia" w:ascii="宋体" w:hAnsi="宋体" w:eastAsia="宋体" w:cs="宋体"/>
          <w:sz w:val="21"/>
          <w:highlight w:val="none"/>
        </w:rPr>
        <w:t>。审核完成时限详见下表：</w:t>
      </w:r>
    </w:p>
    <w:tbl>
      <w:tblPr>
        <w:tblStyle w:val="3"/>
        <w:tblW w:w="4997" w:type="pct"/>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623"/>
        <w:gridCol w:w="1494"/>
        <w:gridCol w:w="1094"/>
        <w:gridCol w:w="1336"/>
        <w:gridCol w:w="1501"/>
        <w:gridCol w:w="1463"/>
        <w:gridCol w:w="1000"/>
      </w:tblGrid>
      <w:tr w14:paraId="7E1A69F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66" w:type="pct"/>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50BD0B91">
            <w:pPr>
              <w:pStyle w:val="5"/>
              <w:jc w:val="center"/>
              <w:rPr>
                <w:rFonts w:hint="eastAsia" w:ascii="宋体" w:hAnsi="宋体" w:eastAsia="宋体" w:cs="宋体"/>
                <w:highlight w:val="none"/>
              </w:rPr>
            </w:pPr>
            <w:r>
              <w:rPr>
                <w:rFonts w:hint="eastAsia" w:ascii="宋体" w:hAnsi="宋体" w:eastAsia="宋体" w:cs="宋体"/>
                <w:sz w:val="21"/>
                <w:highlight w:val="none"/>
              </w:rPr>
              <w:t>序号</w:t>
            </w:r>
          </w:p>
        </w:tc>
        <w:tc>
          <w:tcPr>
            <w:tcW w:w="877" w:type="pct"/>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5260B4B8">
            <w:pPr>
              <w:pStyle w:val="5"/>
              <w:jc w:val="center"/>
              <w:rPr>
                <w:rFonts w:hint="eastAsia" w:ascii="宋体" w:hAnsi="宋体" w:eastAsia="宋体" w:cs="宋体"/>
                <w:highlight w:val="none"/>
              </w:rPr>
            </w:pPr>
            <w:r>
              <w:rPr>
                <w:rFonts w:hint="eastAsia" w:ascii="宋体" w:hAnsi="宋体" w:eastAsia="宋体" w:cs="宋体"/>
                <w:sz w:val="21"/>
                <w:highlight w:val="none"/>
              </w:rPr>
              <w:t>项目造价</w:t>
            </w:r>
          </w:p>
        </w:tc>
        <w:tc>
          <w:tcPr>
            <w:tcW w:w="642" w:type="pct"/>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69716E6D">
            <w:pPr>
              <w:pStyle w:val="5"/>
              <w:jc w:val="center"/>
              <w:rPr>
                <w:rFonts w:hint="eastAsia" w:ascii="宋体" w:hAnsi="宋体" w:eastAsia="宋体" w:cs="宋体"/>
                <w:highlight w:val="none"/>
              </w:rPr>
            </w:pPr>
            <w:r>
              <w:rPr>
                <w:rFonts w:hint="eastAsia" w:ascii="宋体" w:hAnsi="宋体" w:eastAsia="宋体" w:cs="宋体"/>
                <w:sz w:val="21"/>
                <w:highlight w:val="none"/>
              </w:rPr>
              <w:t>初稿审核时限</w:t>
            </w:r>
          </w:p>
        </w:tc>
        <w:tc>
          <w:tcPr>
            <w:tcW w:w="784" w:type="pct"/>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3918BC42">
            <w:pPr>
              <w:pStyle w:val="5"/>
              <w:jc w:val="center"/>
              <w:rPr>
                <w:rFonts w:hint="eastAsia" w:ascii="宋体" w:hAnsi="宋体" w:eastAsia="宋体" w:cs="宋体"/>
                <w:highlight w:val="none"/>
              </w:rPr>
            </w:pPr>
            <w:r>
              <w:rPr>
                <w:rFonts w:hint="eastAsia" w:ascii="宋体" w:hAnsi="宋体" w:eastAsia="宋体" w:cs="宋体"/>
                <w:sz w:val="21"/>
                <w:highlight w:val="none"/>
              </w:rPr>
              <w:t>修订1稿出具时限</w:t>
            </w:r>
          </w:p>
        </w:tc>
        <w:tc>
          <w:tcPr>
            <w:tcW w:w="881" w:type="pct"/>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4F118B64">
            <w:pPr>
              <w:pStyle w:val="5"/>
              <w:jc w:val="center"/>
              <w:rPr>
                <w:rFonts w:hint="eastAsia" w:ascii="宋体" w:hAnsi="宋体" w:eastAsia="宋体" w:cs="宋体"/>
                <w:highlight w:val="none"/>
              </w:rPr>
            </w:pPr>
            <w:r>
              <w:rPr>
                <w:rFonts w:hint="eastAsia" w:ascii="宋体" w:hAnsi="宋体" w:eastAsia="宋体" w:cs="宋体"/>
                <w:sz w:val="21"/>
                <w:highlight w:val="none"/>
              </w:rPr>
              <w:t>修订2稿</w:t>
            </w:r>
          </w:p>
          <w:p w14:paraId="15F3B702">
            <w:pPr>
              <w:pStyle w:val="5"/>
              <w:jc w:val="center"/>
              <w:rPr>
                <w:rFonts w:hint="eastAsia" w:ascii="宋体" w:hAnsi="宋体" w:eastAsia="宋体" w:cs="宋体"/>
                <w:highlight w:val="none"/>
              </w:rPr>
            </w:pPr>
            <w:r>
              <w:rPr>
                <w:rFonts w:hint="eastAsia" w:ascii="宋体" w:hAnsi="宋体" w:eastAsia="宋体" w:cs="宋体"/>
                <w:sz w:val="21"/>
                <w:highlight w:val="none"/>
              </w:rPr>
              <w:t>出具时限</w:t>
            </w:r>
          </w:p>
        </w:tc>
        <w:tc>
          <w:tcPr>
            <w:tcW w:w="859" w:type="pct"/>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1ABAC6C3">
            <w:pPr>
              <w:pStyle w:val="5"/>
              <w:jc w:val="center"/>
              <w:rPr>
                <w:rFonts w:hint="eastAsia" w:ascii="宋体" w:hAnsi="宋体" w:eastAsia="宋体" w:cs="宋体"/>
                <w:highlight w:val="none"/>
              </w:rPr>
            </w:pPr>
            <w:r>
              <w:rPr>
                <w:rFonts w:hint="eastAsia" w:ascii="宋体" w:hAnsi="宋体" w:eastAsia="宋体" w:cs="宋体"/>
                <w:sz w:val="21"/>
                <w:highlight w:val="none"/>
              </w:rPr>
              <w:t>终稿出具</w:t>
            </w:r>
          </w:p>
          <w:p w14:paraId="6699B4AD">
            <w:pPr>
              <w:pStyle w:val="5"/>
              <w:jc w:val="center"/>
              <w:rPr>
                <w:rFonts w:hint="eastAsia" w:ascii="宋体" w:hAnsi="宋体" w:eastAsia="宋体" w:cs="宋体"/>
                <w:highlight w:val="none"/>
              </w:rPr>
            </w:pPr>
            <w:r>
              <w:rPr>
                <w:rFonts w:hint="eastAsia" w:ascii="宋体" w:hAnsi="宋体" w:eastAsia="宋体" w:cs="宋体"/>
                <w:sz w:val="21"/>
                <w:highlight w:val="none"/>
              </w:rPr>
              <w:t>时限</w:t>
            </w:r>
          </w:p>
        </w:tc>
        <w:tc>
          <w:tcPr>
            <w:tcW w:w="587" w:type="pct"/>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107E7520">
            <w:pPr>
              <w:pStyle w:val="5"/>
              <w:jc w:val="center"/>
              <w:rPr>
                <w:rFonts w:hint="eastAsia" w:ascii="宋体" w:hAnsi="宋体" w:eastAsia="宋体" w:cs="宋体"/>
                <w:highlight w:val="none"/>
              </w:rPr>
            </w:pPr>
            <w:r>
              <w:rPr>
                <w:rFonts w:hint="eastAsia" w:ascii="宋体" w:hAnsi="宋体" w:eastAsia="宋体" w:cs="宋体"/>
                <w:sz w:val="21"/>
                <w:highlight w:val="none"/>
              </w:rPr>
              <w:t>纸质正稿出具时限</w:t>
            </w:r>
          </w:p>
        </w:tc>
      </w:tr>
      <w:tr w14:paraId="6544880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66"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A218E9C">
            <w:pPr>
              <w:pStyle w:val="5"/>
              <w:jc w:val="center"/>
              <w:rPr>
                <w:rFonts w:hint="eastAsia" w:ascii="宋体" w:hAnsi="宋体" w:eastAsia="宋体" w:cs="宋体"/>
                <w:highlight w:val="none"/>
              </w:rPr>
            </w:pPr>
            <w:r>
              <w:rPr>
                <w:rFonts w:hint="eastAsia" w:ascii="宋体" w:hAnsi="宋体" w:eastAsia="宋体" w:cs="宋体"/>
                <w:sz w:val="21"/>
                <w:highlight w:val="none"/>
              </w:rPr>
              <w:t>1</w:t>
            </w:r>
          </w:p>
        </w:tc>
        <w:tc>
          <w:tcPr>
            <w:tcW w:w="877"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F1EF6E0">
            <w:pPr>
              <w:pStyle w:val="5"/>
              <w:jc w:val="center"/>
              <w:rPr>
                <w:rFonts w:hint="eastAsia" w:ascii="宋体" w:hAnsi="宋体" w:eastAsia="宋体" w:cs="宋体"/>
                <w:highlight w:val="none"/>
              </w:rPr>
            </w:pPr>
            <w:r>
              <w:rPr>
                <w:rFonts w:hint="eastAsia" w:ascii="宋体" w:hAnsi="宋体" w:eastAsia="宋体" w:cs="宋体"/>
                <w:sz w:val="21"/>
                <w:highlight w:val="none"/>
              </w:rPr>
              <w:t>500万元以下</w:t>
            </w:r>
          </w:p>
        </w:tc>
        <w:tc>
          <w:tcPr>
            <w:tcW w:w="642"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8826E73">
            <w:pPr>
              <w:pStyle w:val="5"/>
              <w:jc w:val="center"/>
              <w:rPr>
                <w:rFonts w:hint="eastAsia" w:ascii="宋体" w:hAnsi="宋体" w:eastAsia="宋体" w:cs="宋体"/>
                <w:highlight w:val="none"/>
              </w:rPr>
            </w:pPr>
            <w:r>
              <w:rPr>
                <w:rFonts w:hint="eastAsia" w:ascii="宋体" w:hAnsi="宋体" w:eastAsia="宋体" w:cs="宋体"/>
                <w:sz w:val="21"/>
                <w:highlight w:val="none"/>
              </w:rPr>
              <w:t>12个工作日</w:t>
            </w:r>
          </w:p>
        </w:tc>
        <w:tc>
          <w:tcPr>
            <w:tcW w:w="784"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08A3EAE">
            <w:pPr>
              <w:pStyle w:val="5"/>
              <w:jc w:val="center"/>
              <w:rPr>
                <w:rFonts w:hint="eastAsia" w:ascii="宋体" w:hAnsi="宋体" w:eastAsia="宋体" w:cs="宋体"/>
                <w:highlight w:val="none"/>
              </w:rPr>
            </w:pPr>
            <w:r>
              <w:rPr>
                <w:rFonts w:hint="eastAsia" w:ascii="宋体" w:hAnsi="宋体" w:eastAsia="宋体" w:cs="宋体"/>
                <w:sz w:val="21"/>
                <w:highlight w:val="none"/>
              </w:rPr>
              <w:t>接收到建设单位回复初稿意见后的次日起6个工作日内出具修订1稿</w:t>
            </w:r>
          </w:p>
        </w:tc>
        <w:tc>
          <w:tcPr>
            <w:tcW w:w="881"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BF2AA6A">
            <w:pPr>
              <w:pStyle w:val="5"/>
              <w:jc w:val="center"/>
              <w:rPr>
                <w:rFonts w:hint="eastAsia" w:ascii="宋体" w:hAnsi="宋体" w:eastAsia="宋体" w:cs="宋体"/>
                <w:highlight w:val="none"/>
              </w:rPr>
            </w:pPr>
            <w:r>
              <w:rPr>
                <w:rFonts w:hint="eastAsia" w:ascii="宋体" w:hAnsi="宋体" w:eastAsia="宋体" w:cs="宋体"/>
                <w:sz w:val="21"/>
                <w:highlight w:val="none"/>
              </w:rPr>
              <w:t>接收到建设单位回复修订1稿意见后的次日起6个工作日内出具修订2稿</w:t>
            </w:r>
          </w:p>
        </w:tc>
        <w:tc>
          <w:tcPr>
            <w:tcW w:w="859"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209A7F1">
            <w:pPr>
              <w:pStyle w:val="5"/>
              <w:jc w:val="center"/>
              <w:rPr>
                <w:rFonts w:hint="eastAsia" w:ascii="宋体" w:hAnsi="宋体" w:eastAsia="宋体" w:cs="宋体"/>
                <w:highlight w:val="none"/>
              </w:rPr>
            </w:pPr>
            <w:r>
              <w:rPr>
                <w:rFonts w:hint="eastAsia" w:ascii="宋体" w:hAnsi="宋体" w:eastAsia="宋体" w:cs="宋体"/>
                <w:sz w:val="21"/>
                <w:highlight w:val="none"/>
              </w:rPr>
              <w:t>接收到建设单位回复修订2稿意见后的次日起6个工作日内出具终稿</w:t>
            </w:r>
          </w:p>
        </w:tc>
        <w:tc>
          <w:tcPr>
            <w:tcW w:w="587"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7772C07">
            <w:pPr>
              <w:pStyle w:val="5"/>
              <w:jc w:val="center"/>
              <w:rPr>
                <w:rFonts w:hint="eastAsia" w:ascii="宋体" w:hAnsi="宋体" w:eastAsia="宋体" w:cs="宋体"/>
                <w:highlight w:val="none"/>
              </w:rPr>
            </w:pPr>
            <w:r>
              <w:rPr>
                <w:rFonts w:hint="eastAsia" w:ascii="宋体" w:hAnsi="宋体" w:eastAsia="宋体" w:cs="宋体"/>
                <w:sz w:val="21"/>
                <w:highlight w:val="none"/>
              </w:rPr>
              <w:t>3个工作日内</w:t>
            </w:r>
          </w:p>
        </w:tc>
      </w:tr>
      <w:tr w14:paraId="5145EFC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66"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8A0A664">
            <w:pPr>
              <w:pStyle w:val="5"/>
              <w:jc w:val="center"/>
              <w:rPr>
                <w:rFonts w:hint="eastAsia" w:ascii="宋体" w:hAnsi="宋体" w:eastAsia="宋体" w:cs="宋体"/>
                <w:highlight w:val="none"/>
              </w:rPr>
            </w:pPr>
            <w:r>
              <w:rPr>
                <w:rFonts w:hint="eastAsia" w:ascii="宋体" w:hAnsi="宋体" w:eastAsia="宋体" w:cs="宋体"/>
                <w:sz w:val="21"/>
                <w:highlight w:val="none"/>
              </w:rPr>
              <w:t>2</w:t>
            </w:r>
          </w:p>
        </w:tc>
        <w:tc>
          <w:tcPr>
            <w:tcW w:w="877"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8D90949">
            <w:pPr>
              <w:pStyle w:val="5"/>
              <w:jc w:val="center"/>
              <w:rPr>
                <w:rFonts w:hint="eastAsia" w:ascii="宋体" w:hAnsi="宋体" w:eastAsia="宋体" w:cs="宋体"/>
                <w:highlight w:val="none"/>
              </w:rPr>
            </w:pPr>
            <w:r>
              <w:rPr>
                <w:rFonts w:hint="eastAsia" w:ascii="宋体" w:hAnsi="宋体" w:eastAsia="宋体" w:cs="宋体"/>
                <w:sz w:val="21"/>
                <w:highlight w:val="none"/>
              </w:rPr>
              <w:t>500万元（含）—3,000万元以下</w:t>
            </w:r>
          </w:p>
        </w:tc>
        <w:tc>
          <w:tcPr>
            <w:tcW w:w="642"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2DFC7D1">
            <w:pPr>
              <w:pStyle w:val="5"/>
              <w:jc w:val="center"/>
              <w:rPr>
                <w:rFonts w:hint="eastAsia" w:ascii="宋体" w:hAnsi="宋体" w:eastAsia="宋体" w:cs="宋体"/>
                <w:highlight w:val="none"/>
              </w:rPr>
            </w:pPr>
            <w:r>
              <w:rPr>
                <w:rFonts w:hint="eastAsia" w:ascii="宋体" w:hAnsi="宋体" w:eastAsia="宋体" w:cs="宋体"/>
                <w:sz w:val="21"/>
                <w:highlight w:val="none"/>
              </w:rPr>
              <w:t>20个工作日</w:t>
            </w:r>
          </w:p>
        </w:tc>
        <w:tc>
          <w:tcPr>
            <w:tcW w:w="784"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780FBE1">
            <w:pPr>
              <w:pStyle w:val="5"/>
              <w:jc w:val="center"/>
              <w:rPr>
                <w:rFonts w:hint="eastAsia" w:ascii="宋体" w:hAnsi="宋体" w:eastAsia="宋体" w:cs="宋体"/>
                <w:highlight w:val="none"/>
              </w:rPr>
            </w:pPr>
            <w:r>
              <w:rPr>
                <w:rFonts w:hint="eastAsia" w:ascii="宋体" w:hAnsi="宋体" w:eastAsia="宋体" w:cs="宋体"/>
                <w:sz w:val="21"/>
                <w:highlight w:val="none"/>
              </w:rPr>
              <w:t>接收到建设单位回复初稿意见后的次日起8个工作日内出具修订1稿</w:t>
            </w:r>
          </w:p>
        </w:tc>
        <w:tc>
          <w:tcPr>
            <w:tcW w:w="881"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F016588">
            <w:pPr>
              <w:pStyle w:val="5"/>
              <w:jc w:val="center"/>
              <w:rPr>
                <w:rFonts w:hint="eastAsia" w:ascii="宋体" w:hAnsi="宋体" w:eastAsia="宋体" w:cs="宋体"/>
                <w:highlight w:val="none"/>
              </w:rPr>
            </w:pPr>
            <w:r>
              <w:rPr>
                <w:rFonts w:hint="eastAsia" w:ascii="宋体" w:hAnsi="宋体" w:eastAsia="宋体" w:cs="宋体"/>
                <w:sz w:val="21"/>
                <w:highlight w:val="none"/>
              </w:rPr>
              <w:t>接收到建设单位回复修订1稿意见后的次日起8个工作日内出具修订2稿</w:t>
            </w:r>
          </w:p>
        </w:tc>
        <w:tc>
          <w:tcPr>
            <w:tcW w:w="859"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64D160D">
            <w:pPr>
              <w:pStyle w:val="5"/>
              <w:jc w:val="center"/>
              <w:rPr>
                <w:rFonts w:hint="eastAsia" w:ascii="宋体" w:hAnsi="宋体" w:eastAsia="宋体" w:cs="宋体"/>
                <w:highlight w:val="none"/>
              </w:rPr>
            </w:pPr>
            <w:r>
              <w:rPr>
                <w:rFonts w:hint="eastAsia" w:ascii="宋体" w:hAnsi="宋体" w:eastAsia="宋体" w:cs="宋体"/>
                <w:sz w:val="21"/>
                <w:highlight w:val="none"/>
              </w:rPr>
              <w:t>接收到建设单位回复修订2稿意见后的次日起8个工作日内出具终稿</w:t>
            </w:r>
          </w:p>
        </w:tc>
        <w:tc>
          <w:tcPr>
            <w:tcW w:w="587"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6BBCEC7">
            <w:pPr>
              <w:pStyle w:val="5"/>
              <w:jc w:val="center"/>
              <w:rPr>
                <w:rFonts w:hint="eastAsia" w:ascii="宋体" w:hAnsi="宋体" w:eastAsia="宋体" w:cs="宋体"/>
                <w:highlight w:val="none"/>
              </w:rPr>
            </w:pPr>
            <w:r>
              <w:rPr>
                <w:rFonts w:hint="eastAsia" w:ascii="宋体" w:hAnsi="宋体" w:eastAsia="宋体" w:cs="宋体"/>
                <w:sz w:val="21"/>
                <w:highlight w:val="none"/>
              </w:rPr>
              <w:t>3个工作日内</w:t>
            </w:r>
          </w:p>
        </w:tc>
      </w:tr>
      <w:tr w14:paraId="6C8EFF5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66"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988C840">
            <w:pPr>
              <w:pStyle w:val="5"/>
              <w:jc w:val="center"/>
              <w:rPr>
                <w:rFonts w:hint="eastAsia" w:ascii="宋体" w:hAnsi="宋体" w:eastAsia="宋体" w:cs="宋体"/>
                <w:highlight w:val="none"/>
              </w:rPr>
            </w:pPr>
            <w:r>
              <w:rPr>
                <w:rFonts w:hint="eastAsia" w:ascii="宋体" w:hAnsi="宋体" w:eastAsia="宋体" w:cs="宋体"/>
                <w:sz w:val="21"/>
                <w:highlight w:val="none"/>
              </w:rPr>
              <w:t>3</w:t>
            </w:r>
          </w:p>
        </w:tc>
        <w:tc>
          <w:tcPr>
            <w:tcW w:w="877"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04931CD">
            <w:pPr>
              <w:pStyle w:val="5"/>
              <w:jc w:val="center"/>
              <w:rPr>
                <w:rFonts w:hint="eastAsia" w:ascii="宋体" w:hAnsi="宋体" w:eastAsia="宋体" w:cs="宋体"/>
                <w:highlight w:val="none"/>
              </w:rPr>
            </w:pPr>
            <w:r>
              <w:rPr>
                <w:rFonts w:hint="eastAsia" w:ascii="宋体" w:hAnsi="宋体" w:eastAsia="宋体" w:cs="宋体"/>
                <w:sz w:val="21"/>
                <w:highlight w:val="none"/>
              </w:rPr>
              <w:t>3,000万元（含）—5,000万元以下</w:t>
            </w:r>
          </w:p>
        </w:tc>
        <w:tc>
          <w:tcPr>
            <w:tcW w:w="642"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43CA212">
            <w:pPr>
              <w:pStyle w:val="5"/>
              <w:jc w:val="center"/>
              <w:rPr>
                <w:rFonts w:hint="eastAsia" w:ascii="宋体" w:hAnsi="宋体" w:eastAsia="宋体" w:cs="宋体"/>
                <w:highlight w:val="none"/>
              </w:rPr>
            </w:pPr>
            <w:r>
              <w:rPr>
                <w:rFonts w:hint="eastAsia" w:ascii="宋体" w:hAnsi="宋体" w:eastAsia="宋体" w:cs="宋体"/>
                <w:sz w:val="21"/>
                <w:highlight w:val="none"/>
              </w:rPr>
              <w:t>25个工作日</w:t>
            </w:r>
          </w:p>
        </w:tc>
        <w:tc>
          <w:tcPr>
            <w:tcW w:w="784"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72725BC">
            <w:pPr>
              <w:pStyle w:val="5"/>
              <w:jc w:val="center"/>
              <w:rPr>
                <w:rFonts w:hint="eastAsia" w:ascii="宋体" w:hAnsi="宋体" w:eastAsia="宋体" w:cs="宋体"/>
                <w:highlight w:val="none"/>
              </w:rPr>
            </w:pPr>
            <w:r>
              <w:rPr>
                <w:rFonts w:hint="eastAsia" w:ascii="宋体" w:hAnsi="宋体" w:eastAsia="宋体" w:cs="宋体"/>
                <w:sz w:val="21"/>
                <w:highlight w:val="none"/>
              </w:rPr>
              <w:t>接收到建设单位回复初稿意见后的次日起11个工作日内出具修订1稿</w:t>
            </w:r>
          </w:p>
        </w:tc>
        <w:tc>
          <w:tcPr>
            <w:tcW w:w="881"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A91DEEA">
            <w:pPr>
              <w:pStyle w:val="5"/>
              <w:jc w:val="center"/>
              <w:rPr>
                <w:rFonts w:hint="eastAsia" w:ascii="宋体" w:hAnsi="宋体" w:eastAsia="宋体" w:cs="宋体"/>
                <w:highlight w:val="none"/>
              </w:rPr>
            </w:pPr>
            <w:r>
              <w:rPr>
                <w:rFonts w:hint="eastAsia" w:ascii="宋体" w:hAnsi="宋体" w:eastAsia="宋体" w:cs="宋体"/>
                <w:sz w:val="21"/>
                <w:highlight w:val="none"/>
              </w:rPr>
              <w:t>接收到建设单位回复修订1稿意见后的次日起11个工作日内出具修订2稿</w:t>
            </w:r>
          </w:p>
        </w:tc>
        <w:tc>
          <w:tcPr>
            <w:tcW w:w="859"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573014B">
            <w:pPr>
              <w:pStyle w:val="5"/>
              <w:jc w:val="center"/>
              <w:rPr>
                <w:rFonts w:hint="eastAsia" w:ascii="宋体" w:hAnsi="宋体" w:eastAsia="宋体" w:cs="宋体"/>
                <w:highlight w:val="none"/>
              </w:rPr>
            </w:pPr>
            <w:r>
              <w:rPr>
                <w:rFonts w:hint="eastAsia" w:ascii="宋体" w:hAnsi="宋体" w:eastAsia="宋体" w:cs="宋体"/>
                <w:sz w:val="21"/>
                <w:highlight w:val="none"/>
              </w:rPr>
              <w:t>接收到建设单位回复修订2稿意见后的次日起11个工作日内出具终稿</w:t>
            </w:r>
          </w:p>
        </w:tc>
        <w:tc>
          <w:tcPr>
            <w:tcW w:w="587"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5F7FC59">
            <w:pPr>
              <w:pStyle w:val="5"/>
              <w:jc w:val="center"/>
              <w:rPr>
                <w:rFonts w:hint="eastAsia" w:ascii="宋体" w:hAnsi="宋体" w:eastAsia="宋体" w:cs="宋体"/>
                <w:highlight w:val="none"/>
              </w:rPr>
            </w:pPr>
            <w:r>
              <w:rPr>
                <w:rFonts w:hint="eastAsia" w:ascii="宋体" w:hAnsi="宋体" w:eastAsia="宋体" w:cs="宋体"/>
                <w:sz w:val="21"/>
                <w:highlight w:val="none"/>
              </w:rPr>
              <w:t>3个工作日内</w:t>
            </w:r>
          </w:p>
        </w:tc>
      </w:tr>
      <w:tr w14:paraId="57D8054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66"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91DD774">
            <w:pPr>
              <w:pStyle w:val="5"/>
              <w:jc w:val="center"/>
              <w:rPr>
                <w:rFonts w:hint="eastAsia" w:ascii="宋体" w:hAnsi="宋体" w:eastAsia="宋体" w:cs="宋体"/>
                <w:highlight w:val="none"/>
              </w:rPr>
            </w:pPr>
            <w:r>
              <w:rPr>
                <w:rFonts w:hint="eastAsia" w:ascii="宋体" w:hAnsi="宋体" w:eastAsia="宋体" w:cs="宋体"/>
                <w:sz w:val="21"/>
                <w:highlight w:val="none"/>
              </w:rPr>
              <w:t>4</w:t>
            </w:r>
          </w:p>
        </w:tc>
        <w:tc>
          <w:tcPr>
            <w:tcW w:w="877"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89DD87E">
            <w:pPr>
              <w:pStyle w:val="5"/>
              <w:jc w:val="center"/>
              <w:rPr>
                <w:rFonts w:hint="eastAsia" w:ascii="宋体" w:hAnsi="宋体" w:eastAsia="宋体" w:cs="宋体"/>
                <w:highlight w:val="none"/>
              </w:rPr>
            </w:pPr>
            <w:r>
              <w:rPr>
                <w:rFonts w:hint="eastAsia" w:ascii="宋体" w:hAnsi="宋体" w:eastAsia="宋体" w:cs="宋体"/>
                <w:sz w:val="21"/>
                <w:highlight w:val="none"/>
              </w:rPr>
              <w:t>5,000万元（含）—10,000万元以下</w:t>
            </w:r>
          </w:p>
        </w:tc>
        <w:tc>
          <w:tcPr>
            <w:tcW w:w="642"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4F06566">
            <w:pPr>
              <w:pStyle w:val="5"/>
              <w:jc w:val="center"/>
              <w:rPr>
                <w:rFonts w:hint="eastAsia" w:ascii="宋体" w:hAnsi="宋体" w:eastAsia="宋体" w:cs="宋体"/>
                <w:highlight w:val="none"/>
              </w:rPr>
            </w:pPr>
            <w:r>
              <w:rPr>
                <w:rFonts w:hint="eastAsia" w:ascii="宋体" w:hAnsi="宋体" w:eastAsia="宋体" w:cs="宋体"/>
                <w:sz w:val="21"/>
                <w:highlight w:val="none"/>
              </w:rPr>
              <w:t>35个工作日</w:t>
            </w:r>
          </w:p>
        </w:tc>
        <w:tc>
          <w:tcPr>
            <w:tcW w:w="784"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A5CC20C">
            <w:pPr>
              <w:pStyle w:val="5"/>
              <w:jc w:val="center"/>
              <w:rPr>
                <w:rFonts w:hint="eastAsia" w:ascii="宋体" w:hAnsi="宋体" w:eastAsia="宋体" w:cs="宋体"/>
                <w:highlight w:val="none"/>
              </w:rPr>
            </w:pPr>
            <w:r>
              <w:rPr>
                <w:rFonts w:hint="eastAsia" w:ascii="宋体" w:hAnsi="宋体" w:eastAsia="宋体" w:cs="宋体"/>
                <w:sz w:val="21"/>
                <w:highlight w:val="none"/>
              </w:rPr>
              <w:t>接收到建设单位回复初稿意见后的次日起11个工作日内出具修订1稿</w:t>
            </w:r>
          </w:p>
        </w:tc>
        <w:tc>
          <w:tcPr>
            <w:tcW w:w="881"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CCF9A91">
            <w:pPr>
              <w:pStyle w:val="5"/>
              <w:jc w:val="center"/>
              <w:rPr>
                <w:rFonts w:hint="eastAsia" w:ascii="宋体" w:hAnsi="宋体" w:eastAsia="宋体" w:cs="宋体"/>
                <w:highlight w:val="none"/>
              </w:rPr>
            </w:pPr>
            <w:r>
              <w:rPr>
                <w:rFonts w:hint="eastAsia" w:ascii="宋体" w:hAnsi="宋体" w:eastAsia="宋体" w:cs="宋体"/>
                <w:sz w:val="21"/>
                <w:highlight w:val="none"/>
              </w:rPr>
              <w:t>接收到建设单位回复修订1稿意见后的次日起11个工作日内出具修订2稿</w:t>
            </w:r>
          </w:p>
        </w:tc>
        <w:tc>
          <w:tcPr>
            <w:tcW w:w="859"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DABFD88">
            <w:pPr>
              <w:pStyle w:val="5"/>
              <w:jc w:val="center"/>
              <w:rPr>
                <w:rFonts w:hint="eastAsia" w:ascii="宋体" w:hAnsi="宋体" w:eastAsia="宋体" w:cs="宋体"/>
                <w:highlight w:val="none"/>
              </w:rPr>
            </w:pPr>
            <w:r>
              <w:rPr>
                <w:rFonts w:hint="eastAsia" w:ascii="宋体" w:hAnsi="宋体" w:eastAsia="宋体" w:cs="宋体"/>
                <w:sz w:val="21"/>
                <w:highlight w:val="none"/>
              </w:rPr>
              <w:t>接收到建设单位回复修订2稿意见后的次日起11个工作日内出具终稿</w:t>
            </w:r>
          </w:p>
        </w:tc>
        <w:tc>
          <w:tcPr>
            <w:tcW w:w="587"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E61D1DD">
            <w:pPr>
              <w:pStyle w:val="5"/>
              <w:jc w:val="center"/>
              <w:rPr>
                <w:rFonts w:hint="eastAsia" w:ascii="宋体" w:hAnsi="宋体" w:eastAsia="宋体" w:cs="宋体"/>
                <w:highlight w:val="none"/>
              </w:rPr>
            </w:pPr>
            <w:r>
              <w:rPr>
                <w:rFonts w:hint="eastAsia" w:ascii="宋体" w:hAnsi="宋体" w:eastAsia="宋体" w:cs="宋体"/>
                <w:sz w:val="21"/>
                <w:highlight w:val="none"/>
              </w:rPr>
              <w:t>3个工作日内</w:t>
            </w:r>
          </w:p>
        </w:tc>
      </w:tr>
      <w:tr w14:paraId="72EFAD8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66"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BC70A2D">
            <w:pPr>
              <w:pStyle w:val="5"/>
              <w:jc w:val="center"/>
              <w:rPr>
                <w:rFonts w:hint="eastAsia" w:ascii="宋体" w:hAnsi="宋体" w:eastAsia="宋体" w:cs="宋体"/>
                <w:highlight w:val="none"/>
              </w:rPr>
            </w:pPr>
            <w:r>
              <w:rPr>
                <w:rFonts w:hint="eastAsia" w:ascii="宋体" w:hAnsi="宋体" w:eastAsia="宋体" w:cs="宋体"/>
                <w:sz w:val="21"/>
                <w:highlight w:val="none"/>
              </w:rPr>
              <w:t>5</w:t>
            </w:r>
          </w:p>
        </w:tc>
        <w:tc>
          <w:tcPr>
            <w:tcW w:w="877"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E3E0D90">
            <w:pPr>
              <w:pStyle w:val="5"/>
              <w:jc w:val="center"/>
              <w:rPr>
                <w:rFonts w:hint="eastAsia" w:ascii="宋体" w:hAnsi="宋体" w:eastAsia="宋体" w:cs="宋体"/>
                <w:highlight w:val="none"/>
              </w:rPr>
            </w:pPr>
            <w:r>
              <w:rPr>
                <w:rFonts w:hint="eastAsia" w:ascii="宋体" w:hAnsi="宋体" w:eastAsia="宋体" w:cs="宋体"/>
                <w:sz w:val="21"/>
                <w:highlight w:val="none"/>
              </w:rPr>
              <w:t>10,000万元以上（含）</w:t>
            </w:r>
          </w:p>
        </w:tc>
        <w:tc>
          <w:tcPr>
            <w:tcW w:w="642"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420FA8D">
            <w:pPr>
              <w:pStyle w:val="5"/>
              <w:jc w:val="center"/>
              <w:rPr>
                <w:rFonts w:hint="eastAsia" w:ascii="宋体" w:hAnsi="宋体" w:eastAsia="宋体" w:cs="宋体"/>
                <w:highlight w:val="none"/>
              </w:rPr>
            </w:pPr>
            <w:r>
              <w:rPr>
                <w:rFonts w:hint="eastAsia" w:ascii="宋体" w:hAnsi="宋体" w:eastAsia="宋体" w:cs="宋体"/>
                <w:sz w:val="21"/>
                <w:highlight w:val="none"/>
              </w:rPr>
              <w:t>40个工作日</w:t>
            </w:r>
          </w:p>
        </w:tc>
        <w:tc>
          <w:tcPr>
            <w:tcW w:w="784"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87AFE8B">
            <w:pPr>
              <w:pStyle w:val="5"/>
              <w:jc w:val="center"/>
              <w:rPr>
                <w:rFonts w:hint="eastAsia" w:ascii="宋体" w:hAnsi="宋体" w:eastAsia="宋体" w:cs="宋体"/>
                <w:highlight w:val="none"/>
              </w:rPr>
            </w:pPr>
            <w:r>
              <w:rPr>
                <w:rFonts w:hint="eastAsia" w:ascii="宋体" w:hAnsi="宋体" w:eastAsia="宋体" w:cs="宋体"/>
                <w:sz w:val="21"/>
                <w:highlight w:val="none"/>
              </w:rPr>
              <w:t>接收到建设单位回复初稿意见后的次日起14个工作日内出具修订1稿</w:t>
            </w:r>
          </w:p>
        </w:tc>
        <w:tc>
          <w:tcPr>
            <w:tcW w:w="881"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981614E">
            <w:pPr>
              <w:pStyle w:val="5"/>
              <w:jc w:val="center"/>
              <w:rPr>
                <w:rFonts w:hint="eastAsia" w:ascii="宋体" w:hAnsi="宋体" w:eastAsia="宋体" w:cs="宋体"/>
                <w:highlight w:val="none"/>
              </w:rPr>
            </w:pPr>
            <w:r>
              <w:rPr>
                <w:rFonts w:hint="eastAsia" w:ascii="宋体" w:hAnsi="宋体" w:eastAsia="宋体" w:cs="宋体"/>
                <w:sz w:val="21"/>
                <w:highlight w:val="none"/>
              </w:rPr>
              <w:t>接收到建设单位回复修订1稿意见后的次日起14个工作日内出具修订2稿</w:t>
            </w:r>
          </w:p>
        </w:tc>
        <w:tc>
          <w:tcPr>
            <w:tcW w:w="859"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528A5D0">
            <w:pPr>
              <w:pStyle w:val="5"/>
              <w:jc w:val="center"/>
              <w:rPr>
                <w:rFonts w:hint="eastAsia" w:ascii="宋体" w:hAnsi="宋体" w:eastAsia="宋体" w:cs="宋体"/>
                <w:highlight w:val="none"/>
              </w:rPr>
            </w:pPr>
            <w:r>
              <w:rPr>
                <w:rFonts w:hint="eastAsia" w:ascii="宋体" w:hAnsi="宋体" w:eastAsia="宋体" w:cs="宋体"/>
                <w:sz w:val="21"/>
                <w:highlight w:val="none"/>
              </w:rPr>
              <w:t>接收到建设单位回复修订2稿意见后的次日起14个工作日内出具终稿</w:t>
            </w:r>
          </w:p>
        </w:tc>
        <w:tc>
          <w:tcPr>
            <w:tcW w:w="587"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D1DB0D6">
            <w:pPr>
              <w:pStyle w:val="5"/>
              <w:jc w:val="center"/>
              <w:rPr>
                <w:rFonts w:hint="eastAsia" w:ascii="宋体" w:hAnsi="宋体" w:eastAsia="宋体" w:cs="宋体"/>
                <w:highlight w:val="none"/>
              </w:rPr>
            </w:pPr>
            <w:r>
              <w:rPr>
                <w:rFonts w:hint="eastAsia" w:ascii="宋体" w:hAnsi="宋体" w:eastAsia="宋体" w:cs="宋体"/>
                <w:sz w:val="21"/>
                <w:highlight w:val="none"/>
              </w:rPr>
              <w:t>3个工作日内</w:t>
            </w:r>
          </w:p>
        </w:tc>
      </w:tr>
    </w:tbl>
    <w:p w14:paraId="290BAD88">
      <w:pPr>
        <w:rPr>
          <w:rFonts w:hint="eastAsia" w:ascii="宋体" w:hAnsi="宋体" w:eastAsia="宋体" w:cs="宋体"/>
          <w:highlight w:val="none"/>
          <w:lang w:val="en-US" w:eastAsia="zh-CN"/>
        </w:rPr>
      </w:pPr>
      <w:r>
        <w:rPr>
          <w:rFonts w:hint="eastAsia" w:ascii="宋体" w:hAnsi="宋体" w:eastAsia="宋体" w:cs="宋体"/>
          <w:highlight w:val="none"/>
          <w:lang w:val="en-US" w:eastAsia="zh-CN"/>
        </w:rPr>
        <w:t>4.逾期处罚办法</w:t>
      </w:r>
    </w:p>
    <w:p w14:paraId="6EF3908A">
      <w:pPr>
        <w:rPr>
          <w:rFonts w:hint="eastAsia" w:ascii="宋体" w:hAnsi="宋体" w:eastAsia="宋体" w:cs="宋体"/>
          <w:highlight w:val="none"/>
          <w:lang w:val="en-US" w:eastAsia="zh-CN"/>
        </w:rPr>
      </w:pPr>
      <w:r>
        <w:rPr>
          <w:rFonts w:hint="eastAsia" w:ascii="宋体" w:hAnsi="宋体" w:eastAsia="宋体" w:cs="宋体"/>
          <w:highlight w:val="none"/>
          <w:lang w:val="en-US" w:eastAsia="zh-CN"/>
        </w:rPr>
        <w:t>1)建设单位报送资料齐全，因中标人自身因素，未能按约定的时间提交初稿、修订稿、终稿、正稿给采购人复核和对复核意见处理不及时的，整个评审过程累计逾期按如下规定处理：</w:t>
      </w:r>
    </w:p>
    <w:p w14:paraId="30143584">
      <w:pPr>
        <w:rPr>
          <w:rFonts w:hint="eastAsia" w:ascii="宋体" w:hAnsi="宋体" w:eastAsia="宋体" w:cs="宋体"/>
          <w:highlight w:val="none"/>
          <w:lang w:val="en-US" w:eastAsia="zh-CN"/>
        </w:rPr>
      </w:pPr>
      <w:r>
        <w:rPr>
          <w:rFonts w:hint="eastAsia" w:ascii="宋体" w:hAnsi="宋体" w:eastAsia="宋体" w:cs="宋体"/>
          <w:highlight w:val="none"/>
          <w:lang w:val="en-US" w:eastAsia="zh-CN"/>
        </w:rPr>
        <w:t>①　0天＜逾期天数≤5个工作日，每逾期1个工作日扣减服务费5%，累计扣减服务费不超过25%。</w:t>
      </w:r>
    </w:p>
    <w:p w14:paraId="3AA5B368">
      <w:pPr>
        <w:rPr>
          <w:rFonts w:hint="eastAsia" w:ascii="宋体" w:hAnsi="宋体" w:eastAsia="宋体" w:cs="宋体"/>
          <w:highlight w:val="none"/>
          <w:lang w:val="en-US" w:eastAsia="zh-CN"/>
        </w:rPr>
      </w:pPr>
      <w:r>
        <w:rPr>
          <w:rFonts w:hint="eastAsia" w:ascii="宋体" w:hAnsi="宋体" w:eastAsia="宋体" w:cs="宋体"/>
          <w:highlight w:val="none"/>
          <w:lang w:val="en-US" w:eastAsia="zh-CN"/>
        </w:rPr>
        <w:t>②　5个工作日＜逾期天数≤10个工作日，扣减服务费50%。</w:t>
      </w:r>
    </w:p>
    <w:p w14:paraId="0FD692D7">
      <w:pPr>
        <w:rPr>
          <w:rFonts w:hint="eastAsia" w:ascii="宋体" w:hAnsi="宋体" w:eastAsia="宋体" w:cs="宋体"/>
          <w:highlight w:val="none"/>
          <w:lang w:val="en-US" w:eastAsia="zh-CN"/>
        </w:rPr>
      </w:pPr>
      <w:r>
        <w:rPr>
          <w:rFonts w:hint="eastAsia" w:ascii="宋体" w:hAnsi="宋体" w:eastAsia="宋体" w:cs="宋体"/>
          <w:highlight w:val="none"/>
          <w:lang w:val="en-US" w:eastAsia="zh-CN"/>
        </w:rPr>
        <w:t>③　逾期天数＞10个工作日，扣减服务费100%。</w:t>
      </w:r>
    </w:p>
    <w:p w14:paraId="02023141">
      <w:pPr>
        <w:rPr>
          <w:rFonts w:hint="eastAsia" w:ascii="宋体" w:hAnsi="宋体" w:eastAsia="宋体" w:cs="宋体"/>
          <w:highlight w:val="none"/>
          <w:lang w:val="en-US" w:eastAsia="zh-CN"/>
        </w:rPr>
      </w:pPr>
      <w:r>
        <w:rPr>
          <w:rFonts w:hint="eastAsia" w:ascii="宋体" w:hAnsi="宋体" w:eastAsia="宋体" w:cs="宋体"/>
          <w:highlight w:val="none"/>
          <w:lang w:val="en-US" w:eastAsia="zh-CN"/>
        </w:rPr>
        <w:t>2)采购人通知对数或要求提供其他现场咨询服务，中标人须在3个工作日内安排完成；中标人出初稿前，对项目评审过程中存在的问题应提前书面与采购人进行沟通协商；评审期间要到约定地点对数或咨询的，须于约定时间提前10分钟到达现场，并进行评审情况交底。</w:t>
      </w:r>
    </w:p>
    <w:p w14:paraId="39056D7F">
      <w:pPr>
        <w:numPr>
          <w:ilvl w:val="0"/>
          <w:numId w:val="1"/>
        </w:numPr>
        <w:ind w:left="0" w:leftChars="0" w:firstLine="422" w:firstLineChars="200"/>
        <w:rPr>
          <w:rFonts w:hint="eastAsia" w:ascii="宋体" w:hAnsi="宋体" w:eastAsia="宋体" w:cs="宋体"/>
          <w:b/>
          <w:bCs/>
          <w:highlight w:val="none"/>
          <w:lang w:val="en-US" w:eastAsia="zh-CN"/>
        </w:rPr>
      </w:pPr>
      <w:r>
        <w:rPr>
          <w:rFonts w:hint="eastAsia" w:ascii="宋体" w:hAnsi="宋体" w:eastAsia="宋体" w:cs="宋体"/>
          <w:b/>
          <w:bCs/>
          <w:highlight w:val="none"/>
          <w:lang w:val="en-US" w:eastAsia="zh-CN"/>
        </w:rPr>
        <w:t>项目考核标准</w:t>
      </w:r>
    </w:p>
    <w:p w14:paraId="0002E132">
      <w:pPr>
        <w:rPr>
          <w:rFonts w:hint="eastAsia" w:ascii="宋体" w:hAnsi="宋体" w:eastAsia="宋体" w:cs="宋体"/>
          <w:highlight w:val="none"/>
          <w:lang w:val="en-US" w:eastAsia="zh-CN"/>
        </w:rPr>
      </w:pPr>
      <w:r>
        <w:rPr>
          <w:rFonts w:hint="eastAsia" w:ascii="宋体" w:hAnsi="宋体" w:eastAsia="宋体" w:cs="宋体"/>
          <w:highlight w:val="none"/>
          <w:lang w:val="en-US" w:eastAsia="zh-CN"/>
        </w:rPr>
        <w:t>1.采购人对每个审核项目开展量化考核，采购人有权根据实际情况进行调整，中标人须无条件服从。</w:t>
      </w:r>
    </w:p>
    <w:p w14:paraId="4A1C2DD8">
      <w:pPr>
        <w:rPr>
          <w:rFonts w:hint="eastAsia" w:ascii="宋体" w:hAnsi="宋体" w:eastAsia="宋体" w:cs="宋体"/>
          <w:highlight w:val="none"/>
          <w:lang w:val="en-US" w:eastAsia="zh-CN"/>
        </w:rPr>
      </w:pPr>
      <w:r>
        <w:rPr>
          <w:rFonts w:hint="eastAsia" w:ascii="宋体" w:hAnsi="宋体" w:eastAsia="宋体" w:cs="宋体"/>
          <w:highlight w:val="none"/>
          <w:lang w:val="en-US" w:eastAsia="zh-CN"/>
        </w:rPr>
        <w:t>2.概算审核、预结算审核和复核中介机构单项评审工作考核评分（详见下表）</w:t>
      </w:r>
    </w:p>
    <w:tbl>
      <w:tblPr>
        <w:tblStyle w:val="3"/>
        <w:tblW w:w="5218" w:type="pct"/>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fixed"/>
        <w:tblCellMar>
          <w:top w:w="0" w:type="dxa"/>
          <w:left w:w="108" w:type="dxa"/>
          <w:bottom w:w="0" w:type="dxa"/>
          <w:right w:w="108" w:type="dxa"/>
        </w:tblCellMar>
      </w:tblPr>
      <w:tblGrid>
        <w:gridCol w:w="758"/>
        <w:gridCol w:w="689"/>
        <w:gridCol w:w="754"/>
        <w:gridCol w:w="2050"/>
        <w:gridCol w:w="1380"/>
        <w:gridCol w:w="253"/>
        <w:gridCol w:w="1391"/>
        <w:gridCol w:w="1426"/>
      </w:tblGrid>
      <w:tr w14:paraId="2285952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000" w:type="pct"/>
            <w:gridSpan w:val="8"/>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bottom w:w="0" w:type="dxa"/>
              <w:right w:w="15" w:type="dxa"/>
            </w:tcMar>
            <w:vAlign w:val="top"/>
          </w:tcPr>
          <w:p w14:paraId="0974E65F">
            <w:pPr>
              <w:pStyle w:val="5"/>
              <w:jc w:val="center"/>
              <w:rPr>
                <w:rFonts w:hint="eastAsia" w:ascii="宋体" w:hAnsi="宋体" w:eastAsia="宋体" w:cs="宋体"/>
                <w:highlight w:val="none"/>
              </w:rPr>
            </w:pPr>
            <w:r>
              <w:rPr>
                <w:rFonts w:hint="eastAsia" w:ascii="宋体" w:hAnsi="宋体" w:eastAsia="宋体" w:cs="宋体"/>
                <w:color w:val="000000"/>
                <w:sz w:val="21"/>
                <w:highlight w:val="none"/>
                <w:lang w:eastAsia="zh-CN"/>
              </w:rPr>
              <w:t>佛山市三水区乐平镇财政和公有资产管理办公室2026-2029年度工程造价咨询服务项目</w:t>
            </w:r>
            <w:r>
              <w:rPr>
                <w:rFonts w:hint="eastAsia" w:ascii="宋体" w:hAnsi="宋体" w:eastAsia="宋体" w:cs="宋体"/>
                <w:sz w:val="21"/>
                <w:highlight w:val="none"/>
              </w:rPr>
              <w:t>概算审核、预结算审核和复核</w:t>
            </w:r>
            <w:r>
              <w:rPr>
                <w:rFonts w:hint="eastAsia" w:ascii="宋体" w:hAnsi="宋体" w:eastAsia="宋体" w:cs="宋体"/>
                <w:color w:val="000000"/>
                <w:sz w:val="21"/>
                <w:highlight w:val="none"/>
              </w:rPr>
              <w:t>中介机构单项评审工作考核表（100分）</w:t>
            </w:r>
          </w:p>
        </w:tc>
      </w:tr>
      <w:tr w14:paraId="4957C67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264" w:type="pct"/>
            <w:gridSpan w:val="3"/>
            <w:tcBorders>
              <w:top w:val="nil"/>
              <w:left w:val="single" w:color="000000" w:sz="4" w:space="0"/>
              <w:bottom w:val="single" w:color="auto" w:sz="4" w:space="0"/>
              <w:right w:val="single" w:color="000000" w:sz="4" w:space="0"/>
            </w:tcBorders>
            <w:shd w:val="clear" w:color="auto" w:fill="FFFFFF"/>
            <w:tcMar>
              <w:top w:w="15" w:type="dxa"/>
              <w:left w:w="15" w:type="dxa"/>
              <w:bottom w:w="0" w:type="dxa"/>
              <w:right w:w="15" w:type="dxa"/>
            </w:tcMar>
            <w:vAlign w:val="top"/>
          </w:tcPr>
          <w:p w14:paraId="2E728E1E">
            <w:pPr>
              <w:pStyle w:val="5"/>
              <w:jc w:val="center"/>
              <w:rPr>
                <w:rFonts w:hint="eastAsia" w:ascii="宋体" w:hAnsi="宋体" w:eastAsia="宋体" w:cs="宋体"/>
                <w:highlight w:val="none"/>
              </w:rPr>
            </w:pPr>
            <w:r>
              <w:rPr>
                <w:rFonts w:hint="eastAsia" w:ascii="宋体" w:hAnsi="宋体" w:eastAsia="宋体" w:cs="宋体"/>
                <w:color w:val="000000"/>
                <w:sz w:val="21"/>
                <w:highlight w:val="none"/>
              </w:rPr>
              <w:t>中介机构名称</w:t>
            </w:r>
          </w:p>
        </w:tc>
        <w:tc>
          <w:tcPr>
            <w:tcW w:w="3735" w:type="pct"/>
            <w:gridSpan w:val="5"/>
            <w:tcBorders>
              <w:top w:val="single" w:color="000000" w:sz="4" w:space="0"/>
              <w:left w:val="single" w:color="000000" w:sz="4" w:space="0"/>
              <w:bottom w:val="single" w:color="auto" w:sz="4" w:space="0"/>
              <w:right w:val="single" w:color="000000" w:sz="4" w:space="0"/>
            </w:tcBorders>
            <w:shd w:val="clear" w:color="auto" w:fill="FFFFFF"/>
            <w:tcMar>
              <w:top w:w="15" w:type="dxa"/>
              <w:left w:w="15" w:type="dxa"/>
              <w:bottom w:w="0" w:type="dxa"/>
              <w:right w:w="15" w:type="dxa"/>
            </w:tcMar>
            <w:vAlign w:val="top"/>
          </w:tcPr>
          <w:p w14:paraId="10D8227F">
            <w:pPr>
              <w:pStyle w:val="5"/>
              <w:jc w:val="center"/>
              <w:rPr>
                <w:rFonts w:hint="eastAsia" w:ascii="宋体" w:hAnsi="宋体" w:eastAsia="宋体" w:cs="宋体"/>
                <w:highlight w:val="none"/>
              </w:rPr>
            </w:pPr>
          </w:p>
        </w:tc>
      </w:tr>
      <w:tr w14:paraId="11354F3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264" w:type="pct"/>
            <w:gridSpan w:val="3"/>
            <w:tcBorders>
              <w:top w:val="single" w:color="auto" w:sz="4" w:space="0"/>
              <w:left w:val="single" w:color="auto" w:sz="4" w:space="0"/>
              <w:bottom w:val="single" w:color="auto" w:sz="4" w:space="0"/>
              <w:right w:val="single" w:color="auto" w:sz="4" w:space="0"/>
            </w:tcBorders>
            <w:shd w:val="clear" w:color="auto" w:fill="FFFFFF"/>
            <w:tcMar>
              <w:top w:w="15" w:type="dxa"/>
              <w:left w:w="15" w:type="dxa"/>
              <w:bottom w:w="0" w:type="dxa"/>
              <w:right w:w="15" w:type="dxa"/>
            </w:tcMar>
            <w:vAlign w:val="top"/>
          </w:tcPr>
          <w:p w14:paraId="1D9EDE8D">
            <w:pPr>
              <w:pStyle w:val="5"/>
              <w:jc w:val="center"/>
              <w:rPr>
                <w:rFonts w:hint="eastAsia" w:ascii="宋体" w:hAnsi="宋体" w:eastAsia="宋体" w:cs="宋体"/>
                <w:color w:val="000000"/>
                <w:sz w:val="21"/>
                <w:highlight w:val="none"/>
              </w:rPr>
            </w:pPr>
            <w:r>
              <w:rPr>
                <w:rFonts w:hint="eastAsia" w:ascii="宋体" w:hAnsi="宋体" w:eastAsia="宋体" w:cs="宋体"/>
                <w:color w:val="000000"/>
                <w:sz w:val="21"/>
                <w:highlight w:val="none"/>
              </w:rPr>
              <w:t>评审项目名称</w:t>
            </w:r>
          </w:p>
        </w:tc>
        <w:tc>
          <w:tcPr>
            <w:tcW w:w="3735" w:type="pct"/>
            <w:gridSpan w:val="5"/>
            <w:tcBorders>
              <w:top w:val="single" w:color="auto" w:sz="4" w:space="0"/>
              <w:left w:val="single" w:color="auto" w:sz="4" w:space="0"/>
              <w:bottom w:val="single" w:color="auto" w:sz="4" w:space="0"/>
              <w:right w:val="single" w:color="auto" w:sz="4" w:space="0"/>
            </w:tcBorders>
            <w:shd w:val="clear" w:color="auto" w:fill="FFFFFF"/>
            <w:tcMar>
              <w:top w:w="15" w:type="dxa"/>
              <w:left w:w="15" w:type="dxa"/>
              <w:bottom w:w="0" w:type="dxa"/>
              <w:right w:w="15" w:type="dxa"/>
            </w:tcMar>
            <w:vAlign w:val="top"/>
          </w:tcPr>
          <w:p w14:paraId="66A3769E">
            <w:pPr>
              <w:pStyle w:val="5"/>
              <w:jc w:val="center"/>
              <w:rPr>
                <w:rFonts w:hint="eastAsia" w:ascii="宋体" w:hAnsi="宋体" w:eastAsia="宋体" w:cs="宋体"/>
                <w:color w:val="000000"/>
                <w:sz w:val="21"/>
                <w:highlight w:val="none"/>
              </w:rPr>
            </w:pPr>
          </w:p>
        </w:tc>
      </w:tr>
      <w:tr w14:paraId="395B049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264" w:type="pct"/>
            <w:gridSpan w:val="3"/>
            <w:tcBorders>
              <w:top w:val="single" w:color="auto" w:sz="4" w:space="0"/>
              <w:left w:val="single" w:color="auto" w:sz="4" w:space="0"/>
              <w:bottom w:val="single" w:color="auto" w:sz="4" w:space="0"/>
              <w:right w:val="single" w:color="auto" w:sz="4" w:space="0"/>
            </w:tcBorders>
            <w:shd w:val="clear" w:color="auto" w:fill="FFFFFF"/>
            <w:tcMar>
              <w:top w:w="15" w:type="dxa"/>
              <w:left w:w="15" w:type="dxa"/>
              <w:bottom w:w="0" w:type="dxa"/>
              <w:right w:w="15" w:type="dxa"/>
            </w:tcMar>
            <w:vAlign w:val="top"/>
          </w:tcPr>
          <w:p w14:paraId="45812A03">
            <w:pPr>
              <w:pStyle w:val="5"/>
              <w:jc w:val="center"/>
              <w:rPr>
                <w:rFonts w:hint="eastAsia" w:ascii="宋体" w:hAnsi="宋体" w:eastAsia="宋体" w:cs="宋体"/>
                <w:color w:val="000000"/>
                <w:sz w:val="21"/>
                <w:highlight w:val="none"/>
              </w:rPr>
            </w:pPr>
            <w:r>
              <w:rPr>
                <w:rFonts w:hint="eastAsia" w:ascii="宋体" w:hAnsi="宋体" w:eastAsia="宋体" w:cs="宋体"/>
                <w:color w:val="000000"/>
                <w:sz w:val="21"/>
                <w:highlight w:val="none"/>
              </w:rPr>
              <w:t>送审金额</w:t>
            </w:r>
          </w:p>
        </w:tc>
        <w:tc>
          <w:tcPr>
            <w:tcW w:w="1178" w:type="pct"/>
            <w:tcBorders>
              <w:top w:val="single" w:color="auto" w:sz="4" w:space="0"/>
              <w:left w:val="single" w:color="auto" w:sz="4" w:space="0"/>
              <w:bottom w:val="single" w:color="auto" w:sz="4" w:space="0"/>
              <w:right w:val="single" w:color="auto" w:sz="4" w:space="0"/>
            </w:tcBorders>
            <w:shd w:val="clear" w:color="auto" w:fill="FFFFFF"/>
            <w:tcMar>
              <w:top w:w="15" w:type="dxa"/>
              <w:left w:w="15" w:type="dxa"/>
              <w:bottom w:w="0" w:type="dxa"/>
              <w:right w:w="15" w:type="dxa"/>
            </w:tcMar>
            <w:vAlign w:val="top"/>
          </w:tcPr>
          <w:p w14:paraId="0B0C1789">
            <w:pPr>
              <w:pStyle w:val="5"/>
              <w:jc w:val="center"/>
              <w:rPr>
                <w:rFonts w:hint="eastAsia" w:ascii="宋体" w:hAnsi="宋体" w:eastAsia="宋体" w:cs="宋体"/>
                <w:color w:val="000000"/>
                <w:sz w:val="21"/>
                <w:highlight w:val="none"/>
              </w:rPr>
            </w:pPr>
          </w:p>
        </w:tc>
        <w:tc>
          <w:tcPr>
            <w:tcW w:w="793" w:type="pct"/>
            <w:tcBorders>
              <w:top w:val="single" w:color="auto" w:sz="4" w:space="0"/>
              <w:left w:val="single" w:color="auto" w:sz="4" w:space="0"/>
              <w:bottom w:val="single" w:color="auto" w:sz="4" w:space="0"/>
              <w:right w:val="single" w:color="auto" w:sz="4" w:space="0"/>
            </w:tcBorders>
            <w:shd w:val="clear" w:color="auto" w:fill="FFFFFF"/>
            <w:tcMar>
              <w:top w:w="15" w:type="dxa"/>
              <w:left w:w="15" w:type="dxa"/>
              <w:bottom w:w="0" w:type="dxa"/>
              <w:right w:w="15" w:type="dxa"/>
            </w:tcMar>
            <w:vAlign w:val="top"/>
          </w:tcPr>
          <w:p w14:paraId="33C15EA4">
            <w:pPr>
              <w:pStyle w:val="5"/>
              <w:jc w:val="center"/>
              <w:rPr>
                <w:rFonts w:hint="eastAsia" w:ascii="宋体" w:hAnsi="宋体" w:eastAsia="宋体" w:cs="宋体"/>
                <w:color w:val="000000"/>
                <w:sz w:val="21"/>
                <w:highlight w:val="none"/>
              </w:rPr>
            </w:pPr>
            <w:r>
              <w:rPr>
                <w:rFonts w:hint="eastAsia" w:ascii="宋体" w:hAnsi="宋体" w:eastAsia="宋体" w:cs="宋体"/>
                <w:color w:val="000000"/>
                <w:sz w:val="21"/>
                <w:highlight w:val="none"/>
              </w:rPr>
              <w:t>评审开始时间</w:t>
            </w:r>
          </w:p>
        </w:tc>
        <w:tc>
          <w:tcPr>
            <w:tcW w:w="1764" w:type="pct"/>
            <w:gridSpan w:val="3"/>
            <w:tcBorders>
              <w:top w:val="single" w:color="auto" w:sz="4" w:space="0"/>
              <w:left w:val="single" w:color="auto" w:sz="4" w:space="0"/>
              <w:bottom w:val="single" w:color="auto" w:sz="4" w:space="0"/>
              <w:right w:val="single" w:color="auto" w:sz="4" w:space="0"/>
            </w:tcBorders>
            <w:shd w:val="clear" w:color="auto" w:fill="FFFFFF"/>
            <w:tcMar>
              <w:top w:w="15" w:type="dxa"/>
              <w:left w:w="15" w:type="dxa"/>
              <w:bottom w:w="0" w:type="dxa"/>
              <w:right w:w="15" w:type="dxa"/>
            </w:tcMar>
            <w:vAlign w:val="top"/>
          </w:tcPr>
          <w:p w14:paraId="4CE2122B">
            <w:pPr>
              <w:pStyle w:val="5"/>
              <w:jc w:val="center"/>
              <w:rPr>
                <w:rFonts w:hint="eastAsia" w:ascii="宋体" w:hAnsi="宋体" w:eastAsia="宋体" w:cs="宋体"/>
                <w:color w:val="000000"/>
                <w:sz w:val="21"/>
                <w:highlight w:val="none"/>
              </w:rPr>
            </w:pPr>
          </w:p>
        </w:tc>
      </w:tr>
      <w:tr w14:paraId="4E16561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264" w:type="pct"/>
            <w:gridSpan w:val="3"/>
            <w:tcBorders>
              <w:top w:val="single" w:color="auto" w:sz="4" w:space="0"/>
              <w:left w:val="single" w:color="auto" w:sz="4" w:space="0"/>
              <w:bottom w:val="single" w:color="auto" w:sz="4" w:space="0"/>
              <w:right w:val="single" w:color="auto" w:sz="4" w:space="0"/>
            </w:tcBorders>
            <w:shd w:val="clear" w:color="auto" w:fill="FFFFFF"/>
            <w:tcMar>
              <w:top w:w="15" w:type="dxa"/>
              <w:left w:w="15" w:type="dxa"/>
              <w:bottom w:w="0" w:type="dxa"/>
              <w:right w:w="15" w:type="dxa"/>
            </w:tcMar>
            <w:vAlign w:val="top"/>
          </w:tcPr>
          <w:p w14:paraId="19D7627C">
            <w:pPr>
              <w:pStyle w:val="5"/>
              <w:jc w:val="center"/>
              <w:rPr>
                <w:rFonts w:hint="eastAsia" w:ascii="宋体" w:hAnsi="宋体" w:eastAsia="宋体" w:cs="宋体"/>
                <w:color w:val="000000"/>
                <w:sz w:val="21"/>
                <w:highlight w:val="none"/>
              </w:rPr>
            </w:pPr>
            <w:r>
              <w:rPr>
                <w:rFonts w:hint="eastAsia" w:ascii="宋体" w:hAnsi="宋体" w:eastAsia="宋体" w:cs="宋体"/>
                <w:color w:val="000000"/>
                <w:sz w:val="21"/>
                <w:highlight w:val="none"/>
              </w:rPr>
              <w:t>审定金额</w:t>
            </w:r>
          </w:p>
        </w:tc>
        <w:tc>
          <w:tcPr>
            <w:tcW w:w="1178" w:type="pct"/>
            <w:tcBorders>
              <w:top w:val="single" w:color="auto" w:sz="4" w:space="0"/>
              <w:left w:val="single" w:color="auto" w:sz="4" w:space="0"/>
              <w:bottom w:val="single" w:color="auto" w:sz="4" w:space="0"/>
              <w:right w:val="single" w:color="auto" w:sz="4" w:space="0"/>
            </w:tcBorders>
            <w:shd w:val="clear" w:color="auto" w:fill="FFFFFF"/>
            <w:tcMar>
              <w:top w:w="15" w:type="dxa"/>
              <w:left w:w="15" w:type="dxa"/>
              <w:bottom w:w="0" w:type="dxa"/>
              <w:right w:w="15" w:type="dxa"/>
            </w:tcMar>
            <w:vAlign w:val="top"/>
          </w:tcPr>
          <w:p w14:paraId="3F920D11">
            <w:pPr>
              <w:pStyle w:val="5"/>
              <w:jc w:val="center"/>
              <w:rPr>
                <w:rFonts w:hint="eastAsia" w:ascii="宋体" w:hAnsi="宋体" w:eastAsia="宋体" w:cs="宋体"/>
                <w:color w:val="000000"/>
                <w:sz w:val="21"/>
                <w:highlight w:val="none"/>
              </w:rPr>
            </w:pPr>
          </w:p>
        </w:tc>
        <w:tc>
          <w:tcPr>
            <w:tcW w:w="793" w:type="pct"/>
            <w:tcBorders>
              <w:top w:val="single" w:color="auto" w:sz="4" w:space="0"/>
              <w:left w:val="single" w:color="auto" w:sz="4" w:space="0"/>
              <w:bottom w:val="single" w:color="auto" w:sz="4" w:space="0"/>
              <w:right w:val="single" w:color="auto" w:sz="4" w:space="0"/>
            </w:tcBorders>
            <w:shd w:val="clear" w:color="auto" w:fill="FFFFFF"/>
            <w:tcMar>
              <w:top w:w="15" w:type="dxa"/>
              <w:left w:w="15" w:type="dxa"/>
              <w:bottom w:w="0" w:type="dxa"/>
              <w:right w:w="15" w:type="dxa"/>
            </w:tcMar>
            <w:vAlign w:val="top"/>
          </w:tcPr>
          <w:p w14:paraId="1C19DED8">
            <w:pPr>
              <w:pStyle w:val="5"/>
              <w:jc w:val="center"/>
              <w:rPr>
                <w:rFonts w:hint="eastAsia" w:ascii="宋体" w:hAnsi="宋体" w:eastAsia="宋体" w:cs="宋体"/>
                <w:color w:val="000000"/>
                <w:sz w:val="21"/>
                <w:highlight w:val="none"/>
              </w:rPr>
            </w:pPr>
            <w:r>
              <w:rPr>
                <w:rFonts w:hint="eastAsia" w:ascii="宋体" w:hAnsi="宋体" w:eastAsia="宋体" w:cs="宋体"/>
                <w:color w:val="000000"/>
                <w:sz w:val="21"/>
                <w:highlight w:val="none"/>
              </w:rPr>
              <w:t>出具初稿时间</w:t>
            </w:r>
          </w:p>
        </w:tc>
        <w:tc>
          <w:tcPr>
            <w:tcW w:w="1764" w:type="pct"/>
            <w:gridSpan w:val="3"/>
            <w:tcBorders>
              <w:top w:val="single" w:color="auto" w:sz="4" w:space="0"/>
              <w:left w:val="single" w:color="auto" w:sz="4" w:space="0"/>
              <w:bottom w:val="single" w:color="auto" w:sz="4" w:space="0"/>
              <w:right w:val="single" w:color="auto" w:sz="4" w:space="0"/>
            </w:tcBorders>
            <w:shd w:val="clear" w:color="auto" w:fill="FFFFFF"/>
            <w:tcMar>
              <w:top w:w="15" w:type="dxa"/>
              <w:left w:w="15" w:type="dxa"/>
              <w:bottom w:w="0" w:type="dxa"/>
              <w:right w:w="15" w:type="dxa"/>
            </w:tcMar>
            <w:vAlign w:val="top"/>
          </w:tcPr>
          <w:p w14:paraId="0C324A4C">
            <w:pPr>
              <w:pStyle w:val="5"/>
              <w:jc w:val="center"/>
              <w:rPr>
                <w:rFonts w:hint="eastAsia" w:ascii="宋体" w:hAnsi="宋体" w:eastAsia="宋体" w:cs="宋体"/>
                <w:color w:val="000000"/>
                <w:sz w:val="21"/>
                <w:highlight w:val="none"/>
              </w:rPr>
            </w:pPr>
          </w:p>
        </w:tc>
      </w:tr>
      <w:tr w14:paraId="0DEAE2A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264" w:type="pct"/>
            <w:gridSpan w:val="3"/>
            <w:tcBorders>
              <w:top w:val="single" w:color="auto" w:sz="4" w:space="0"/>
              <w:left w:val="single" w:color="auto" w:sz="4" w:space="0"/>
              <w:bottom w:val="single" w:color="auto" w:sz="4" w:space="0"/>
              <w:right w:val="single" w:color="auto" w:sz="4" w:space="0"/>
            </w:tcBorders>
            <w:shd w:val="clear" w:color="auto" w:fill="FFFFFF"/>
            <w:tcMar>
              <w:top w:w="15" w:type="dxa"/>
              <w:left w:w="15" w:type="dxa"/>
              <w:bottom w:w="0" w:type="dxa"/>
              <w:right w:w="15" w:type="dxa"/>
            </w:tcMar>
            <w:vAlign w:val="top"/>
          </w:tcPr>
          <w:p w14:paraId="72FC7B17">
            <w:pPr>
              <w:pStyle w:val="5"/>
              <w:jc w:val="center"/>
              <w:rPr>
                <w:rFonts w:hint="eastAsia" w:ascii="宋体" w:hAnsi="宋体" w:eastAsia="宋体" w:cs="宋体"/>
                <w:color w:val="000000"/>
                <w:sz w:val="21"/>
                <w:highlight w:val="none"/>
              </w:rPr>
            </w:pPr>
            <w:r>
              <w:rPr>
                <w:rFonts w:hint="eastAsia" w:ascii="宋体" w:hAnsi="宋体" w:eastAsia="宋体" w:cs="宋体"/>
                <w:color w:val="000000"/>
                <w:sz w:val="21"/>
                <w:highlight w:val="none"/>
              </w:rPr>
              <w:t>核减率</w:t>
            </w:r>
          </w:p>
        </w:tc>
        <w:tc>
          <w:tcPr>
            <w:tcW w:w="1178" w:type="pct"/>
            <w:tcBorders>
              <w:top w:val="single" w:color="auto" w:sz="4" w:space="0"/>
              <w:left w:val="single" w:color="auto" w:sz="4" w:space="0"/>
              <w:bottom w:val="single" w:color="auto" w:sz="4" w:space="0"/>
              <w:right w:val="single" w:color="auto" w:sz="4" w:space="0"/>
            </w:tcBorders>
            <w:shd w:val="clear" w:color="auto" w:fill="FFFFFF"/>
            <w:tcMar>
              <w:top w:w="15" w:type="dxa"/>
              <w:left w:w="15" w:type="dxa"/>
              <w:bottom w:w="0" w:type="dxa"/>
              <w:right w:w="15" w:type="dxa"/>
            </w:tcMar>
            <w:vAlign w:val="top"/>
          </w:tcPr>
          <w:p w14:paraId="20E12DB4">
            <w:pPr>
              <w:pStyle w:val="5"/>
              <w:jc w:val="center"/>
              <w:rPr>
                <w:rFonts w:hint="eastAsia" w:ascii="宋体" w:hAnsi="宋体" w:eastAsia="宋体" w:cs="宋体"/>
                <w:color w:val="000000"/>
                <w:sz w:val="21"/>
                <w:highlight w:val="none"/>
              </w:rPr>
            </w:pPr>
          </w:p>
        </w:tc>
        <w:tc>
          <w:tcPr>
            <w:tcW w:w="793" w:type="pct"/>
            <w:tcBorders>
              <w:top w:val="single" w:color="auto" w:sz="4" w:space="0"/>
              <w:left w:val="single" w:color="auto" w:sz="4" w:space="0"/>
              <w:bottom w:val="single" w:color="auto" w:sz="4" w:space="0"/>
              <w:right w:val="single" w:color="auto" w:sz="4" w:space="0"/>
            </w:tcBorders>
            <w:shd w:val="clear" w:color="auto" w:fill="FFFFFF"/>
            <w:tcMar>
              <w:top w:w="15" w:type="dxa"/>
              <w:left w:w="15" w:type="dxa"/>
              <w:bottom w:w="0" w:type="dxa"/>
              <w:right w:w="15" w:type="dxa"/>
            </w:tcMar>
            <w:vAlign w:val="top"/>
          </w:tcPr>
          <w:p w14:paraId="578BC9E4">
            <w:pPr>
              <w:pStyle w:val="5"/>
              <w:jc w:val="center"/>
              <w:rPr>
                <w:rFonts w:hint="eastAsia" w:ascii="宋体" w:hAnsi="宋体" w:eastAsia="宋体" w:cs="宋体"/>
                <w:color w:val="000000"/>
                <w:sz w:val="21"/>
                <w:highlight w:val="none"/>
              </w:rPr>
            </w:pPr>
            <w:r>
              <w:rPr>
                <w:rFonts w:hint="eastAsia" w:ascii="宋体" w:hAnsi="宋体" w:eastAsia="宋体" w:cs="宋体"/>
                <w:color w:val="000000"/>
                <w:sz w:val="21"/>
                <w:highlight w:val="none"/>
              </w:rPr>
              <w:t>出具正稿时间</w:t>
            </w:r>
          </w:p>
        </w:tc>
        <w:tc>
          <w:tcPr>
            <w:tcW w:w="1764" w:type="pct"/>
            <w:gridSpan w:val="3"/>
            <w:tcBorders>
              <w:top w:val="single" w:color="auto" w:sz="4" w:space="0"/>
              <w:left w:val="single" w:color="auto" w:sz="4" w:space="0"/>
              <w:bottom w:val="single" w:color="auto" w:sz="4" w:space="0"/>
              <w:right w:val="single" w:color="auto" w:sz="4" w:space="0"/>
            </w:tcBorders>
            <w:shd w:val="clear" w:color="auto" w:fill="FFFFFF"/>
            <w:tcMar>
              <w:top w:w="15" w:type="dxa"/>
              <w:left w:w="15" w:type="dxa"/>
              <w:bottom w:w="0" w:type="dxa"/>
              <w:right w:w="15" w:type="dxa"/>
            </w:tcMar>
            <w:vAlign w:val="top"/>
          </w:tcPr>
          <w:p w14:paraId="6180D896">
            <w:pPr>
              <w:pStyle w:val="5"/>
              <w:jc w:val="center"/>
              <w:rPr>
                <w:rFonts w:hint="eastAsia" w:ascii="宋体" w:hAnsi="宋体" w:eastAsia="宋体" w:cs="宋体"/>
                <w:color w:val="000000"/>
                <w:sz w:val="21"/>
                <w:highlight w:val="none"/>
              </w:rPr>
            </w:pPr>
          </w:p>
        </w:tc>
      </w:tr>
      <w:tr w14:paraId="3E84988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264" w:type="pct"/>
            <w:gridSpan w:val="3"/>
            <w:tcBorders>
              <w:top w:val="single" w:color="auto" w:sz="4" w:space="0"/>
              <w:left w:val="single" w:color="auto" w:sz="4" w:space="0"/>
              <w:bottom w:val="single" w:color="auto" w:sz="4" w:space="0"/>
              <w:right w:val="single" w:color="auto" w:sz="4" w:space="0"/>
            </w:tcBorders>
            <w:shd w:val="clear" w:color="auto" w:fill="FFFFFF"/>
            <w:tcMar>
              <w:top w:w="15" w:type="dxa"/>
              <w:left w:w="15" w:type="dxa"/>
              <w:bottom w:w="0" w:type="dxa"/>
              <w:right w:w="15" w:type="dxa"/>
            </w:tcMar>
            <w:vAlign w:val="top"/>
          </w:tcPr>
          <w:p w14:paraId="11BA1566">
            <w:pPr>
              <w:pStyle w:val="5"/>
              <w:jc w:val="center"/>
              <w:rPr>
                <w:rFonts w:hint="eastAsia" w:ascii="宋体" w:hAnsi="宋体" w:eastAsia="宋体" w:cs="宋体"/>
                <w:highlight w:val="none"/>
              </w:rPr>
            </w:pPr>
            <w:r>
              <w:rPr>
                <w:rFonts w:hint="eastAsia" w:ascii="宋体" w:hAnsi="宋体" w:eastAsia="宋体" w:cs="宋体"/>
                <w:color w:val="000000"/>
                <w:sz w:val="21"/>
                <w:highlight w:val="none"/>
              </w:rPr>
              <w:t>考核项目</w:t>
            </w:r>
          </w:p>
        </w:tc>
        <w:tc>
          <w:tcPr>
            <w:tcW w:w="2915" w:type="pct"/>
            <w:gridSpan w:val="4"/>
            <w:tcBorders>
              <w:top w:val="single" w:color="auto" w:sz="4" w:space="0"/>
              <w:left w:val="single" w:color="auto" w:sz="4" w:space="0"/>
              <w:bottom w:val="single" w:color="auto" w:sz="4" w:space="0"/>
              <w:right w:val="single" w:color="auto" w:sz="4" w:space="0"/>
            </w:tcBorders>
            <w:shd w:val="clear" w:color="auto" w:fill="FFFFFF"/>
            <w:tcMar>
              <w:top w:w="15" w:type="dxa"/>
              <w:left w:w="15" w:type="dxa"/>
              <w:bottom w:w="0" w:type="dxa"/>
              <w:right w:w="15" w:type="dxa"/>
            </w:tcMar>
            <w:vAlign w:val="top"/>
          </w:tcPr>
          <w:p w14:paraId="7F0F9C2E">
            <w:pPr>
              <w:pStyle w:val="5"/>
              <w:jc w:val="center"/>
              <w:rPr>
                <w:rFonts w:hint="eastAsia" w:ascii="宋体" w:hAnsi="宋体" w:eastAsia="宋体" w:cs="宋体"/>
                <w:highlight w:val="none"/>
              </w:rPr>
            </w:pPr>
            <w:r>
              <w:rPr>
                <w:rFonts w:hint="eastAsia" w:ascii="宋体" w:hAnsi="宋体" w:eastAsia="宋体" w:cs="宋体"/>
                <w:color w:val="000000"/>
                <w:sz w:val="21"/>
                <w:highlight w:val="none"/>
              </w:rPr>
              <w:t>考核内容</w:t>
            </w:r>
          </w:p>
        </w:tc>
        <w:tc>
          <w:tcPr>
            <w:tcW w:w="819" w:type="pct"/>
            <w:tcBorders>
              <w:top w:val="single" w:color="auto" w:sz="4" w:space="0"/>
              <w:left w:val="single" w:color="auto" w:sz="4" w:space="0"/>
              <w:bottom w:val="single" w:color="auto" w:sz="4" w:space="0"/>
              <w:right w:val="single" w:color="auto" w:sz="4" w:space="0"/>
            </w:tcBorders>
            <w:shd w:val="clear" w:color="auto" w:fill="FFFFFF"/>
            <w:tcMar>
              <w:top w:w="15" w:type="dxa"/>
              <w:left w:w="15" w:type="dxa"/>
              <w:bottom w:w="0" w:type="dxa"/>
              <w:right w:w="15" w:type="dxa"/>
            </w:tcMar>
            <w:vAlign w:val="top"/>
          </w:tcPr>
          <w:p w14:paraId="02E3521F">
            <w:pPr>
              <w:pStyle w:val="5"/>
              <w:jc w:val="center"/>
              <w:rPr>
                <w:rFonts w:hint="eastAsia" w:ascii="宋体" w:hAnsi="宋体" w:eastAsia="宋体" w:cs="宋体"/>
                <w:highlight w:val="none"/>
              </w:rPr>
            </w:pPr>
            <w:r>
              <w:rPr>
                <w:rFonts w:hint="eastAsia" w:ascii="宋体" w:hAnsi="宋体" w:eastAsia="宋体" w:cs="宋体"/>
                <w:color w:val="000000"/>
                <w:sz w:val="21"/>
                <w:highlight w:val="none"/>
              </w:rPr>
              <w:t>扣分</w:t>
            </w:r>
          </w:p>
        </w:tc>
      </w:tr>
      <w:tr w14:paraId="0316804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35" w:type="pct"/>
            <w:vMerge w:val="restart"/>
            <w:tcBorders>
              <w:top w:val="single" w:color="auto" w:sz="4" w:space="0"/>
              <w:left w:val="single" w:color="000000" w:sz="4" w:space="0"/>
              <w:bottom w:val="single" w:color="auto" w:sz="4" w:space="0"/>
              <w:right w:val="single" w:color="000000" w:sz="4" w:space="0"/>
            </w:tcBorders>
            <w:shd w:val="clear" w:color="auto" w:fill="FFFFFF"/>
            <w:tcMar>
              <w:top w:w="15" w:type="dxa"/>
              <w:left w:w="15" w:type="dxa"/>
              <w:bottom w:w="0" w:type="dxa"/>
              <w:right w:w="15" w:type="dxa"/>
            </w:tcMar>
            <w:vAlign w:val="top"/>
          </w:tcPr>
          <w:p w14:paraId="40B42620">
            <w:pPr>
              <w:pStyle w:val="5"/>
              <w:jc w:val="center"/>
              <w:rPr>
                <w:rFonts w:hint="eastAsia" w:ascii="宋体" w:hAnsi="宋体" w:eastAsia="宋体" w:cs="宋体"/>
                <w:highlight w:val="none"/>
              </w:rPr>
            </w:pPr>
            <w:r>
              <w:rPr>
                <w:rFonts w:hint="eastAsia" w:ascii="宋体" w:hAnsi="宋体" w:eastAsia="宋体" w:cs="宋体"/>
                <w:color w:val="000000"/>
                <w:sz w:val="21"/>
                <w:highlight w:val="none"/>
              </w:rPr>
              <w:t>财</w:t>
            </w:r>
          </w:p>
          <w:p w14:paraId="13D5042E">
            <w:pPr>
              <w:pStyle w:val="5"/>
              <w:jc w:val="center"/>
              <w:rPr>
                <w:rFonts w:hint="eastAsia" w:ascii="宋体" w:hAnsi="宋体" w:eastAsia="宋体" w:cs="宋体"/>
                <w:highlight w:val="none"/>
              </w:rPr>
            </w:pPr>
            <w:r>
              <w:rPr>
                <w:rFonts w:hint="eastAsia" w:ascii="宋体" w:hAnsi="宋体" w:eastAsia="宋体" w:cs="宋体"/>
                <w:color w:val="000000"/>
                <w:sz w:val="21"/>
                <w:highlight w:val="none"/>
              </w:rPr>
              <w:t>政</w:t>
            </w:r>
          </w:p>
          <w:p w14:paraId="72838E04">
            <w:pPr>
              <w:pStyle w:val="5"/>
              <w:jc w:val="center"/>
              <w:rPr>
                <w:rFonts w:hint="eastAsia" w:ascii="宋体" w:hAnsi="宋体" w:eastAsia="宋体" w:cs="宋体"/>
                <w:highlight w:val="none"/>
              </w:rPr>
            </w:pPr>
            <w:r>
              <w:rPr>
                <w:rFonts w:hint="eastAsia" w:ascii="宋体" w:hAnsi="宋体" w:eastAsia="宋体" w:cs="宋体"/>
                <w:color w:val="000000"/>
                <w:sz w:val="21"/>
                <w:highlight w:val="none"/>
              </w:rPr>
              <w:t>考</w:t>
            </w:r>
          </w:p>
          <w:p w14:paraId="60119C79">
            <w:pPr>
              <w:pStyle w:val="5"/>
              <w:jc w:val="center"/>
              <w:rPr>
                <w:rFonts w:hint="eastAsia" w:ascii="宋体" w:hAnsi="宋体" w:eastAsia="宋体" w:cs="宋体"/>
                <w:highlight w:val="none"/>
              </w:rPr>
            </w:pPr>
            <w:r>
              <w:rPr>
                <w:rFonts w:hint="eastAsia" w:ascii="宋体" w:hAnsi="宋体" w:eastAsia="宋体" w:cs="宋体"/>
                <w:color w:val="000000"/>
                <w:sz w:val="21"/>
                <w:highlight w:val="none"/>
              </w:rPr>
              <w:t>核</w:t>
            </w:r>
          </w:p>
        </w:tc>
        <w:tc>
          <w:tcPr>
            <w:tcW w:w="395" w:type="pct"/>
            <w:vMerge w:val="restart"/>
            <w:tcBorders>
              <w:top w:val="single" w:color="auto" w:sz="4" w:space="0"/>
              <w:left w:val="single" w:color="000000" w:sz="4" w:space="0"/>
              <w:bottom w:val="single" w:color="auto" w:sz="4" w:space="0"/>
              <w:right w:val="single" w:color="000000" w:sz="4" w:space="0"/>
            </w:tcBorders>
            <w:shd w:val="clear" w:color="auto" w:fill="FFFFFF"/>
            <w:tcMar>
              <w:top w:w="15" w:type="dxa"/>
              <w:left w:w="15" w:type="dxa"/>
              <w:bottom w:w="0" w:type="dxa"/>
              <w:right w:w="15" w:type="dxa"/>
            </w:tcMar>
            <w:vAlign w:val="top"/>
          </w:tcPr>
          <w:p w14:paraId="704FC254">
            <w:pPr>
              <w:pStyle w:val="5"/>
              <w:jc w:val="center"/>
              <w:rPr>
                <w:rFonts w:hint="eastAsia" w:ascii="宋体" w:hAnsi="宋体" w:eastAsia="宋体" w:cs="宋体"/>
                <w:highlight w:val="none"/>
              </w:rPr>
            </w:pPr>
            <w:r>
              <w:rPr>
                <w:rFonts w:hint="eastAsia" w:ascii="宋体" w:hAnsi="宋体" w:eastAsia="宋体" w:cs="宋体"/>
                <w:color w:val="000000"/>
                <w:sz w:val="21"/>
                <w:highlight w:val="none"/>
              </w:rPr>
              <w:t>评</w:t>
            </w:r>
          </w:p>
          <w:p w14:paraId="3EE1614B">
            <w:pPr>
              <w:pStyle w:val="5"/>
              <w:jc w:val="center"/>
              <w:rPr>
                <w:rFonts w:hint="eastAsia" w:ascii="宋体" w:hAnsi="宋体" w:eastAsia="宋体" w:cs="宋体"/>
                <w:highlight w:val="none"/>
              </w:rPr>
            </w:pPr>
            <w:r>
              <w:rPr>
                <w:rFonts w:hint="eastAsia" w:ascii="宋体" w:hAnsi="宋体" w:eastAsia="宋体" w:cs="宋体"/>
                <w:color w:val="000000"/>
                <w:sz w:val="21"/>
                <w:highlight w:val="none"/>
              </w:rPr>
              <w:t>审</w:t>
            </w:r>
          </w:p>
          <w:p w14:paraId="7FF009B1">
            <w:pPr>
              <w:pStyle w:val="5"/>
              <w:jc w:val="center"/>
              <w:rPr>
                <w:rFonts w:hint="eastAsia" w:ascii="宋体" w:hAnsi="宋体" w:eastAsia="宋体" w:cs="宋体"/>
                <w:highlight w:val="none"/>
              </w:rPr>
            </w:pPr>
            <w:r>
              <w:rPr>
                <w:rFonts w:hint="eastAsia" w:ascii="宋体" w:hAnsi="宋体" w:eastAsia="宋体" w:cs="宋体"/>
                <w:color w:val="000000"/>
                <w:sz w:val="21"/>
                <w:highlight w:val="none"/>
              </w:rPr>
              <w:t>质</w:t>
            </w:r>
          </w:p>
          <w:p w14:paraId="7BC99E72">
            <w:pPr>
              <w:pStyle w:val="5"/>
              <w:jc w:val="center"/>
              <w:rPr>
                <w:rFonts w:hint="eastAsia" w:ascii="宋体" w:hAnsi="宋体" w:eastAsia="宋体" w:cs="宋体"/>
                <w:highlight w:val="none"/>
              </w:rPr>
            </w:pPr>
            <w:r>
              <w:rPr>
                <w:rFonts w:hint="eastAsia" w:ascii="宋体" w:hAnsi="宋体" w:eastAsia="宋体" w:cs="宋体"/>
                <w:color w:val="000000"/>
                <w:sz w:val="21"/>
                <w:highlight w:val="none"/>
              </w:rPr>
              <w:t>量</w:t>
            </w:r>
          </w:p>
        </w:tc>
        <w:tc>
          <w:tcPr>
            <w:tcW w:w="433" w:type="pct"/>
            <w:vMerge w:val="restart"/>
            <w:tcBorders>
              <w:top w:val="single" w:color="auto" w:sz="4" w:space="0"/>
              <w:left w:val="single" w:color="000000" w:sz="4" w:space="0"/>
              <w:bottom w:val="single" w:color="auto" w:sz="4" w:space="0"/>
              <w:right w:val="single" w:color="000000" w:sz="4" w:space="0"/>
            </w:tcBorders>
            <w:shd w:val="clear" w:color="auto" w:fill="FFFFFF"/>
            <w:tcMar>
              <w:top w:w="15" w:type="dxa"/>
              <w:left w:w="15" w:type="dxa"/>
              <w:bottom w:w="0" w:type="dxa"/>
              <w:right w:w="15" w:type="dxa"/>
            </w:tcMar>
            <w:vAlign w:val="top"/>
          </w:tcPr>
          <w:p w14:paraId="3D886433">
            <w:pPr>
              <w:pStyle w:val="5"/>
              <w:jc w:val="center"/>
              <w:rPr>
                <w:rFonts w:hint="eastAsia" w:ascii="宋体" w:hAnsi="宋体" w:eastAsia="宋体" w:cs="宋体"/>
                <w:highlight w:val="none"/>
              </w:rPr>
            </w:pPr>
            <w:r>
              <w:rPr>
                <w:rFonts w:hint="eastAsia" w:ascii="宋体" w:hAnsi="宋体" w:eastAsia="宋体" w:cs="宋体"/>
                <w:color w:val="000000"/>
                <w:sz w:val="21"/>
                <w:highlight w:val="none"/>
              </w:rPr>
              <w:t>报</w:t>
            </w:r>
          </w:p>
          <w:p w14:paraId="668A126B">
            <w:pPr>
              <w:pStyle w:val="5"/>
              <w:jc w:val="center"/>
              <w:rPr>
                <w:rFonts w:hint="eastAsia" w:ascii="宋体" w:hAnsi="宋体" w:eastAsia="宋体" w:cs="宋体"/>
                <w:highlight w:val="none"/>
              </w:rPr>
            </w:pPr>
            <w:r>
              <w:rPr>
                <w:rFonts w:hint="eastAsia" w:ascii="宋体" w:hAnsi="宋体" w:eastAsia="宋体" w:cs="宋体"/>
                <w:color w:val="000000"/>
                <w:sz w:val="21"/>
                <w:highlight w:val="none"/>
              </w:rPr>
              <w:t>告</w:t>
            </w:r>
          </w:p>
          <w:p w14:paraId="20B9F0A2">
            <w:pPr>
              <w:pStyle w:val="5"/>
              <w:jc w:val="center"/>
              <w:rPr>
                <w:rFonts w:hint="eastAsia" w:ascii="宋体" w:hAnsi="宋体" w:eastAsia="宋体" w:cs="宋体"/>
                <w:highlight w:val="none"/>
              </w:rPr>
            </w:pPr>
            <w:r>
              <w:rPr>
                <w:rFonts w:hint="eastAsia" w:ascii="宋体" w:hAnsi="宋体" w:eastAsia="宋体" w:cs="宋体"/>
                <w:color w:val="000000"/>
                <w:sz w:val="21"/>
                <w:highlight w:val="none"/>
              </w:rPr>
              <w:t>格</w:t>
            </w:r>
          </w:p>
          <w:p w14:paraId="5AF93DCA">
            <w:pPr>
              <w:pStyle w:val="5"/>
              <w:jc w:val="center"/>
              <w:rPr>
                <w:rFonts w:hint="eastAsia" w:ascii="宋体" w:hAnsi="宋体" w:eastAsia="宋体" w:cs="宋体"/>
                <w:highlight w:val="none"/>
              </w:rPr>
            </w:pPr>
            <w:r>
              <w:rPr>
                <w:rFonts w:hint="eastAsia" w:ascii="宋体" w:hAnsi="宋体" w:eastAsia="宋体" w:cs="宋体"/>
                <w:color w:val="000000"/>
                <w:sz w:val="21"/>
                <w:highlight w:val="none"/>
              </w:rPr>
              <w:t>式</w:t>
            </w:r>
          </w:p>
        </w:tc>
        <w:tc>
          <w:tcPr>
            <w:tcW w:w="2915" w:type="pct"/>
            <w:gridSpan w:val="4"/>
            <w:tcBorders>
              <w:top w:val="single" w:color="auto" w:sz="4" w:space="0"/>
              <w:left w:val="single" w:color="000000" w:sz="4" w:space="0"/>
              <w:bottom w:val="single" w:color="auto" w:sz="4" w:space="0"/>
              <w:right w:val="single" w:color="000000" w:sz="4" w:space="0"/>
            </w:tcBorders>
            <w:shd w:val="clear" w:color="auto" w:fill="FFFFFF"/>
            <w:tcMar>
              <w:top w:w="15" w:type="dxa"/>
              <w:left w:w="15" w:type="dxa"/>
              <w:bottom w:w="0" w:type="dxa"/>
              <w:right w:w="15" w:type="dxa"/>
            </w:tcMar>
            <w:vAlign w:val="top"/>
          </w:tcPr>
          <w:p w14:paraId="018842F0">
            <w:pPr>
              <w:pStyle w:val="5"/>
              <w:jc w:val="left"/>
              <w:rPr>
                <w:rFonts w:hint="eastAsia" w:ascii="宋体" w:hAnsi="宋体" w:eastAsia="宋体" w:cs="宋体"/>
                <w:highlight w:val="none"/>
              </w:rPr>
            </w:pPr>
            <w:r>
              <w:rPr>
                <w:rFonts w:hint="eastAsia" w:ascii="宋体" w:hAnsi="宋体" w:eastAsia="宋体" w:cs="宋体"/>
                <w:color w:val="000000"/>
                <w:sz w:val="21"/>
                <w:highlight w:val="none"/>
              </w:rPr>
              <w:t>编制说明是否列全编制依据，项目概况，主要增减说明和存在问题等，每发现一处扣2分</w:t>
            </w:r>
          </w:p>
        </w:tc>
        <w:tc>
          <w:tcPr>
            <w:tcW w:w="819" w:type="pct"/>
            <w:tcBorders>
              <w:top w:val="single" w:color="auto" w:sz="4" w:space="0"/>
              <w:left w:val="single" w:color="000000" w:sz="4" w:space="0"/>
              <w:bottom w:val="single" w:color="auto" w:sz="4" w:space="0"/>
              <w:right w:val="single" w:color="000000" w:sz="4" w:space="0"/>
            </w:tcBorders>
            <w:shd w:val="clear" w:color="auto" w:fill="FFFFFF"/>
            <w:tcMar>
              <w:top w:w="15" w:type="dxa"/>
              <w:left w:w="15" w:type="dxa"/>
              <w:bottom w:w="0" w:type="dxa"/>
              <w:right w:w="15" w:type="dxa"/>
            </w:tcMar>
            <w:vAlign w:val="top"/>
          </w:tcPr>
          <w:p w14:paraId="00F27F42">
            <w:pPr>
              <w:pStyle w:val="5"/>
              <w:jc w:val="left"/>
              <w:rPr>
                <w:rFonts w:hint="eastAsia" w:ascii="宋体" w:hAnsi="宋体" w:eastAsia="宋体" w:cs="宋体"/>
                <w:highlight w:val="none"/>
              </w:rPr>
            </w:pPr>
          </w:p>
        </w:tc>
      </w:tr>
      <w:tr w14:paraId="6685B5F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35" w:type="pct"/>
            <w:vMerge w:val="continue"/>
            <w:tcBorders>
              <w:top w:val="single" w:color="auto" w:sz="4" w:space="0"/>
              <w:left w:val="single" w:color="000000" w:sz="4" w:space="0"/>
              <w:bottom w:val="single" w:color="000000" w:sz="4" w:space="0"/>
              <w:right w:val="single" w:color="000000" w:sz="4" w:space="0"/>
            </w:tcBorders>
          </w:tcPr>
          <w:p w14:paraId="12B53179">
            <w:pPr>
              <w:rPr>
                <w:rFonts w:hint="eastAsia" w:ascii="宋体" w:hAnsi="宋体" w:eastAsia="宋体" w:cs="宋体"/>
                <w:highlight w:val="none"/>
              </w:rPr>
            </w:pPr>
          </w:p>
        </w:tc>
        <w:tc>
          <w:tcPr>
            <w:tcW w:w="395" w:type="pct"/>
            <w:vMerge w:val="continue"/>
            <w:tcBorders>
              <w:top w:val="single" w:color="auto" w:sz="4" w:space="0"/>
              <w:left w:val="single" w:color="000000" w:sz="4" w:space="0"/>
              <w:bottom w:val="single" w:color="000000" w:sz="4" w:space="0"/>
              <w:right w:val="single" w:color="000000" w:sz="4" w:space="0"/>
            </w:tcBorders>
          </w:tcPr>
          <w:p w14:paraId="58EE8A5A">
            <w:pPr>
              <w:rPr>
                <w:rFonts w:hint="eastAsia" w:ascii="宋体" w:hAnsi="宋体" w:eastAsia="宋体" w:cs="宋体"/>
                <w:highlight w:val="none"/>
              </w:rPr>
            </w:pPr>
          </w:p>
        </w:tc>
        <w:tc>
          <w:tcPr>
            <w:tcW w:w="433" w:type="pct"/>
            <w:vMerge w:val="continue"/>
            <w:tcBorders>
              <w:top w:val="single" w:color="auto" w:sz="4" w:space="0"/>
              <w:left w:val="single" w:color="000000" w:sz="4" w:space="0"/>
              <w:bottom w:val="single" w:color="000000" w:sz="4" w:space="0"/>
              <w:right w:val="single" w:color="000000" w:sz="4" w:space="0"/>
            </w:tcBorders>
          </w:tcPr>
          <w:p w14:paraId="5BBAC6AC">
            <w:pPr>
              <w:rPr>
                <w:rFonts w:hint="eastAsia" w:ascii="宋体" w:hAnsi="宋体" w:eastAsia="宋体" w:cs="宋体"/>
                <w:highlight w:val="none"/>
              </w:rPr>
            </w:pPr>
          </w:p>
        </w:tc>
        <w:tc>
          <w:tcPr>
            <w:tcW w:w="2915" w:type="pct"/>
            <w:gridSpan w:val="4"/>
            <w:tcBorders>
              <w:top w:val="single" w:color="auto" w:sz="4" w:space="0"/>
              <w:left w:val="single" w:color="000000" w:sz="4" w:space="0"/>
              <w:bottom w:val="single" w:color="000000" w:sz="4" w:space="0"/>
              <w:right w:val="single" w:color="000000" w:sz="4" w:space="0"/>
            </w:tcBorders>
            <w:shd w:val="clear" w:color="auto" w:fill="FFFFFF"/>
            <w:tcMar>
              <w:top w:w="15" w:type="dxa"/>
              <w:left w:w="15" w:type="dxa"/>
              <w:bottom w:w="0" w:type="dxa"/>
              <w:right w:w="15" w:type="dxa"/>
            </w:tcMar>
            <w:vAlign w:val="top"/>
          </w:tcPr>
          <w:p w14:paraId="2948C747">
            <w:pPr>
              <w:pStyle w:val="5"/>
              <w:jc w:val="left"/>
              <w:rPr>
                <w:rFonts w:hint="eastAsia" w:ascii="宋体" w:hAnsi="宋体" w:eastAsia="宋体" w:cs="宋体"/>
                <w:highlight w:val="none"/>
              </w:rPr>
            </w:pPr>
            <w:r>
              <w:rPr>
                <w:rFonts w:hint="eastAsia" w:ascii="宋体" w:hAnsi="宋体" w:eastAsia="宋体" w:cs="宋体"/>
                <w:color w:val="000000"/>
                <w:sz w:val="21"/>
                <w:highlight w:val="none"/>
              </w:rPr>
              <w:t>编制人、复核人签字盖章是否齐全，是否符合要求，不齐全的扣5分</w:t>
            </w:r>
          </w:p>
        </w:tc>
        <w:tc>
          <w:tcPr>
            <w:tcW w:w="819" w:type="pct"/>
            <w:tcBorders>
              <w:top w:val="single" w:color="auto" w:sz="4" w:space="0"/>
              <w:left w:val="single" w:color="000000" w:sz="4" w:space="0"/>
              <w:bottom w:val="single" w:color="000000" w:sz="4" w:space="0"/>
              <w:right w:val="single" w:color="000000" w:sz="4" w:space="0"/>
            </w:tcBorders>
            <w:shd w:val="clear" w:color="auto" w:fill="FFFFFF"/>
            <w:tcMar>
              <w:top w:w="15" w:type="dxa"/>
              <w:left w:w="15" w:type="dxa"/>
              <w:bottom w:w="0" w:type="dxa"/>
              <w:right w:w="15" w:type="dxa"/>
            </w:tcMar>
            <w:vAlign w:val="top"/>
          </w:tcPr>
          <w:p w14:paraId="59ED90A8">
            <w:pPr>
              <w:pStyle w:val="5"/>
              <w:jc w:val="left"/>
              <w:rPr>
                <w:rFonts w:hint="eastAsia" w:ascii="宋体" w:hAnsi="宋体" w:eastAsia="宋体" w:cs="宋体"/>
                <w:highlight w:val="none"/>
              </w:rPr>
            </w:pPr>
          </w:p>
        </w:tc>
      </w:tr>
      <w:tr w14:paraId="17F751D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35" w:type="pct"/>
            <w:vMerge w:val="continue"/>
            <w:tcBorders>
              <w:top w:val="nil"/>
              <w:left w:val="single" w:color="000000" w:sz="4" w:space="0"/>
              <w:bottom w:val="single" w:color="000000" w:sz="4" w:space="0"/>
              <w:right w:val="single" w:color="000000" w:sz="4" w:space="0"/>
            </w:tcBorders>
          </w:tcPr>
          <w:p w14:paraId="1A22B2F0">
            <w:pPr>
              <w:rPr>
                <w:rFonts w:hint="eastAsia" w:ascii="宋体" w:hAnsi="宋体" w:eastAsia="宋体" w:cs="宋体"/>
                <w:highlight w:val="none"/>
              </w:rPr>
            </w:pPr>
          </w:p>
        </w:tc>
        <w:tc>
          <w:tcPr>
            <w:tcW w:w="395" w:type="pct"/>
            <w:vMerge w:val="continue"/>
            <w:tcBorders>
              <w:top w:val="nil"/>
              <w:left w:val="single" w:color="000000" w:sz="4" w:space="0"/>
              <w:bottom w:val="single" w:color="000000" w:sz="4" w:space="0"/>
              <w:right w:val="single" w:color="000000" w:sz="4" w:space="0"/>
            </w:tcBorders>
          </w:tcPr>
          <w:p w14:paraId="12DCCFDE">
            <w:pPr>
              <w:rPr>
                <w:rFonts w:hint="eastAsia" w:ascii="宋体" w:hAnsi="宋体" w:eastAsia="宋体" w:cs="宋体"/>
                <w:highlight w:val="none"/>
              </w:rPr>
            </w:pPr>
          </w:p>
        </w:tc>
        <w:tc>
          <w:tcPr>
            <w:tcW w:w="433" w:type="pct"/>
            <w:vMerge w:val="continue"/>
            <w:tcBorders>
              <w:top w:val="nil"/>
              <w:left w:val="single" w:color="000000" w:sz="4" w:space="0"/>
              <w:bottom w:val="single" w:color="000000" w:sz="4" w:space="0"/>
              <w:right w:val="single" w:color="000000" w:sz="4" w:space="0"/>
            </w:tcBorders>
          </w:tcPr>
          <w:p w14:paraId="25244C8B">
            <w:pPr>
              <w:rPr>
                <w:rFonts w:hint="eastAsia" w:ascii="宋体" w:hAnsi="宋体" w:eastAsia="宋体" w:cs="宋体"/>
                <w:highlight w:val="none"/>
              </w:rPr>
            </w:pPr>
          </w:p>
        </w:tc>
        <w:tc>
          <w:tcPr>
            <w:tcW w:w="2915" w:type="pct"/>
            <w:gridSpan w:val="4"/>
            <w:tcBorders>
              <w:top w:val="nil"/>
              <w:left w:val="single" w:color="000000" w:sz="4" w:space="0"/>
              <w:bottom w:val="single" w:color="000000" w:sz="4" w:space="0"/>
              <w:right w:val="single" w:color="000000" w:sz="4" w:space="0"/>
            </w:tcBorders>
            <w:shd w:val="clear" w:color="auto" w:fill="FFFFFF"/>
            <w:tcMar>
              <w:top w:w="15" w:type="dxa"/>
              <w:left w:w="15" w:type="dxa"/>
              <w:bottom w:w="0" w:type="dxa"/>
              <w:right w:w="15" w:type="dxa"/>
            </w:tcMar>
            <w:vAlign w:val="top"/>
          </w:tcPr>
          <w:p w14:paraId="7B43E288">
            <w:pPr>
              <w:pStyle w:val="5"/>
              <w:jc w:val="left"/>
              <w:rPr>
                <w:rFonts w:hint="eastAsia" w:ascii="宋体" w:hAnsi="宋体" w:eastAsia="宋体" w:cs="宋体"/>
                <w:highlight w:val="none"/>
              </w:rPr>
            </w:pPr>
            <w:r>
              <w:rPr>
                <w:rFonts w:hint="eastAsia" w:ascii="宋体" w:hAnsi="宋体" w:eastAsia="宋体" w:cs="宋体"/>
                <w:color w:val="000000"/>
                <w:sz w:val="21"/>
                <w:highlight w:val="none"/>
              </w:rPr>
              <w:t>报告出现表述错误的,每错一处扣2分</w:t>
            </w:r>
          </w:p>
        </w:tc>
        <w:tc>
          <w:tcPr>
            <w:tcW w:w="819" w:type="pct"/>
            <w:tcBorders>
              <w:top w:val="nil"/>
              <w:left w:val="single" w:color="000000" w:sz="4" w:space="0"/>
              <w:bottom w:val="single" w:color="000000" w:sz="4" w:space="0"/>
              <w:right w:val="single" w:color="000000" w:sz="4" w:space="0"/>
            </w:tcBorders>
            <w:shd w:val="clear" w:color="auto" w:fill="FFFFFF"/>
            <w:tcMar>
              <w:top w:w="15" w:type="dxa"/>
              <w:left w:w="15" w:type="dxa"/>
              <w:bottom w:w="0" w:type="dxa"/>
              <w:right w:w="15" w:type="dxa"/>
            </w:tcMar>
            <w:vAlign w:val="top"/>
          </w:tcPr>
          <w:p w14:paraId="65C595CE">
            <w:pPr>
              <w:pStyle w:val="5"/>
              <w:jc w:val="left"/>
              <w:rPr>
                <w:rFonts w:hint="eastAsia" w:ascii="宋体" w:hAnsi="宋体" w:eastAsia="宋体" w:cs="宋体"/>
                <w:highlight w:val="none"/>
              </w:rPr>
            </w:pPr>
          </w:p>
        </w:tc>
      </w:tr>
      <w:tr w14:paraId="401A950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35" w:type="pct"/>
            <w:vMerge w:val="continue"/>
            <w:tcBorders>
              <w:top w:val="nil"/>
              <w:left w:val="single" w:color="000000" w:sz="4" w:space="0"/>
              <w:bottom w:val="single" w:color="000000" w:sz="4" w:space="0"/>
              <w:right w:val="single" w:color="000000" w:sz="4" w:space="0"/>
            </w:tcBorders>
          </w:tcPr>
          <w:p w14:paraId="026854F4">
            <w:pPr>
              <w:rPr>
                <w:rFonts w:hint="eastAsia" w:ascii="宋体" w:hAnsi="宋体" w:eastAsia="宋体" w:cs="宋体"/>
                <w:highlight w:val="none"/>
              </w:rPr>
            </w:pPr>
          </w:p>
        </w:tc>
        <w:tc>
          <w:tcPr>
            <w:tcW w:w="395" w:type="pct"/>
            <w:vMerge w:val="continue"/>
            <w:tcBorders>
              <w:top w:val="nil"/>
              <w:left w:val="single" w:color="000000" w:sz="4" w:space="0"/>
              <w:bottom w:val="single" w:color="000000" w:sz="4" w:space="0"/>
              <w:right w:val="single" w:color="000000" w:sz="4" w:space="0"/>
            </w:tcBorders>
          </w:tcPr>
          <w:p w14:paraId="1736F5BB">
            <w:pPr>
              <w:rPr>
                <w:rFonts w:hint="eastAsia" w:ascii="宋体" w:hAnsi="宋体" w:eastAsia="宋体" w:cs="宋体"/>
                <w:highlight w:val="none"/>
              </w:rPr>
            </w:pPr>
          </w:p>
        </w:tc>
        <w:tc>
          <w:tcPr>
            <w:tcW w:w="433" w:type="pct"/>
            <w:vMerge w:val="continue"/>
            <w:tcBorders>
              <w:top w:val="nil"/>
              <w:left w:val="single" w:color="000000" w:sz="4" w:space="0"/>
              <w:bottom w:val="single" w:color="000000" w:sz="4" w:space="0"/>
              <w:right w:val="single" w:color="000000" w:sz="4" w:space="0"/>
            </w:tcBorders>
          </w:tcPr>
          <w:p w14:paraId="08EBE50D">
            <w:pPr>
              <w:rPr>
                <w:rFonts w:hint="eastAsia" w:ascii="宋体" w:hAnsi="宋体" w:eastAsia="宋体" w:cs="宋体"/>
                <w:highlight w:val="none"/>
              </w:rPr>
            </w:pPr>
          </w:p>
        </w:tc>
        <w:tc>
          <w:tcPr>
            <w:tcW w:w="2915" w:type="pct"/>
            <w:gridSpan w:val="4"/>
            <w:tcBorders>
              <w:top w:val="nil"/>
              <w:left w:val="single" w:color="000000" w:sz="4" w:space="0"/>
              <w:bottom w:val="single" w:color="000000" w:sz="4" w:space="0"/>
              <w:right w:val="single" w:color="000000" w:sz="4" w:space="0"/>
            </w:tcBorders>
            <w:shd w:val="clear" w:color="auto" w:fill="FFFFFF"/>
            <w:tcMar>
              <w:top w:w="15" w:type="dxa"/>
              <w:left w:w="15" w:type="dxa"/>
              <w:bottom w:w="0" w:type="dxa"/>
              <w:right w:w="15" w:type="dxa"/>
            </w:tcMar>
            <w:vAlign w:val="top"/>
          </w:tcPr>
          <w:p w14:paraId="5C54F5C7">
            <w:pPr>
              <w:pStyle w:val="5"/>
              <w:jc w:val="left"/>
              <w:rPr>
                <w:rFonts w:hint="eastAsia" w:ascii="宋体" w:hAnsi="宋体" w:eastAsia="宋体" w:cs="宋体"/>
                <w:highlight w:val="none"/>
              </w:rPr>
            </w:pPr>
            <w:r>
              <w:rPr>
                <w:rFonts w:hint="eastAsia" w:ascii="宋体" w:hAnsi="宋体" w:eastAsia="宋体" w:cs="宋体"/>
                <w:color w:val="000000"/>
                <w:sz w:val="21"/>
                <w:highlight w:val="none"/>
              </w:rPr>
              <w:t>每出现一处文字或数字错误扣1分，同类错误不重复扣分</w:t>
            </w:r>
          </w:p>
        </w:tc>
        <w:tc>
          <w:tcPr>
            <w:tcW w:w="819" w:type="pct"/>
            <w:tcBorders>
              <w:top w:val="nil"/>
              <w:left w:val="single" w:color="000000" w:sz="4" w:space="0"/>
              <w:bottom w:val="single" w:color="000000" w:sz="4" w:space="0"/>
              <w:right w:val="single" w:color="000000" w:sz="4" w:space="0"/>
            </w:tcBorders>
            <w:shd w:val="clear" w:color="auto" w:fill="FFFFFF"/>
            <w:tcMar>
              <w:top w:w="15" w:type="dxa"/>
              <w:left w:w="15" w:type="dxa"/>
              <w:bottom w:w="0" w:type="dxa"/>
              <w:right w:w="15" w:type="dxa"/>
            </w:tcMar>
            <w:vAlign w:val="top"/>
          </w:tcPr>
          <w:p w14:paraId="6762CB57">
            <w:pPr>
              <w:pStyle w:val="5"/>
              <w:jc w:val="left"/>
              <w:rPr>
                <w:rFonts w:hint="eastAsia" w:ascii="宋体" w:hAnsi="宋体" w:eastAsia="宋体" w:cs="宋体"/>
                <w:highlight w:val="none"/>
              </w:rPr>
            </w:pPr>
          </w:p>
        </w:tc>
      </w:tr>
      <w:tr w14:paraId="2EEC12A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35" w:type="pct"/>
            <w:vMerge w:val="continue"/>
            <w:tcBorders>
              <w:top w:val="nil"/>
              <w:left w:val="single" w:color="000000" w:sz="4" w:space="0"/>
              <w:bottom w:val="single" w:color="000000" w:sz="4" w:space="0"/>
              <w:right w:val="single" w:color="000000" w:sz="4" w:space="0"/>
            </w:tcBorders>
          </w:tcPr>
          <w:p w14:paraId="3B823414">
            <w:pPr>
              <w:rPr>
                <w:rFonts w:hint="eastAsia" w:ascii="宋体" w:hAnsi="宋体" w:eastAsia="宋体" w:cs="宋体"/>
                <w:highlight w:val="none"/>
              </w:rPr>
            </w:pPr>
          </w:p>
        </w:tc>
        <w:tc>
          <w:tcPr>
            <w:tcW w:w="395" w:type="pct"/>
            <w:vMerge w:val="continue"/>
            <w:tcBorders>
              <w:top w:val="nil"/>
              <w:left w:val="single" w:color="000000" w:sz="4" w:space="0"/>
              <w:bottom w:val="single" w:color="000000" w:sz="4" w:space="0"/>
              <w:right w:val="single" w:color="000000" w:sz="4" w:space="0"/>
            </w:tcBorders>
          </w:tcPr>
          <w:p w14:paraId="54A841D7">
            <w:pPr>
              <w:rPr>
                <w:rFonts w:hint="eastAsia" w:ascii="宋体" w:hAnsi="宋体" w:eastAsia="宋体" w:cs="宋体"/>
                <w:highlight w:val="none"/>
              </w:rPr>
            </w:pPr>
          </w:p>
        </w:tc>
        <w:tc>
          <w:tcPr>
            <w:tcW w:w="433" w:type="pct"/>
            <w:vMerge w:val="restart"/>
            <w:tcBorders>
              <w:top w:val="nil"/>
              <w:left w:val="single" w:color="000000" w:sz="4" w:space="0"/>
              <w:bottom w:val="single" w:color="000000" w:sz="4" w:space="0"/>
              <w:right w:val="single" w:color="000000" w:sz="4" w:space="0"/>
            </w:tcBorders>
            <w:shd w:val="clear" w:color="auto" w:fill="FFFFFF"/>
            <w:tcMar>
              <w:top w:w="15" w:type="dxa"/>
              <w:left w:w="15" w:type="dxa"/>
              <w:bottom w:w="0" w:type="dxa"/>
              <w:right w:w="15" w:type="dxa"/>
            </w:tcMar>
            <w:vAlign w:val="top"/>
          </w:tcPr>
          <w:p w14:paraId="42E8771B">
            <w:pPr>
              <w:pStyle w:val="5"/>
              <w:jc w:val="center"/>
              <w:rPr>
                <w:rFonts w:hint="eastAsia" w:ascii="宋体" w:hAnsi="宋体" w:eastAsia="宋体" w:cs="宋体"/>
                <w:highlight w:val="none"/>
              </w:rPr>
            </w:pPr>
            <w:r>
              <w:rPr>
                <w:rFonts w:hint="eastAsia" w:ascii="宋体" w:hAnsi="宋体" w:eastAsia="宋体" w:cs="宋体"/>
                <w:color w:val="000000"/>
                <w:sz w:val="21"/>
                <w:highlight w:val="none"/>
              </w:rPr>
              <w:t>专</w:t>
            </w:r>
          </w:p>
          <w:p w14:paraId="671C15B7">
            <w:pPr>
              <w:pStyle w:val="5"/>
              <w:jc w:val="center"/>
              <w:rPr>
                <w:rFonts w:hint="eastAsia" w:ascii="宋体" w:hAnsi="宋体" w:eastAsia="宋体" w:cs="宋体"/>
                <w:highlight w:val="none"/>
              </w:rPr>
            </w:pPr>
            <w:r>
              <w:rPr>
                <w:rFonts w:hint="eastAsia" w:ascii="宋体" w:hAnsi="宋体" w:eastAsia="宋体" w:cs="宋体"/>
                <w:color w:val="000000"/>
                <w:sz w:val="21"/>
                <w:highlight w:val="none"/>
              </w:rPr>
              <w:t>业</w:t>
            </w:r>
          </w:p>
          <w:p w14:paraId="3AA6D5D6">
            <w:pPr>
              <w:pStyle w:val="5"/>
              <w:jc w:val="center"/>
              <w:rPr>
                <w:rFonts w:hint="eastAsia" w:ascii="宋体" w:hAnsi="宋体" w:eastAsia="宋体" w:cs="宋体"/>
                <w:highlight w:val="none"/>
              </w:rPr>
            </w:pPr>
            <w:r>
              <w:rPr>
                <w:rFonts w:hint="eastAsia" w:ascii="宋体" w:hAnsi="宋体" w:eastAsia="宋体" w:cs="宋体"/>
                <w:color w:val="000000"/>
                <w:sz w:val="21"/>
                <w:highlight w:val="none"/>
              </w:rPr>
              <w:t>技</w:t>
            </w:r>
          </w:p>
          <w:p w14:paraId="757FBB64">
            <w:pPr>
              <w:pStyle w:val="5"/>
              <w:jc w:val="center"/>
              <w:rPr>
                <w:rFonts w:hint="eastAsia" w:ascii="宋体" w:hAnsi="宋体" w:eastAsia="宋体" w:cs="宋体"/>
                <w:highlight w:val="none"/>
              </w:rPr>
            </w:pPr>
            <w:r>
              <w:rPr>
                <w:rFonts w:hint="eastAsia" w:ascii="宋体" w:hAnsi="宋体" w:eastAsia="宋体" w:cs="宋体"/>
                <w:color w:val="000000"/>
                <w:sz w:val="21"/>
                <w:highlight w:val="none"/>
              </w:rPr>
              <w:t>术</w:t>
            </w:r>
          </w:p>
        </w:tc>
        <w:tc>
          <w:tcPr>
            <w:tcW w:w="2915" w:type="pct"/>
            <w:gridSpan w:val="4"/>
            <w:tcBorders>
              <w:top w:val="nil"/>
              <w:left w:val="single" w:color="000000" w:sz="4" w:space="0"/>
              <w:bottom w:val="single" w:color="000000" w:sz="4" w:space="0"/>
              <w:right w:val="single" w:color="000000" w:sz="4" w:space="0"/>
            </w:tcBorders>
            <w:shd w:val="clear" w:color="auto" w:fill="FFFFFF"/>
            <w:tcMar>
              <w:top w:w="15" w:type="dxa"/>
              <w:left w:w="15" w:type="dxa"/>
              <w:bottom w:w="0" w:type="dxa"/>
              <w:right w:w="15" w:type="dxa"/>
            </w:tcMar>
            <w:vAlign w:val="top"/>
          </w:tcPr>
          <w:p w14:paraId="0485EB30">
            <w:pPr>
              <w:pStyle w:val="5"/>
              <w:jc w:val="left"/>
              <w:rPr>
                <w:rFonts w:hint="eastAsia" w:ascii="宋体" w:hAnsi="宋体" w:eastAsia="宋体" w:cs="宋体"/>
                <w:highlight w:val="none"/>
              </w:rPr>
            </w:pPr>
            <w:r>
              <w:rPr>
                <w:rFonts w:hint="eastAsia" w:ascii="宋体" w:hAnsi="宋体" w:eastAsia="宋体" w:cs="宋体"/>
                <w:color w:val="000000"/>
                <w:sz w:val="21"/>
                <w:highlight w:val="none"/>
              </w:rPr>
              <w:t>前期费用、汇总数、定额套项等错误，每发现一处扣3分</w:t>
            </w:r>
          </w:p>
        </w:tc>
        <w:tc>
          <w:tcPr>
            <w:tcW w:w="819" w:type="pct"/>
            <w:tcBorders>
              <w:top w:val="nil"/>
              <w:left w:val="single" w:color="000000" w:sz="4" w:space="0"/>
              <w:bottom w:val="single" w:color="000000" w:sz="4" w:space="0"/>
              <w:right w:val="single" w:color="000000" w:sz="4" w:space="0"/>
            </w:tcBorders>
            <w:shd w:val="clear" w:color="auto" w:fill="FFFFFF"/>
            <w:tcMar>
              <w:top w:w="15" w:type="dxa"/>
              <w:left w:w="15" w:type="dxa"/>
              <w:bottom w:w="0" w:type="dxa"/>
              <w:right w:w="15" w:type="dxa"/>
            </w:tcMar>
            <w:vAlign w:val="top"/>
          </w:tcPr>
          <w:p w14:paraId="7616AFD9">
            <w:pPr>
              <w:pStyle w:val="5"/>
              <w:jc w:val="left"/>
              <w:rPr>
                <w:rFonts w:hint="eastAsia" w:ascii="宋体" w:hAnsi="宋体" w:eastAsia="宋体" w:cs="宋体"/>
                <w:highlight w:val="none"/>
              </w:rPr>
            </w:pPr>
          </w:p>
        </w:tc>
      </w:tr>
      <w:tr w14:paraId="61423DE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35" w:type="pct"/>
            <w:vMerge w:val="continue"/>
            <w:tcBorders>
              <w:top w:val="nil"/>
              <w:left w:val="single" w:color="000000" w:sz="4" w:space="0"/>
              <w:bottom w:val="single" w:color="000000" w:sz="4" w:space="0"/>
              <w:right w:val="single" w:color="000000" w:sz="4" w:space="0"/>
            </w:tcBorders>
          </w:tcPr>
          <w:p w14:paraId="13A16911">
            <w:pPr>
              <w:rPr>
                <w:rFonts w:hint="eastAsia" w:ascii="宋体" w:hAnsi="宋体" w:eastAsia="宋体" w:cs="宋体"/>
                <w:highlight w:val="none"/>
              </w:rPr>
            </w:pPr>
          </w:p>
        </w:tc>
        <w:tc>
          <w:tcPr>
            <w:tcW w:w="395" w:type="pct"/>
            <w:vMerge w:val="continue"/>
            <w:tcBorders>
              <w:top w:val="nil"/>
              <w:left w:val="single" w:color="000000" w:sz="4" w:space="0"/>
              <w:bottom w:val="single" w:color="000000" w:sz="4" w:space="0"/>
              <w:right w:val="single" w:color="000000" w:sz="4" w:space="0"/>
            </w:tcBorders>
          </w:tcPr>
          <w:p w14:paraId="066FB20A">
            <w:pPr>
              <w:rPr>
                <w:rFonts w:hint="eastAsia" w:ascii="宋体" w:hAnsi="宋体" w:eastAsia="宋体" w:cs="宋体"/>
                <w:highlight w:val="none"/>
              </w:rPr>
            </w:pPr>
          </w:p>
        </w:tc>
        <w:tc>
          <w:tcPr>
            <w:tcW w:w="433" w:type="pct"/>
            <w:vMerge w:val="continue"/>
            <w:tcBorders>
              <w:top w:val="nil"/>
              <w:left w:val="single" w:color="000000" w:sz="4" w:space="0"/>
              <w:bottom w:val="single" w:color="000000" w:sz="4" w:space="0"/>
              <w:right w:val="single" w:color="000000" w:sz="4" w:space="0"/>
            </w:tcBorders>
          </w:tcPr>
          <w:p w14:paraId="45B8116A">
            <w:pPr>
              <w:rPr>
                <w:rFonts w:hint="eastAsia" w:ascii="宋体" w:hAnsi="宋体" w:eastAsia="宋体" w:cs="宋体"/>
                <w:highlight w:val="none"/>
              </w:rPr>
            </w:pPr>
          </w:p>
        </w:tc>
        <w:tc>
          <w:tcPr>
            <w:tcW w:w="2915" w:type="pct"/>
            <w:gridSpan w:val="4"/>
            <w:tcBorders>
              <w:top w:val="nil"/>
              <w:left w:val="single" w:color="000000" w:sz="4" w:space="0"/>
              <w:bottom w:val="single" w:color="000000" w:sz="4" w:space="0"/>
              <w:right w:val="single" w:color="000000" w:sz="4" w:space="0"/>
            </w:tcBorders>
            <w:shd w:val="clear" w:color="auto" w:fill="FFFFFF"/>
            <w:tcMar>
              <w:top w:w="15" w:type="dxa"/>
              <w:left w:w="15" w:type="dxa"/>
              <w:bottom w:w="0" w:type="dxa"/>
              <w:right w:w="15" w:type="dxa"/>
            </w:tcMar>
            <w:vAlign w:val="top"/>
          </w:tcPr>
          <w:p w14:paraId="21CFC1E3">
            <w:pPr>
              <w:pStyle w:val="5"/>
              <w:jc w:val="left"/>
              <w:rPr>
                <w:rFonts w:hint="eastAsia" w:ascii="宋体" w:hAnsi="宋体" w:eastAsia="宋体" w:cs="宋体"/>
                <w:highlight w:val="none"/>
              </w:rPr>
            </w:pPr>
            <w:r>
              <w:rPr>
                <w:rFonts w:hint="eastAsia" w:ascii="宋体" w:hAnsi="宋体" w:eastAsia="宋体" w:cs="宋体"/>
                <w:color w:val="000000"/>
                <w:sz w:val="21"/>
                <w:highlight w:val="none"/>
              </w:rPr>
              <w:t>工程量清单项目特征描述是否符合招标文件、清单规范、现行计价规范要求，每发现一处扣1分</w:t>
            </w:r>
          </w:p>
        </w:tc>
        <w:tc>
          <w:tcPr>
            <w:tcW w:w="819" w:type="pct"/>
            <w:tcBorders>
              <w:top w:val="nil"/>
              <w:left w:val="single" w:color="000000" w:sz="4" w:space="0"/>
              <w:bottom w:val="single" w:color="000000" w:sz="4" w:space="0"/>
              <w:right w:val="single" w:color="000000" w:sz="4" w:space="0"/>
            </w:tcBorders>
            <w:shd w:val="clear" w:color="auto" w:fill="FFFFFF"/>
            <w:tcMar>
              <w:top w:w="15" w:type="dxa"/>
              <w:left w:w="15" w:type="dxa"/>
              <w:bottom w:w="0" w:type="dxa"/>
              <w:right w:w="15" w:type="dxa"/>
            </w:tcMar>
            <w:vAlign w:val="top"/>
          </w:tcPr>
          <w:p w14:paraId="4E0C0ED1">
            <w:pPr>
              <w:pStyle w:val="5"/>
              <w:jc w:val="left"/>
              <w:rPr>
                <w:rFonts w:hint="eastAsia" w:ascii="宋体" w:hAnsi="宋体" w:eastAsia="宋体" w:cs="宋体"/>
                <w:highlight w:val="none"/>
              </w:rPr>
            </w:pPr>
          </w:p>
        </w:tc>
      </w:tr>
      <w:tr w14:paraId="7C75681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35" w:type="pct"/>
            <w:vMerge w:val="continue"/>
            <w:tcBorders>
              <w:top w:val="nil"/>
              <w:left w:val="single" w:color="000000" w:sz="4" w:space="0"/>
              <w:bottom w:val="single" w:color="000000" w:sz="4" w:space="0"/>
              <w:right w:val="single" w:color="000000" w:sz="4" w:space="0"/>
            </w:tcBorders>
          </w:tcPr>
          <w:p w14:paraId="2AA06972">
            <w:pPr>
              <w:rPr>
                <w:rFonts w:hint="eastAsia" w:ascii="宋体" w:hAnsi="宋体" w:eastAsia="宋体" w:cs="宋体"/>
                <w:highlight w:val="none"/>
              </w:rPr>
            </w:pPr>
          </w:p>
        </w:tc>
        <w:tc>
          <w:tcPr>
            <w:tcW w:w="395" w:type="pct"/>
            <w:vMerge w:val="continue"/>
            <w:tcBorders>
              <w:top w:val="nil"/>
              <w:left w:val="single" w:color="000000" w:sz="4" w:space="0"/>
              <w:bottom w:val="single" w:color="000000" w:sz="4" w:space="0"/>
              <w:right w:val="single" w:color="000000" w:sz="4" w:space="0"/>
            </w:tcBorders>
          </w:tcPr>
          <w:p w14:paraId="21D99485">
            <w:pPr>
              <w:rPr>
                <w:rFonts w:hint="eastAsia" w:ascii="宋体" w:hAnsi="宋体" w:eastAsia="宋体" w:cs="宋体"/>
                <w:highlight w:val="none"/>
              </w:rPr>
            </w:pPr>
          </w:p>
        </w:tc>
        <w:tc>
          <w:tcPr>
            <w:tcW w:w="433" w:type="pct"/>
            <w:vMerge w:val="continue"/>
            <w:tcBorders>
              <w:top w:val="nil"/>
              <w:left w:val="single" w:color="000000" w:sz="4" w:space="0"/>
              <w:bottom w:val="single" w:color="000000" w:sz="4" w:space="0"/>
              <w:right w:val="single" w:color="000000" w:sz="4" w:space="0"/>
            </w:tcBorders>
          </w:tcPr>
          <w:p w14:paraId="61D67639">
            <w:pPr>
              <w:rPr>
                <w:rFonts w:hint="eastAsia" w:ascii="宋体" w:hAnsi="宋体" w:eastAsia="宋体" w:cs="宋体"/>
                <w:highlight w:val="none"/>
              </w:rPr>
            </w:pPr>
          </w:p>
        </w:tc>
        <w:tc>
          <w:tcPr>
            <w:tcW w:w="2915" w:type="pct"/>
            <w:gridSpan w:val="4"/>
            <w:tcBorders>
              <w:top w:val="nil"/>
              <w:left w:val="single" w:color="000000" w:sz="4" w:space="0"/>
              <w:bottom w:val="single" w:color="000000" w:sz="4" w:space="0"/>
              <w:right w:val="single" w:color="000000" w:sz="4" w:space="0"/>
            </w:tcBorders>
            <w:shd w:val="clear" w:color="auto" w:fill="FFFFFF"/>
            <w:tcMar>
              <w:top w:w="15" w:type="dxa"/>
              <w:left w:w="15" w:type="dxa"/>
              <w:bottom w:w="0" w:type="dxa"/>
              <w:right w:w="15" w:type="dxa"/>
            </w:tcMar>
            <w:vAlign w:val="top"/>
          </w:tcPr>
          <w:p w14:paraId="4AB8B5EB">
            <w:pPr>
              <w:pStyle w:val="5"/>
              <w:jc w:val="left"/>
              <w:rPr>
                <w:rFonts w:hint="eastAsia" w:ascii="宋体" w:hAnsi="宋体" w:eastAsia="宋体" w:cs="宋体"/>
                <w:highlight w:val="none"/>
              </w:rPr>
            </w:pPr>
            <w:r>
              <w:rPr>
                <w:rFonts w:hint="eastAsia" w:ascii="宋体" w:hAnsi="宋体" w:eastAsia="宋体" w:cs="宋体"/>
                <w:color w:val="000000"/>
                <w:sz w:val="21"/>
                <w:highlight w:val="none"/>
              </w:rPr>
              <w:t>措施费、其他项目费、规费等错误，每错一处3分</w:t>
            </w:r>
          </w:p>
        </w:tc>
        <w:tc>
          <w:tcPr>
            <w:tcW w:w="819" w:type="pct"/>
            <w:tcBorders>
              <w:top w:val="nil"/>
              <w:left w:val="single" w:color="000000" w:sz="4" w:space="0"/>
              <w:bottom w:val="single" w:color="000000" w:sz="4" w:space="0"/>
              <w:right w:val="single" w:color="000000" w:sz="4" w:space="0"/>
            </w:tcBorders>
            <w:shd w:val="clear" w:color="auto" w:fill="FFFFFF"/>
            <w:tcMar>
              <w:top w:w="15" w:type="dxa"/>
              <w:left w:w="15" w:type="dxa"/>
              <w:bottom w:w="0" w:type="dxa"/>
              <w:right w:w="15" w:type="dxa"/>
            </w:tcMar>
            <w:vAlign w:val="top"/>
          </w:tcPr>
          <w:p w14:paraId="3AD0B369">
            <w:pPr>
              <w:pStyle w:val="5"/>
              <w:jc w:val="left"/>
              <w:rPr>
                <w:rFonts w:hint="eastAsia" w:ascii="宋体" w:hAnsi="宋体" w:eastAsia="宋体" w:cs="宋体"/>
                <w:highlight w:val="none"/>
              </w:rPr>
            </w:pPr>
          </w:p>
        </w:tc>
      </w:tr>
      <w:tr w14:paraId="714F6AE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35" w:type="pct"/>
            <w:vMerge w:val="continue"/>
            <w:tcBorders>
              <w:top w:val="nil"/>
              <w:left w:val="single" w:color="000000" w:sz="4" w:space="0"/>
              <w:bottom w:val="single" w:color="000000" w:sz="4" w:space="0"/>
              <w:right w:val="single" w:color="000000" w:sz="4" w:space="0"/>
            </w:tcBorders>
          </w:tcPr>
          <w:p w14:paraId="4619AE24">
            <w:pPr>
              <w:rPr>
                <w:rFonts w:hint="eastAsia" w:ascii="宋体" w:hAnsi="宋体" w:eastAsia="宋体" w:cs="宋体"/>
                <w:highlight w:val="none"/>
              </w:rPr>
            </w:pPr>
          </w:p>
        </w:tc>
        <w:tc>
          <w:tcPr>
            <w:tcW w:w="395" w:type="pct"/>
            <w:vMerge w:val="continue"/>
            <w:tcBorders>
              <w:top w:val="nil"/>
              <w:left w:val="single" w:color="000000" w:sz="4" w:space="0"/>
              <w:bottom w:val="single" w:color="000000" w:sz="4" w:space="0"/>
              <w:right w:val="single" w:color="000000" w:sz="4" w:space="0"/>
            </w:tcBorders>
          </w:tcPr>
          <w:p w14:paraId="28C7C155">
            <w:pPr>
              <w:rPr>
                <w:rFonts w:hint="eastAsia" w:ascii="宋体" w:hAnsi="宋体" w:eastAsia="宋体" w:cs="宋体"/>
                <w:highlight w:val="none"/>
              </w:rPr>
            </w:pPr>
          </w:p>
        </w:tc>
        <w:tc>
          <w:tcPr>
            <w:tcW w:w="433" w:type="pct"/>
            <w:vMerge w:val="continue"/>
            <w:tcBorders>
              <w:top w:val="nil"/>
              <w:left w:val="single" w:color="000000" w:sz="4" w:space="0"/>
              <w:bottom w:val="single" w:color="000000" w:sz="4" w:space="0"/>
              <w:right w:val="single" w:color="000000" w:sz="4" w:space="0"/>
            </w:tcBorders>
          </w:tcPr>
          <w:p w14:paraId="2FCE78FD">
            <w:pPr>
              <w:rPr>
                <w:rFonts w:hint="eastAsia" w:ascii="宋体" w:hAnsi="宋体" w:eastAsia="宋体" w:cs="宋体"/>
                <w:highlight w:val="none"/>
              </w:rPr>
            </w:pPr>
          </w:p>
        </w:tc>
        <w:tc>
          <w:tcPr>
            <w:tcW w:w="2915" w:type="pct"/>
            <w:gridSpan w:val="4"/>
            <w:tcBorders>
              <w:top w:val="nil"/>
              <w:left w:val="single" w:color="000000" w:sz="4" w:space="0"/>
              <w:bottom w:val="single" w:color="000000" w:sz="4" w:space="0"/>
              <w:right w:val="single" w:color="000000" w:sz="4" w:space="0"/>
            </w:tcBorders>
            <w:shd w:val="clear" w:color="auto" w:fill="FFFFFF"/>
            <w:tcMar>
              <w:top w:w="15" w:type="dxa"/>
              <w:left w:w="15" w:type="dxa"/>
              <w:bottom w:w="0" w:type="dxa"/>
              <w:right w:w="15" w:type="dxa"/>
            </w:tcMar>
            <w:vAlign w:val="top"/>
          </w:tcPr>
          <w:p w14:paraId="511C9E8A">
            <w:pPr>
              <w:pStyle w:val="5"/>
              <w:jc w:val="left"/>
              <w:rPr>
                <w:rFonts w:hint="eastAsia" w:ascii="宋体" w:hAnsi="宋体" w:eastAsia="宋体" w:cs="宋体"/>
                <w:highlight w:val="none"/>
              </w:rPr>
            </w:pPr>
            <w:r>
              <w:rPr>
                <w:rFonts w:hint="eastAsia" w:ascii="宋体" w:hAnsi="宋体" w:eastAsia="宋体" w:cs="宋体"/>
                <w:color w:val="000000"/>
                <w:sz w:val="21"/>
                <w:highlight w:val="none"/>
              </w:rPr>
              <w:t>采用信息发布价依据错误；对无信息价来源材料设备是否有询价记录，每发现一处扣5分</w:t>
            </w:r>
          </w:p>
        </w:tc>
        <w:tc>
          <w:tcPr>
            <w:tcW w:w="819" w:type="pct"/>
            <w:tcBorders>
              <w:top w:val="nil"/>
              <w:left w:val="single" w:color="000000" w:sz="4" w:space="0"/>
              <w:bottom w:val="single" w:color="000000" w:sz="4" w:space="0"/>
              <w:right w:val="single" w:color="000000" w:sz="4" w:space="0"/>
            </w:tcBorders>
            <w:shd w:val="clear" w:color="auto" w:fill="FFFFFF"/>
            <w:tcMar>
              <w:top w:w="15" w:type="dxa"/>
              <w:left w:w="15" w:type="dxa"/>
              <w:bottom w:w="0" w:type="dxa"/>
              <w:right w:w="15" w:type="dxa"/>
            </w:tcMar>
            <w:vAlign w:val="top"/>
          </w:tcPr>
          <w:p w14:paraId="49A335CC">
            <w:pPr>
              <w:pStyle w:val="5"/>
              <w:jc w:val="left"/>
              <w:rPr>
                <w:rFonts w:hint="eastAsia" w:ascii="宋体" w:hAnsi="宋体" w:eastAsia="宋体" w:cs="宋体"/>
                <w:highlight w:val="none"/>
              </w:rPr>
            </w:pPr>
          </w:p>
        </w:tc>
      </w:tr>
      <w:tr w14:paraId="32EAA1D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35" w:type="pct"/>
            <w:vMerge w:val="continue"/>
            <w:tcBorders>
              <w:top w:val="nil"/>
              <w:left w:val="single" w:color="000000" w:sz="4" w:space="0"/>
              <w:bottom w:val="single" w:color="000000" w:sz="4" w:space="0"/>
              <w:right w:val="single" w:color="000000" w:sz="4" w:space="0"/>
            </w:tcBorders>
          </w:tcPr>
          <w:p w14:paraId="3DB6907F">
            <w:pPr>
              <w:rPr>
                <w:rFonts w:hint="eastAsia" w:ascii="宋体" w:hAnsi="宋体" w:eastAsia="宋体" w:cs="宋体"/>
                <w:highlight w:val="none"/>
              </w:rPr>
            </w:pPr>
          </w:p>
        </w:tc>
        <w:tc>
          <w:tcPr>
            <w:tcW w:w="395" w:type="pct"/>
            <w:vMerge w:val="continue"/>
            <w:tcBorders>
              <w:top w:val="nil"/>
              <w:left w:val="single" w:color="000000" w:sz="4" w:space="0"/>
              <w:bottom w:val="single" w:color="000000" w:sz="4" w:space="0"/>
              <w:right w:val="single" w:color="000000" w:sz="4" w:space="0"/>
            </w:tcBorders>
          </w:tcPr>
          <w:p w14:paraId="418B92B5">
            <w:pPr>
              <w:rPr>
                <w:rFonts w:hint="eastAsia" w:ascii="宋体" w:hAnsi="宋体" w:eastAsia="宋体" w:cs="宋体"/>
                <w:highlight w:val="none"/>
              </w:rPr>
            </w:pPr>
          </w:p>
        </w:tc>
        <w:tc>
          <w:tcPr>
            <w:tcW w:w="433" w:type="pct"/>
            <w:vMerge w:val="continue"/>
            <w:tcBorders>
              <w:top w:val="nil"/>
              <w:left w:val="single" w:color="000000" w:sz="4" w:space="0"/>
              <w:bottom w:val="single" w:color="000000" w:sz="4" w:space="0"/>
              <w:right w:val="single" w:color="000000" w:sz="4" w:space="0"/>
            </w:tcBorders>
          </w:tcPr>
          <w:p w14:paraId="4C509ED1">
            <w:pPr>
              <w:rPr>
                <w:rFonts w:hint="eastAsia" w:ascii="宋体" w:hAnsi="宋体" w:eastAsia="宋体" w:cs="宋体"/>
                <w:highlight w:val="none"/>
              </w:rPr>
            </w:pPr>
          </w:p>
        </w:tc>
        <w:tc>
          <w:tcPr>
            <w:tcW w:w="2915" w:type="pct"/>
            <w:gridSpan w:val="4"/>
            <w:tcBorders>
              <w:top w:val="nil"/>
              <w:left w:val="single" w:color="000000" w:sz="4" w:space="0"/>
              <w:bottom w:val="single" w:color="000000" w:sz="4" w:space="0"/>
              <w:right w:val="single" w:color="000000" w:sz="4" w:space="0"/>
            </w:tcBorders>
            <w:shd w:val="clear" w:color="auto" w:fill="FFFFFF"/>
            <w:tcMar>
              <w:top w:w="15" w:type="dxa"/>
              <w:left w:w="15" w:type="dxa"/>
              <w:bottom w:w="0" w:type="dxa"/>
              <w:right w:w="15" w:type="dxa"/>
            </w:tcMar>
            <w:vAlign w:val="top"/>
          </w:tcPr>
          <w:p w14:paraId="39A0938D">
            <w:pPr>
              <w:pStyle w:val="5"/>
              <w:jc w:val="left"/>
              <w:rPr>
                <w:rFonts w:hint="eastAsia" w:ascii="宋体" w:hAnsi="宋体" w:eastAsia="宋体" w:cs="宋体"/>
                <w:highlight w:val="none"/>
              </w:rPr>
            </w:pPr>
            <w:r>
              <w:rPr>
                <w:rFonts w:hint="eastAsia" w:ascii="宋体" w:hAnsi="宋体" w:eastAsia="宋体" w:cs="宋体"/>
                <w:color w:val="000000"/>
                <w:sz w:val="21"/>
                <w:highlight w:val="none"/>
              </w:rPr>
              <w:t>套用取费标准错误，每出现一处扣5分</w:t>
            </w:r>
          </w:p>
        </w:tc>
        <w:tc>
          <w:tcPr>
            <w:tcW w:w="819" w:type="pct"/>
            <w:tcBorders>
              <w:top w:val="nil"/>
              <w:left w:val="single" w:color="000000" w:sz="4" w:space="0"/>
              <w:bottom w:val="single" w:color="000000" w:sz="4" w:space="0"/>
              <w:right w:val="single" w:color="000000" w:sz="4" w:space="0"/>
            </w:tcBorders>
            <w:shd w:val="clear" w:color="auto" w:fill="FFFFFF"/>
            <w:tcMar>
              <w:top w:w="15" w:type="dxa"/>
              <w:left w:w="15" w:type="dxa"/>
              <w:bottom w:w="0" w:type="dxa"/>
              <w:right w:w="15" w:type="dxa"/>
            </w:tcMar>
            <w:vAlign w:val="top"/>
          </w:tcPr>
          <w:p w14:paraId="1F3AE2F7">
            <w:pPr>
              <w:pStyle w:val="5"/>
              <w:jc w:val="left"/>
              <w:rPr>
                <w:rFonts w:hint="eastAsia" w:ascii="宋体" w:hAnsi="宋体" w:eastAsia="宋体" w:cs="宋体"/>
                <w:highlight w:val="none"/>
              </w:rPr>
            </w:pPr>
          </w:p>
        </w:tc>
      </w:tr>
      <w:tr w14:paraId="261C9DB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35" w:type="pct"/>
            <w:vMerge w:val="continue"/>
            <w:tcBorders>
              <w:top w:val="nil"/>
              <w:left w:val="single" w:color="000000" w:sz="4" w:space="0"/>
              <w:bottom w:val="single" w:color="000000" w:sz="4" w:space="0"/>
              <w:right w:val="single" w:color="000000" w:sz="4" w:space="0"/>
            </w:tcBorders>
          </w:tcPr>
          <w:p w14:paraId="57E2C00C">
            <w:pPr>
              <w:rPr>
                <w:rFonts w:hint="eastAsia" w:ascii="宋体" w:hAnsi="宋体" w:eastAsia="宋体" w:cs="宋体"/>
                <w:highlight w:val="none"/>
              </w:rPr>
            </w:pPr>
          </w:p>
        </w:tc>
        <w:tc>
          <w:tcPr>
            <w:tcW w:w="395" w:type="pct"/>
            <w:vMerge w:val="continue"/>
            <w:tcBorders>
              <w:top w:val="nil"/>
              <w:left w:val="single" w:color="000000" w:sz="4" w:space="0"/>
              <w:bottom w:val="single" w:color="000000" w:sz="4" w:space="0"/>
              <w:right w:val="single" w:color="000000" w:sz="4" w:space="0"/>
            </w:tcBorders>
          </w:tcPr>
          <w:p w14:paraId="44C8A28A">
            <w:pPr>
              <w:rPr>
                <w:rFonts w:hint="eastAsia" w:ascii="宋体" w:hAnsi="宋体" w:eastAsia="宋体" w:cs="宋体"/>
                <w:highlight w:val="none"/>
              </w:rPr>
            </w:pPr>
          </w:p>
        </w:tc>
        <w:tc>
          <w:tcPr>
            <w:tcW w:w="433" w:type="pct"/>
            <w:vMerge w:val="continue"/>
            <w:tcBorders>
              <w:top w:val="nil"/>
              <w:left w:val="single" w:color="000000" w:sz="4" w:space="0"/>
              <w:bottom w:val="single" w:color="000000" w:sz="4" w:space="0"/>
              <w:right w:val="single" w:color="000000" w:sz="4" w:space="0"/>
            </w:tcBorders>
          </w:tcPr>
          <w:p w14:paraId="1A841F6A">
            <w:pPr>
              <w:rPr>
                <w:rFonts w:hint="eastAsia" w:ascii="宋体" w:hAnsi="宋体" w:eastAsia="宋体" w:cs="宋体"/>
                <w:highlight w:val="none"/>
              </w:rPr>
            </w:pPr>
          </w:p>
        </w:tc>
        <w:tc>
          <w:tcPr>
            <w:tcW w:w="2915" w:type="pct"/>
            <w:gridSpan w:val="4"/>
            <w:tcBorders>
              <w:top w:val="nil"/>
              <w:left w:val="single" w:color="000000" w:sz="4" w:space="0"/>
              <w:bottom w:val="single" w:color="000000" w:sz="4" w:space="0"/>
              <w:right w:val="single" w:color="000000" w:sz="4" w:space="0"/>
            </w:tcBorders>
            <w:shd w:val="clear" w:color="auto" w:fill="FFFFFF"/>
            <w:tcMar>
              <w:top w:w="15" w:type="dxa"/>
              <w:left w:w="15" w:type="dxa"/>
              <w:bottom w:w="0" w:type="dxa"/>
              <w:right w:w="15" w:type="dxa"/>
            </w:tcMar>
            <w:vAlign w:val="top"/>
          </w:tcPr>
          <w:p w14:paraId="5A66E3FB">
            <w:pPr>
              <w:pStyle w:val="5"/>
              <w:jc w:val="left"/>
              <w:rPr>
                <w:rFonts w:hint="eastAsia" w:ascii="宋体" w:hAnsi="宋体" w:eastAsia="宋体" w:cs="宋体"/>
                <w:highlight w:val="none"/>
              </w:rPr>
            </w:pPr>
            <w:r>
              <w:rPr>
                <w:rFonts w:hint="eastAsia" w:ascii="宋体" w:hAnsi="宋体" w:eastAsia="宋体" w:cs="宋体"/>
                <w:color w:val="000000"/>
                <w:sz w:val="21"/>
                <w:highlight w:val="none"/>
              </w:rPr>
              <w:t>计量清单出现重项、漏项，每出现一次扣5分</w:t>
            </w:r>
          </w:p>
        </w:tc>
        <w:tc>
          <w:tcPr>
            <w:tcW w:w="819" w:type="pct"/>
            <w:tcBorders>
              <w:top w:val="nil"/>
              <w:left w:val="single" w:color="000000" w:sz="4" w:space="0"/>
              <w:bottom w:val="single" w:color="000000" w:sz="4" w:space="0"/>
              <w:right w:val="single" w:color="000000" w:sz="4" w:space="0"/>
            </w:tcBorders>
            <w:shd w:val="clear" w:color="auto" w:fill="FFFFFF"/>
            <w:tcMar>
              <w:top w:w="15" w:type="dxa"/>
              <w:left w:w="15" w:type="dxa"/>
              <w:bottom w:w="0" w:type="dxa"/>
              <w:right w:w="15" w:type="dxa"/>
            </w:tcMar>
            <w:vAlign w:val="top"/>
          </w:tcPr>
          <w:p w14:paraId="605BBA44">
            <w:pPr>
              <w:pStyle w:val="5"/>
              <w:jc w:val="left"/>
              <w:rPr>
                <w:rFonts w:hint="eastAsia" w:ascii="宋体" w:hAnsi="宋体" w:eastAsia="宋体" w:cs="宋体"/>
                <w:highlight w:val="none"/>
              </w:rPr>
            </w:pPr>
          </w:p>
        </w:tc>
      </w:tr>
      <w:tr w14:paraId="57AAC83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35" w:type="pct"/>
            <w:vMerge w:val="continue"/>
            <w:tcBorders>
              <w:top w:val="nil"/>
              <w:left w:val="single" w:color="000000" w:sz="4" w:space="0"/>
              <w:bottom w:val="single" w:color="000000" w:sz="4" w:space="0"/>
              <w:right w:val="single" w:color="000000" w:sz="4" w:space="0"/>
            </w:tcBorders>
          </w:tcPr>
          <w:p w14:paraId="4D8B48C9">
            <w:pPr>
              <w:rPr>
                <w:rFonts w:hint="eastAsia" w:ascii="宋体" w:hAnsi="宋体" w:eastAsia="宋体" w:cs="宋体"/>
                <w:highlight w:val="none"/>
              </w:rPr>
            </w:pPr>
          </w:p>
        </w:tc>
        <w:tc>
          <w:tcPr>
            <w:tcW w:w="395" w:type="pct"/>
            <w:vMerge w:val="continue"/>
            <w:tcBorders>
              <w:top w:val="nil"/>
              <w:left w:val="single" w:color="000000" w:sz="4" w:space="0"/>
              <w:bottom w:val="single" w:color="000000" w:sz="4" w:space="0"/>
              <w:right w:val="single" w:color="000000" w:sz="4" w:space="0"/>
            </w:tcBorders>
          </w:tcPr>
          <w:p w14:paraId="7385D5D1">
            <w:pPr>
              <w:rPr>
                <w:rFonts w:hint="eastAsia" w:ascii="宋体" w:hAnsi="宋体" w:eastAsia="宋体" w:cs="宋体"/>
                <w:highlight w:val="none"/>
              </w:rPr>
            </w:pPr>
          </w:p>
        </w:tc>
        <w:tc>
          <w:tcPr>
            <w:tcW w:w="433" w:type="pct"/>
            <w:vMerge w:val="continue"/>
            <w:tcBorders>
              <w:top w:val="nil"/>
              <w:left w:val="single" w:color="000000" w:sz="4" w:space="0"/>
              <w:bottom w:val="single" w:color="000000" w:sz="4" w:space="0"/>
              <w:right w:val="single" w:color="000000" w:sz="4" w:space="0"/>
            </w:tcBorders>
          </w:tcPr>
          <w:p w14:paraId="4D0EF5EC">
            <w:pPr>
              <w:rPr>
                <w:rFonts w:hint="eastAsia" w:ascii="宋体" w:hAnsi="宋体" w:eastAsia="宋体" w:cs="宋体"/>
                <w:highlight w:val="none"/>
              </w:rPr>
            </w:pPr>
          </w:p>
        </w:tc>
        <w:tc>
          <w:tcPr>
            <w:tcW w:w="2915" w:type="pct"/>
            <w:gridSpan w:val="4"/>
            <w:tcBorders>
              <w:top w:val="nil"/>
              <w:left w:val="single" w:color="000000" w:sz="4" w:space="0"/>
              <w:bottom w:val="single" w:color="000000" w:sz="4" w:space="0"/>
              <w:right w:val="single" w:color="000000" w:sz="4" w:space="0"/>
            </w:tcBorders>
            <w:shd w:val="clear" w:color="auto" w:fill="FFFFFF"/>
            <w:tcMar>
              <w:top w:w="15" w:type="dxa"/>
              <w:left w:w="15" w:type="dxa"/>
              <w:bottom w:w="0" w:type="dxa"/>
              <w:right w:w="15" w:type="dxa"/>
            </w:tcMar>
            <w:vAlign w:val="top"/>
          </w:tcPr>
          <w:p w14:paraId="3D80A8EC">
            <w:pPr>
              <w:pStyle w:val="5"/>
              <w:jc w:val="left"/>
              <w:rPr>
                <w:rFonts w:hint="eastAsia" w:ascii="宋体" w:hAnsi="宋体" w:eastAsia="宋体" w:cs="宋体"/>
                <w:highlight w:val="none"/>
              </w:rPr>
            </w:pPr>
            <w:r>
              <w:rPr>
                <w:rFonts w:hint="eastAsia" w:ascii="宋体" w:hAnsi="宋体" w:eastAsia="宋体" w:cs="宋体"/>
                <w:color w:val="000000"/>
                <w:sz w:val="21"/>
                <w:highlight w:val="none"/>
              </w:rPr>
              <w:t>填写《工作联系单》或《对数记录表》时，问题表述不清晰不具体，每发现一次扣5分</w:t>
            </w:r>
          </w:p>
        </w:tc>
        <w:tc>
          <w:tcPr>
            <w:tcW w:w="819" w:type="pct"/>
            <w:tcBorders>
              <w:top w:val="nil"/>
              <w:left w:val="single" w:color="000000" w:sz="4" w:space="0"/>
              <w:bottom w:val="single" w:color="000000" w:sz="4" w:space="0"/>
              <w:right w:val="single" w:color="000000" w:sz="4" w:space="0"/>
            </w:tcBorders>
            <w:shd w:val="clear" w:color="auto" w:fill="FFFFFF"/>
            <w:tcMar>
              <w:top w:w="15" w:type="dxa"/>
              <w:left w:w="15" w:type="dxa"/>
              <w:bottom w:w="0" w:type="dxa"/>
              <w:right w:w="15" w:type="dxa"/>
            </w:tcMar>
            <w:vAlign w:val="top"/>
          </w:tcPr>
          <w:p w14:paraId="4D3A486D">
            <w:pPr>
              <w:pStyle w:val="5"/>
              <w:jc w:val="left"/>
              <w:rPr>
                <w:rFonts w:hint="eastAsia" w:ascii="宋体" w:hAnsi="宋体" w:eastAsia="宋体" w:cs="宋体"/>
                <w:highlight w:val="none"/>
              </w:rPr>
            </w:pPr>
          </w:p>
        </w:tc>
      </w:tr>
      <w:tr w14:paraId="7D7C490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35" w:type="pct"/>
            <w:vMerge w:val="continue"/>
            <w:tcBorders>
              <w:top w:val="nil"/>
              <w:left w:val="single" w:color="000000" w:sz="4" w:space="0"/>
              <w:bottom w:val="single" w:color="000000" w:sz="4" w:space="0"/>
              <w:right w:val="single" w:color="000000" w:sz="4" w:space="0"/>
            </w:tcBorders>
          </w:tcPr>
          <w:p w14:paraId="321B6E5E">
            <w:pPr>
              <w:rPr>
                <w:rFonts w:hint="eastAsia" w:ascii="宋体" w:hAnsi="宋体" w:eastAsia="宋体" w:cs="宋体"/>
                <w:highlight w:val="none"/>
              </w:rPr>
            </w:pPr>
          </w:p>
        </w:tc>
        <w:tc>
          <w:tcPr>
            <w:tcW w:w="395" w:type="pct"/>
            <w:vMerge w:val="continue"/>
            <w:tcBorders>
              <w:top w:val="nil"/>
              <w:left w:val="single" w:color="000000" w:sz="4" w:space="0"/>
              <w:bottom w:val="single" w:color="000000" w:sz="4" w:space="0"/>
              <w:right w:val="single" w:color="000000" w:sz="4" w:space="0"/>
            </w:tcBorders>
          </w:tcPr>
          <w:p w14:paraId="07C307D3">
            <w:pPr>
              <w:rPr>
                <w:rFonts w:hint="eastAsia" w:ascii="宋体" w:hAnsi="宋体" w:eastAsia="宋体" w:cs="宋体"/>
                <w:highlight w:val="none"/>
              </w:rPr>
            </w:pPr>
          </w:p>
        </w:tc>
        <w:tc>
          <w:tcPr>
            <w:tcW w:w="433" w:type="pct"/>
            <w:vMerge w:val="continue"/>
            <w:tcBorders>
              <w:top w:val="nil"/>
              <w:left w:val="single" w:color="000000" w:sz="4" w:space="0"/>
              <w:bottom w:val="single" w:color="000000" w:sz="4" w:space="0"/>
              <w:right w:val="single" w:color="000000" w:sz="4" w:space="0"/>
            </w:tcBorders>
          </w:tcPr>
          <w:p w14:paraId="04DFEC35">
            <w:pPr>
              <w:rPr>
                <w:rFonts w:hint="eastAsia" w:ascii="宋体" w:hAnsi="宋体" w:eastAsia="宋体" w:cs="宋体"/>
                <w:highlight w:val="none"/>
              </w:rPr>
            </w:pPr>
          </w:p>
        </w:tc>
        <w:tc>
          <w:tcPr>
            <w:tcW w:w="2915" w:type="pct"/>
            <w:gridSpan w:val="4"/>
            <w:tcBorders>
              <w:top w:val="nil"/>
              <w:left w:val="single" w:color="000000" w:sz="4" w:space="0"/>
              <w:bottom w:val="single" w:color="000000" w:sz="4" w:space="0"/>
              <w:right w:val="single" w:color="000000" w:sz="4" w:space="0"/>
            </w:tcBorders>
            <w:shd w:val="clear" w:color="auto" w:fill="FFFFFF"/>
            <w:tcMar>
              <w:top w:w="15" w:type="dxa"/>
              <w:left w:w="15" w:type="dxa"/>
              <w:bottom w:w="0" w:type="dxa"/>
              <w:right w:w="15" w:type="dxa"/>
            </w:tcMar>
            <w:vAlign w:val="top"/>
          </w:tcPr>
          <w:p w14:paraId="43A021C5">
            <w:pPr>
              <w:pStyle w:val="5"/>
              <w:jc w:val="left"/>
              <w:rPr>
                <w:rFonts w:hint="eastAsia" w:ascii="宋体" w:hAnsi="宋体" w:eastAsia="宋体" w:cs="宋体"/>
                <w:highlight w:val="none"/>
              </w:rPr>
            </w:pPr>
            <w:r>
              <w:rPr>
                <w:rFonts w:hint="eastAsia" w:ascii="宋体" w:hAnsi="宋体" w:eastAsia="宋体" w:cs="宋体"/>
                <w:color w:val="000000"/>
                <w:sz w:val="21"/>
                <w:highlight w:val="none"/>
              </w:rPr>
              <w:t>评审过程中对问题不能自行按行业规范作出判断并及时解析，导致对数时间延误，每出现一次扣20分</w:t>
            </w:r>
          </w:p>
        </w:tc>
        <w:tc>
          <w:tcPr>
            <w:tcW w:w="819" w:type="pct"/>
            <w:tcBorders>
              <w:top w:val="nil"/>
              <w:left w:val="single" w:color="000000" w:sz="4" w:space="0"/>
              <w:bottom w:val="single" w:color="000000" w:sz="4" w:space="0"/>
              <w:right w:val="single" w:color="000000" w:sz="4" w:space="0"/>
            </w:tcBorders>
            <w:shd w:val="clear" w:color="auto" w:fill="FFFFFF"/>
            <w:tcMar>
              <w:top w:w="15" w:type="dxa"/>
              <w:left w:w="15" w:type="dxa"/>
              <w:bottom w:w="0" w:type="dxa"/>
              <w:right w:w="15" w:type="dxa"/>
            </w:tcMar>
            <w:vAlign w:val="top"/>
          </w:tcPr>
          <w:p w14:paraId="0EAD3190">
            <w:pPr>
              <w:pStyle w:val="5"/>
              <w:jc w:val="left"/>
              <w:rPr>
                <w:rFonts w:hint="eastAsia" w:ascii="宋体" w:hAnsi="宋体" w:eastAsia="宋体" w:cs="宋体"/>
                <w:highlight w:val="none"/>
              </w:rPr>
            </w:pPr>
          </w:p>
        </w:tc>
      </w:tr>
      <w:tr w14:paraId="02F913D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35" w:type="pct"/>
            <w:vMerge w:val="continue"/>
            <w:tcBorders>
              <w:top w:val="nil"/>
              <w:left w:val="single" w:color="000000" w:sz="4" w:space="0"/>
              <w:bottom w:val="single" w:color="000000" w:sz="4" w:space="0"/>
              <w:right w:val="single" w:color="000000" w:sz="4" w:space="0"/>
            </w:tcBorders>
          </w:tcPr>
          <w:p w14:paraId="57D03C52">
            <w:pPr>
              <w:rPr>
                <w:rFonts w:hint="eastAsia" w:ascii="宋体" w:hAnsi="宋体" w:eastAsia="宋体" w:cs="宋体"/>
                <w:highlight w:val="none"/>
              </w:rPr>
            </w:pPr>
          </w:p>
        </w:tc>
        <w:tc>
          <w:tcPr>
            <w:tcW w:w="395" w:type="pct"/>
            <w:vMerge w:val="continue"/>
            <w:tcBorders>
              <w:top w:val="nil"/>
              <w:left w:val="single" w:color="000000" w:sz="4" w:space="0"/>
              <w:bottom w:val="single" w:color="000000" w:sz="4" w:space="0"/>
              <w:right w:val="single" w:color="000000" w:sz="4" w:space="0"/>
            </w:tcBorders>
          </w:tcPr>
          <w:p w14:paraId="1BF92313">
            <w:pPr>
              <w:rPr>
                <w:rFonts w:hint="eastAsia" w:ascii="宋体" w:hAnsi="宋体" w:eastAsia="宋体" w:cs="宋体"/>
                <w:highlight w:val="none"/>
              </w:rPr>
            </w:pPr>
          </w:p>
        </w:tc>
        <w:tc>
          <w:tcPr>
            <w:tcW w:w="433" w:type="pct"/>
            <w:vMerge w:val="continue"/>
            <w:tcBorders>
              <w:top w:val="nil"/>
              <w:left w:val="single" w:color="000000" w:sz="4" w:space="0"/>
              <w:bottom w:val="single" w:color="000000" w:sz="4" w:space="0"/>
              <w:right w:val="single" w:color="000000" w:sz="4" w:space="0"/>
            </w:tcBorders>
          </w:tcPr>
          <w:p w14:paraId="2E148393">
            <w:pPr>
              <w:rPr>
                <w:rFonts w:hint="eastAsia" w:ascii="宋体" w:hAnsi="宋体" w:eastAsia="宋体" w:cs="宋体"/>
                <w:highlight w:val="none"/>
              </w:rPr>
            </w:pPr>
          </w:p>
        </w:tc>
        <w:tc>
          <w:tcPr>
            <w:tcW w:w="2915" w:type="pct"/>
            <w:gridSpan w:val="4"/>
            <w:tcBorders>
              <w:top w:val="nil"/>
              <w:left w:val="single" w:color="000000" w:sz="4" w:space="0"/>
              <w:bottom w:val="single" w:color="000000" w:sz="4" w:space="0"/>
              <w:right w:val="single" w:color="000000" w:sz="4" w:space="0"/>
            </w:tcBorders>
            <w:shd w:val="clear" w:color="auto" w:fill="FFFFFF"/>
            <w:tcMar>
              <w:top w:w="15" w:type="dxa"/>
              <w:left w:w="15" w:type="dxa"/>
              <w:bottom w:w="0" w:type="dxa"/>
              <w:right w:w="15" w:type="dxa"/>
            </w:tcMar>
            <w:vAlign w:val="top"/>
          </w:tcPr>
          <w:p w14:paraId="2B2F5AE7">
            <w:pPr>
              <w:pStyle w:val="5"/>
              <w:jc w:val="left"/>
              <w:rPr>
                <w:rFonts w:hint="eastAsia" w:ascii="宋体" w:hAnsi="宋体" w:eastAsia="宋体" w:cs="宋体"/>
                <w:highlight w:val="none"/>
              </w:rPr>
            </w:pPr>
            <w:r>
              <w:rPr>
                <w:rFonts w:hint="eastAsia" w:ascii="宋体" w:hAnsi="宋体" w:eastAsia="宋体" w:cs="宋体"/>
                <w:color w:val="000000"/>
                <w:sz w:val="21"/>
                <w:highlight w:val="none"/>
              </w:rPr>
              <w:t>不提供工程量计算文件，每出现一次扣20分</w:t>
            </w:r>
          </w:p>
        </w:tc>
        <w:tc>
          <w:tcPr>
            <w:tcW w:w="819" w:type="pct"/>
            <w:tcBorders>
              <w:top w:val="nil"/>
              <w:left w:val="single" w:color="000000" w:sz="4" w:space="0"/>
              <w:bottom w:val="single" w:color="000000" w:sz="4" w:space="0"/>
              <w:right w:val="single" w:color="000000" w:sz="4" w:space="0"/>
            </w:tcBorders>
            <w:shd w:val="clear" w:color="auto" w:fill="FFFFFF"/>
            <w:tcMar>
              <w:top w:w="15" w:type="dxa"/>
              <w:left w:w="15" w:type="dxa"/>
              <w:bottom w:w="0" w:type="dxa"/>
              <w:right w:w="15" w:type="dxa"/>
            </w:tcMar>
            <w:vAlign w:val="top"/>
          </w:tcPr>
          <w:p w14:paraId="6B564A11">
            <w:pPr>
              <w:pStyle w:val="5"/>
              <w:jc w:val="left"/>
              <w:rPr>
                <w:rFonts w:hint="eastAsia" w:ascii="宋体" w:hAnsi="宋体" w:eastAsia="宋体" w:cs="宋体"/>
                <w:highlight w:val="none"/>
              </w:rPr>
            </w:pPr>
          </w:p>
        </w:tc>
      </w:tr>
      <w:tr w14:paraId="115B7A3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35" w:type="pct"/>
            <w:vMerge w:val="continue"/>
            <w:tcBorders>
              <w:top w:val="nil"/>
              <w:left w:val="single" w:color="000000" w:sz="4" w:space="0"/>
              <w:bottom w:val="single" w:color="000000" w:sz="4" w:space="0"/>
              <w:right w:val="single" w:color="000000" w:sz="4" w:space="0"/>
            </w:tcBorders>
          </w:tcPr>
          <w:p w14:paraId="390DAE4D">
            <w:pPr>
              <w:rPr>
                <w:rFonts w:hint="eastAsia" w:ascii="宋体" w:hAnsi="宋体" w:eastAsia="宋体" w:cs="宋体"/>
                <w:highlight w:val="none"/>
              </w:rPr>
            </w:pPr>
          </w:p>
        </w:tc>
        <w:tc>
          <w:tcPr>
            <w:tcW w:w="395" w:type="pct"/>
            <w:vMerge w:val="continue"/>
            <w:tcBorders>
              <w:top w:val="nil"/>
              <w:left w:val="single" w:color="000000" w:sz="4" w:space="0"/>
              <w:bottom w:val="single" w:color="000000" w:sz="4" w:space="0"/>
              <w:right w:val="single" w:color="000000" w:sz="4" w:space="0"/>
            </w:tcBorders>
          </w:tcPr>
          <w:p w14:paraId="38D0F09E">
            <w:pPr>
              <w:rPr>
                <w:rFonts w:hint="eastAsia" w:ascii="宋体" w:hAnsi="宋体" w:eastAsia="宋体" w:cs="宋体"/>
                <w:highlight w:val="none"/>
              </w:rPr>
            </w:pPr>
          </w:p>
        </w:tc>
        <w:tc>
          <w:tcPr>
            <w:tcW w:w="433" w:type="pct"/>
            <w:vMerge w:val="continue"/>
            <w:tcBorders>
              <w:top w:val="nil"/>
              <w:left w:val="single" w:color="000000" w:sz="4" w:space="0"/>
              <w:bottom w:val="single" w:color="000000" w:sz="4" w:space="0"/>
              <w:right w:val="single" w:color="000000" w:sz="4" w:space="0"/>
            </w:tcBorders>
          </w:tcPr>
          <w:p w14:paraId="0A6F985D">
            <w:pPr>
              <w:rPr>
                <w:rFonts w:hint="eastAsia" w:ascii="宋体" w:hAnsi="宋体" w:eastAsia="宋体" w:cs="宋体"/>
                <w:highlight w:val="none"/>
              </w:rPr>
            </w:pPr>
          </w:p>
        </w:tc>
        <w:tc>
          <w:tcPr>
            <w:tcW w:w="2915" w:type="pct"/>
            <w:gridSpan w:val="4"/>
            <w:tcBorders>
              <w:top w:val="nil"/>
              <w:left w:val="single" w:color="000000" w:sz="4" w:space="0"/>
              <w:bottom w:val="single" w:color="000000" w:sz="4" w:space="0"/>
              <w:right w:val="single" w:color="000000" w:sz="4" w:space="0"/>
            </w:tcBorders>
            <w:shd w:val="clear" w:color="auto" w:fill="FFFFFF"/>
            <w:tcMar>
              <w:top w:w="15" w:type="dxa"/>
              <w:left w:w="15" w:type="dxa"/>
              <w:bottom w:w="0" w:type="dxa"/>
              <w:right w:w="15" w:type="dxa"/>
            </w:tcMar>
            <w:vAlign w:val="top"/>
          </w:tcPr>
          <w:p w14:paraId="78E309FA">
            <w:pPr>
              <w:pStyle w:val="5"/>
              <w:jc w:val="left"/>
              <w:rPr>
                <w:rFonts w:hint="eastAsia" w:ascii="宋体" w:hAnsi="宋体" w:eastAsia="宋体" w:cs="宋体"/>
                <w:highlight w:val="none"/>
              </w:rPr>
            </w:pPr>
            <w:r>
              <w:rPr>
                <w:rFonts w:hint="eastAsia" w:ascii="宋体" w:hAnsi="宋体" w:eastAsia="宋体" w:cs="宋体"/>
                <w:color w:val="000000"/>
                <w:sz w:val="21"/>
                <w:highlight w:val="none"/>
              </w:rPr>
              <w:t>计算混乱或错误，每出现一处扣5分</w:t>
            </w:r>
          </w:p>
        </w:tc>
        <w:tc>
          <w:tcPr>
            <w:tcW w:w="819" w:type="pct"/>
            <w:tcBorders>
              <w:top w:val="nil"/>
              <w:left w:val="single" w:color="000000" w:sz="4" w:space="0"/>
              <w:bottom w:val="single" w:color="000000" w:sz="4" w:space="0"/>
              <w:right w:val="single" w:color="000000" w:sz="4" w:space="0"/>
            </w:tcBorders>
            <w:shd w:val="clear" w:color="auto" w:fill="FFFFFF"/>
            <w:tcMar>
              <w:top w:w="15" w:type="dxa"/>
              <w:left w:w="15" w:type="dxa"/>
              <w:bottom w:w="0" w:type="dxa"/>
              <w:right w:w="15" w:type="dxa"/>
            </w:tcMar>
            <w:vAlign w:val="top"/>
          </w:tcPr>
          <w:p w14:paraId="7564F721">
            <w:pPr>
              <w:pStyle w:val="5"/>
              <w:jc w:val="left"/>
              <w:rPr>
                <w:rFonts w:hint="eastAsia" w:ascii="宋体" w:hAnsi="宋体" w:eastAsia="宋体" w:cs="宋体"/>
                <w:highlight w:val="none"/>
              </w:rPr>
            </w:pPr>
          </w:p>
        </w:tc>
      </w:tr>
      <w:tr w14:paraId="427E093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35" w:type="pct"/>
            <w:vMerge w:val="continue"/>
            <w:tcBorders>
              <w:top w:val="nil"/>
              <w:left w:val="single" w:color="000000" w:sz="4" w:space="0"/>
              <w:bottom w:val="single" w:color="000000" w:sz="4" w:space="0"/>
              <w:right w:val="single" w:color="000000" w:sz="4" w:space="0"/>
            </w:tcBorders>
          </w:tcPr>
          <w:p w14:paraId="55B56D51">
            <w:pPr>
              <w:rPr>
                <w:rFonts w:hint="eastAsia" w:ascii="宋体" w:hAnsi="宋体" w:eastAsia="宋体" w:cs="宋体"/>
                <w:highlight w:val="none"/>
              </w:rPr>
            </w:pPr>
          </w:p>
        </w:tc>
        <w:tc>
          <w:tcPr>
            <w:tcW w:w="395" w:type="pct"/>
            <w:vMerge w:val="continue"/>
            <w:tcBorders>
              <w:top w:val="nil"/>
              <w:left w:val="single" w:color="000000" w:sz="4" w:space="0"/>
              <w:bottom w:val="single" w:color="000000" w:sz="4" w:space="0"/>
              <w:right w:val="single" w:color="000000" w:sz="4" w:space="0"/>
            </w:tcBorders>
          </w:tcPr>
          <w:p w14:paraId="6BD7D8E2">
            <w:pPr>
              <w:rPr>
                <w:rFonts w:hint="eastAsia" w:ascii="宋体" w:hAnsi="宋体" w:eastAsia="宋体" w:cs="宋体"/>
                <w:highlight w:val="none"/>
              </w:rPr>
            </w:pPr>
          </w:p>
        </w:tc>
        <w:tc>
          <w:tcPr>
            <w:tcW w:w="433" w:type="pct"/>
            <w:vMerge w:val="continue"/>
            <w:tcBorders>
              <w:top w:val="nil"/>
              <w:left w:val="single" w:color="000000" w:sz="4" w:space="0"/>
              <w:bottom w:val="single" w:color="000000" w:sz="4" w:space="0"/>
              <w:right w:val="single" w:color="000000" w:sz="4" w:space="0"/>
            </w:tcBorders>
          </w:tcPr>
          <w:p w14:paraId="58041572">
            <w:pPr>
              <w:rPr>
                <w:rFonts w:hint="eastAsia" w:ascii="宋体" w:hAnsi="宋体" w:eastAsia="宋体" w:cs="宋体"/>
                <w:highlight w:val="none"/>
              </w:rPr>
            </w:pPr>
          </w:p>
        </w:tc>
        <w:tc>
          <w:tcPr>
            <w:tcW w:w="2915" w:type="pct"/>
            <w:gridSpan w:val="4"/>
            <w:tcBorders>
              <w:top w:val="nil"/>
              <w:left w:val="single" w:color="000000" w:sz="4" w:space="0"/>
              <w:bottom w:val="single" w:color="000000" w:sz="4" w:space="0"/>
              <w:right w:val="single" w:color="000000" w:sz="4" w:space="0"/>
            </w:tcBorders>
            <w:shd w:val="clear" w:color="auto" w:fill="FFFFFF"/>
            <w:tcMar>
              <w:top w:w="15" w:type="dxa"/>
              <w:left w:w="15" w:type="dxa"/>
              <w:bottom w:w="0" w:type="dxa"/>
              <w:right w:w="15" w:type="dxa"/>
            </w:tcMar>
            <w:vAlign w:val="top"/>
          </w:tcPr>
          <w:p w14:paraId="6971BA63">
            <w:pPr>
              <w:pStyle w:val="5"/>
              <w:jc w:val="left"/>
              <w:rPr>
                <w:rFonts w:hint="eastAsia" w:ascii="宋体" w:hAnsi="宋体" w:eastAsia="宋体" w:cs="宋体"/>
                <w:highlight w:val="none"/>
              </w:rPr>
            </w:pPr>
            <w:r>
              <w:rPr>
                <w:rFonts w:hint="eastAsia" w:ascii="宋体" w:hAnsi="宋体" w:eastAsia="宋体" w:cs="宋体"/>
                <w:color w:val="000000"/>
                <w:sz w:val="21"/>
                <w:highlight w:val="none"/>
              </w:rPr>
              <w:t>结算价未依据施工合同约定进行编审（包括工程量计算原则、合同单价约定、措施费计取、工料机价格、下浮比例、取费费率、材料价差调整等），每发现一处扣5分</w:t>
            </w:r>
          </w:p>
        </w:tc>
        <w:tc>
          <w:tcPr>
            <w:tcW w:w="819" w:type="pct"/>
            <w:tcBorders>
              <w:top w:val="nil"/>
              <w:left w:val="single" w:color="000000" w:sz="4" w:space="0"/>
              <w:bottom w:val="single" w:color="000000" w:sz="4" w:space="0"/>
              <w:right w:val="single" w:color="000000" w:sz="4" w:space="0"/>
            </w:tcBorders>
            <w:shd w:val="clear" w:color="auto" w:fill="FFFFFF"/>
            <w:tcMar>
              <w:top w:w="15" w:type="dxa"/>
              <w:left w:w="15" w:type="dxa"/>
              <w:bottom w:w="0" w:type="dxa"/>
              <w:right w:w="15" w:type="dxa"/>
            </w:tcMar>
            <w:vAlign w:val="top"/>
          </w:tcPr>
          <w:p w14:paraId="2867256F">
            <w:pPr>
              <w:pStyle w:val="5"/>
              <w:jc w:val="left"/>
              <w:rPr>
                <w:rFonts w:hint="eastAsia" w:ascii="宋体" w:hAnsi="宋体" w:eastAsia="宋体" w:cs="宋体"/>
                <w:highlight w:val="none"/>
              </w:rPr>
            </w:pPr>
          </w:p>
        </w:tc>
      </w:tr>
      <w:tr w14:paraId="76C1A11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35" w:type="pct"/>
            <w:vMerge w:val="continue"/>
            <w:tcBorders>
              <w:top w:val="nil"/>
              <w:left w:val="single" w:color="000000" w:sz="4" w:space="0"/>
              <w:bottom w:val="single" w:color="000000" w:sz="4" w:space="0"/>
              <w:right w:val="single" w:color="000000" w:sz="4" w:space="0"/>
            </w:tcBorders>
          </w:tcPr>
          <w:p w14:paraId="0C4E869B">
            <w:pPr>
              <w:rPr>
                <w:rFonts w:hint="eastAsia" w:ascii="宋体" w:hAnsi="宋体" w:eastAsia="宋体" w:cs="宋体"/>
                <w:highlight w:val="none"/>
              </w:rPr>
            </w:pPr>
          </w:p>
        </w:tc>
        <w:tc>
          <w:tcPr>
            <w:tcW w:w="395" w:type="pct"/>
            <w:vMerge w:val="continue"/>
            <w:tcBorders>
              <w:top w:val="nil"/>
              <w:left w:val="single" w:color="000000" w:sz="4" w:space="0"/>
              <w:bottom w:val="single" w:color="000000" w:sz="4" w:space="0"/>
              <w:right w:val="single" w:color="000000" w:sz="4" w:space="0"/>
            </w:tcBorders>
          </w:tcPr>
          <w:p w14:paraId="42C52592">
            <w:pPr>
              <w:rPr>
                <w:rFonts w:hint="eastAsia" w:ascii="宋体" w:hAnsi="宋体" w:eastAsia="宋体" w:cs="宋体"/>
                <w:highlight w:val="none"/>
              </w:rPr>
            </w:pPr>
          </w:p>
        </w:tc>
        <w:tc>
          <w:tcPr>
            <w:tcW w:w="433" w:type="pct"/>
            <w:vMerge w:val="continue"/>
            <w:tcBorders>
              <w:top w:val="nil"/>
              <w:left w:val="single" w:color="000000" w:sz="4" w:space="0"/>
              <w:bottom w:val="single" w:color="000000" w:sz="4" w:space="0"/>
              <w:right w:val="single" w:color="000000" w:sz="4" w:space="0"/>
            </w:tcBorders>
          </w:tcPr>
          <w:p w14:paraId="21C5EF5A">
            <w:pPr>
              <w:rPr>
                <w:rFonts w:hint="eastAsia" w:ascii="宋体" w:hAnsi="宋体" w:eastAsia="宋体" w:cs="宋体"/>
                <w:highlight w:val="none"/>
              </w:rPr>
            </w:pPr>
          </w:p>
        </w:tc>
        <w:tc>
          <w:tcPr>
            <w:tcW w:w="2915" w:type="pct"/>
            <w:gridSpan w:val="4"/>
            <w:tcBorders>
              <w:top w:val="nil"/>
              <w:left w:val="single" w:color="000000" w:sz="4" w:space="0"/>
              <w:bottom w:val="single" w:color="000000" w:sz="4" w:space="0"/>
              <w:right w:val="single" w:color="000000" w:sz="4" w:space="0"/>
            </w:tcBorders>
            <w:shd w:val="clear" w:color="auto" w:fill="FFFFFF"/>
            <w:tcMar>
              <w:top w:w="15" w:type="dxa"/>
              <w:left w:w="15" w:type="dxa"/>
              <w:bottom w:w="0" w:type="dxa"/>
              <w:right w:w="15" w:type="dxa"/>
            </w:tcMar>
            <w:vAlign w:val="top"/>
          </w:tcPr>
          <w:p w14:paraId="5798DDCC">
            <w:pPr>
              <w:pStyle w:val="5"/>
              <w:jc w:val="left"/>
              <w:rPr>
                <w:rFonts w:hint="eastAsia" w:ascii="宋体" w:hAnsi="宋体" w:eastAsia="宋体" w:cs="宋体"/>
                <w:highlight w:val="none"/>
              </w:rPr>
            </w:pPr>
            <w:r>
              <w:rPr>
                <w:rFonts w:hint="eastAsia" w:ascii="宋体" w:hAnsi="宋体" w:eastAsia="宋体" w:cs="宋体"/>
                <w:color w:val="000000"/>
                <w:sz w:val="21"/>
                <w:highlight w:val="none"/>
              </w:rPr>
              <w:t>没有按要求每次修改提供修改对比说明，每一次扣5分</w:t>
            </w:r>
          </w:p>
        </w:tc>
        <w:tc>
          <w:tcPr>
            <w:tcW w:w="819" w:type="pct"/>
            <w:tcBorders>
              <w:top w:val="nil"/>
              <w:left w:val="single" w:color="000000" w:sz="4" w:space="0"/>
              <w:bottom w:val="single" w:color="000000" w:sz="4" w:space="0"/>
              <w:right w:val="single" w:color="000000" w:sz="4" w:space="0"/>
            </w:tcBorders>
            <w:shd w:val="clear" w:color="auto" w:fill="FFFFFF"/>
            <w:tcMar>
              <w:top w:w="15" w:type="dxa"/>
              <w:left w:w="15" w:type="dxa"/>
              <w:bottom w:w="0" w:type="dxa"/>
              <w:right w:w="15" w:type="dxa"/>
            </w:tcMar>
            <w:vAlign w:val="top"/>
          </w:tcPr>
          <w:p w14:paraId="5D234BFD">
            <w:pPr>
              <w:pStyle w:val="5"/>
              <w:jc w:val="left"/>
              <w:rPr>
                <w:rFonts w:hint="eastAsia" w:ascii="宋体" w:hAnsi="宋体" w:eastAsia="宋体" w:cs="宋体"/>
                <w:highlight w:val="none"/>
              </w:rPr>
            </w:pPr>
          </w:p>
        </w:tc>
      </w:tr>
      <w:tr w14:paraId="3CE1700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35" w:type="pct"/>
            <w:vMerge w:val="continue"/>
            <w:tcBorders>
              <w:top w:val="nil"/>
              <w:left w:val="single" w:color="000000" w:sz="4" w:space="0"/>
              <w:bottom w:val="single" w:color="000000" w:sz="4" w:space="0"/>
              <w:right w:val="single" w:color="000000" w:sz="4" w:space="0"/>
            </w:tcBorders>
          </w:tcPr>
          <w:p w14:paraId="490FC0C2">
            <w:pPr>
              <w:rPr>
                <w:rFonts w:hint="eastAsia" w:ascii="宋体" w:hAnsi="宋体" w:eastAsia="宋体" w:cs="宋体"/>
                <w:highlight w:val="none"/>
              </w:rPr>
            </w:pPr>
          </w:p>
        </w:tc>
        <w:tc>
          <w:tcPr>
            <w:tcW w:w="395" w:type="pct"/>
            <w:vMerge w:val="continue"/>
            <w:tcBorders>
              <w:top w:val="nil"/>
              <w:left w:val="single" w:color="000000" w:sz="4" w:space="0"/>
              <w:bottom w:val="single" w:color="auto" w:sz="4" w:space="0"/>
              <w:right w:val="single" w:color="000000" w:sz="4" w:space="0"/>
            </w:tcBorders>
          </w:tcPr>
          <w:p w14:paraId="6CB7E3F1">
            <w:pPr>
              <w:rPr>
                <w:rFonts w:hint="eastAsia" w:ascii="宋体" w:hAnsi="宋体" w:eastAsia="宋体" w:cs="宋体"/>
                <w:highlight w:val="none"/>
              </w:rPr>
            </w:pPr>
          </w:p>
        </w:tc>
        <w:tc>
          <w:tcPr>
            <w:tcW w:w="433" w:type="pct"/>
            <w:vMerge w:val="continue"/>
            <w:tcBorders>
              <w:top w:val="nil"/>
              <w:left w:val="single" w:color="000000" w:sz="4" w:space="0"/>
              <w:bottom w:val="single" w:color="auto" w:sz="4" w:space="0"/>
              <w:right w:val="single" w:color="000000" w:sz="4" w:space="0"/>
            </w:tcBorders>
          </w:tcPr>
          <w:p w14:paraId="0AC84DA3">
            <w:pPr>
              <w:rPr>
                <w:rFonts w:hint="eastAsia" w:ascii="宋体" w:hAnsi="宋体" w:eastAsia="宋体" w:cs="宋体"/>
                <w:highlight w:val="none"/>
              </w:rPr>
            </w:pPr>
          </w:p>
        </w:tc>
        <w:tc>
          <w:tcPr>
            <w:tcW w:w="2915" w:type="pct"/>
            <w:gridSpan w:val="4"/>
            <w:tcBorders>
              <w:top w:val="nil"/>
              <w:left w:val="single" w:color="000000" w:sz="4" w:space="0"/>
              <w:bottom w:val="single" w:color="auto" w:sz="4" w:space="0"/>
              <w:right w:val="single" w:color="000000" w:sz="4" w:space="0"/>
            </w:tcBorders>
            <w:shd w:val="clear" w:color="auto" w:fill="FFFFFF"/>
            <w:tcMar>
              <w:top w:w="15" w:type="dxa"/>
              <w:left w:w="15" w:type="dxa"/>
              <w:bottom w:w="0" w:type="dxa"/>
              <w:right w:w="15" w:type="dxa"/>
            </w:tcMar>
            <w:vAlign w:val="top"/>
          </w:tcPr>
          <w:p w14:paraId="4005D862">
            <w:pPr>
              <w:pStyle w:val="5"/>
              <w:jc w:val="left"/>
              <w:rPr>
                <w:rFonts w:hint="eastAsia" w:ascii="宋体" w:hAnsi="宋体" w:eastAsia="宋体" w:cs="宋体"/>
                <w:highlight w:val="none"/>
              </w:rPr>
            </w:pPr>
            <w:r>
              <w:rPr>
                <w:rFonts w:hint="eastAsia" w:ascii="宋体" w:hAnsi="宋体" w:eastAsia="宋体" w:cs="宋体"/>
                <w:color w:val="000000"/>
                <w:sz w:val="21"/>
                <w:highlight w:val="none"/>
              </w:rPr>
              <w:t>不按采购人规定格式，每遗漏、错误一处扣6分</w:t>
            </w:r>
          </w:p>
        </w:tc>
        <w:tc>
          <w:tcPr>
            <w:tcW w:w="819" w:type="pct"/>
            <w:tcBorders>
              <w:top w:val="nil"/>
              <w:left w:val="single" w:color="000000" w:sz="4" w:space="0"/>
              <w:bottom w:val="single" w:color="000000" w:sz="4" w:space="0"/>
              <w:right w:val="single" w:color="000000" w:sz="4" w:space="0"/>
            </w:tcBorders>
            <w:shd w:val="clear" w:color="auto" w:fill="FFFFFF"/>
            <w:tcMar>
              <w:top w:w="15" w:type="dxa"/>
              <w:left w:w="15" w:type="dxa"/>
              <w:bottom w:w="0" w:type="dxa"/>
              <w:right w:w="15" w:type="dxa"/>
            </w:tcMar>
            <w:vAlign w:val="top"/>
          </w:tcPr>
          <w:p w14:paraId="62367D4B">
            <w:pPr>
              <w:pStyle w:val="5"/>
              <w:jc w:val="left"/>
              <w:rPr>
                <w:rFonts w:hint="eastAsia" w:ascii="宋体" w:hAnsi="宋体" w:eastAsia="宋体" w:cs="宋体"/>
                <w:highlight w:val="none"/>
              </w:rPr>
            </w:pPr>
          </w:p>
        </w:tc>
      </w:tr>
      <w:tr w14:paraId="20F5E75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35" w:type="pct"/>
            <w:vMerge w:val="continue"/>
            <w:tcBorders>
              <w:top w:val="nil"/>
              <w:left w:val="single" w:color="000000" w:sz="4" w:space="0"/>
              <w:bottom w:val="single" w:color="000000" w:sz="4" w:space="0"/>
              <w:right w:val="single" w:color="auto" w:sz="4" w:space="0"/>
            </w:tcBorders>
          </w:tcPr>
          <w:p w14:paraId="42F241F8">
            <w:pPr>
              <w:rPr>
                <w:rFonts w:hint="eastAsia" w:ascii="宋体" w:hAnsi="宋体" w:eastAsia="宋体" w:cs="宋体"/>
                <w:highlight w:val="none"/>
              </w:rPr>
            </w:pPr>
          </w:p>
        </w:tc>
        <w:tc>
          <w:tcPr>
            <w:tcW w:w="395" w:type="pct"/>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bottom w:w="0" w:type="dxa"/>
              <w:right w:w="15" w:type="dxa"/>
            </w:tcMar>
            <w:vAlign w:val="top"/>
          </w:tcPr>
          <w:p w14:paraId="38C97C22">
            <w:pPr>
              <w:pStyle w:val="5"/>
              <w:jc w:val="center"/>
              <w:rPr>
                <w:rFonts w:hint="eastAsia" w:ascii="宋体" w:hAnsi="宋体" w:eastAsia="宋体" w:cs="宋体"/>
                <w:highlight w:val="none"/>
              </w:rPr>
            </w:pPr>
            <w:r>
              <w:rPr>
                <w:rFonts w:hint="eastAsia" w:ascii="宋体" w:hAnsi="宋体" w:eastAsia="宋体" w:cs="宋体"/>
                <w:color w:val="000000"/>
                <w:sz w:val="21"/>
                <w:highlight w:val="none"/>
              </w:rPr>
              <w:t>评</w:t>
            </w:r>
          </w:p>
          <w:p w14:paraId="52436ECC">
            <w:pPr>
              <w:pStyle w:val="5"/>
              <w:jc w:val="center"/>
              <w:rPr>
                <w:rFonts w:hint="eastAsia" w:ascii="宋体" w:hAnsi="宋体" w:eastAsia="宋体" w:cs="宋体"/>
                <w:highlight w:val="none"/>
              </w:rPr>
            </w:pPr>
            <w:r>
              <w:rPr>
                <w:rFonts w:hint="eastAsia" w:ascii="宋体" w:hAnsi="宋体" w:eastAsia="宋体" w:cs="宋体"/>
                <w:color w:val="000000"/>
                <w:sz w:val="21"/>
                <w:highlight w:val="none"/>
              </w:rPr>
              <w:t>审</w:t>
            </w:r>
          </w:p>
          <w:p w14:paraId="7B1491BC">
            <w:pPr>
              <w:pStyle w:val="5"/>
              <w:jc w:val="center"/>
              <w:rPr>
                <w:rFonts w:hint="eastAsia" w:ascii="宋体" w:hAnsi="宋体" w:eastAsia="宋体" w:cs="宋体"/>
                <w:highlight w:val="none"/>
              </w:rPr>
            </w:pPr>
            <w:r>
              <w:rPr>
                <w:rFonts w:hint="eastAsia" w:ascii="宋体" w:hAnsi="宋体" w:eastAsia="宋体" w:cs="宋体"/>
                <w:color w:val="000000"/>
                <w:sz w:val="21"/>
                <w:highlight w:val="none"/>
              </w:rPr>
              <w:t>态</w:t>
            </w:r>
          </w:p>
          <w:p w14:paraId="4D348FDC">
            <w:pPr>
              <w:pStyle w:val="5"/>
              <w:jc w:val="center"/>
              <w:rPr>
                <w:rFonts w:hint="eastAsia" w:ascii="宋体" w:hAnsi="宋体" w:eastAsia="宋体" w:cs="宋体"/>
                <w:highlight w:val="none"/>
              </w:rPr>
            </w:pPr>
            <w:r>
              <w:rPr>
                <w:rFonts w:hint="eastAsia" w:ascii="宋体" w:hAnsi="宋体" w:eastAsia="宋体" w:cs="宋体"/>
                <w:color w:val="000000"/>
                <w:sz w:val="21"/>
                <w:highlight w:val="none"/>
              </w:rPr>
              <w:t>度</w:t>
            </w:r>
          </w:p>
        </w:tc>
        <w:tc>
          <w:tcPr>
            <w:tcW w:w="433" w:type="pct"/>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bottom w:w="0" w:type="dxa"/>
              <w:right w:w="15" w:type="dxa"/>
            </w:tcMar>
            <w:vAlign w:val="top"/>
          </w:tcPr>
          <w:p w14:paraId="37E2D116">
            <w:pPr>
              <w:pStyle w:val="5"/>
              <w:jc w:val="center"/>
              <w:rPr>
                <w:rFonts w:hint="eastAsia" w:ascii="宋体" w:hAnsi="宋体" w:eastAsia="宋体" w:cs="宋体"/>
                <w:highlight w:val="none"/>
              </w:rPr>
            </w:pPr>
            <w:r>
              <w:rPr>
                <w:rFonts w:hint="eastAsia" w:ascii="宋体" w:hAnsi="宋体" w:eastAsia="宋体" w:cs="宋体"/>
                <w:color w:val="000000"/>
                <w:sz w:val="21"/>
                <w:highlight w:val="none"/>
              </w:rPr>
              <w:t>服</w:t>
            </w:r>
          </w:p>
          <w:p w14:paraId="49A713D1">
            <w:pPr>
              <w:pStyle w:val="5"/>
              <w:jc w:val="center"/>
              <w:rPr>
                <w:rFonts w:hint="eastAsia" w:ascii="宋体" w:hAnsi="宋体" w:eastAsia="宋体" w:cs="宋体"/>
                <w:highlight w:val="none"/>
              </w:rPr>
            </w:pPr>
            <w:r>
              <w:rPr>
                <w:rFonts w:hint="eastAsia" w:ascii="宋体" w:hAnsi="宋体" w:eastAsia="宋体" w:cs="宋体"/>
                <w:color w:val="000000"/>
                <w:sz w:val="21"/>
                <w:highlight w:val="none"/>
              </w:rPr>
              <w:t>务</w:t>
            </w:r>
          </w:p>
          <w:p w14:paraId="1FC9047B">
            <w:pPr>
              <w:pStyle w:val="5"/>
              <w:jc w:val="center"/>
              <w:rPr>
                <w:rFonts w:hint="eastAsia" w:ascii="宋体" w:hAnsi="宋体" w:eastAsia="宋体" w:cs="宋体"/>
                <w:highlight w:val="none"/>
              </w:rPr>
            </w:pPr>
            <w:r>
              <w:rPr>
                <w:rFonts w:hint="eastAsia" w:ascii="宋体" w:hAnsi="宋体" w:eastAsia="宋体" w:cs="宋体"/>
                <w:color w:val="000000"/>
                <w:sz w:val="21"/>
                <w:highlight w:val="none"/>
              </w:rPr>
              <w:t>态</w:t>
            </w:r>
          </w:p>
          <w:p w14:paraId="6D4B2757">
            <w:pPr>
              <w:pStyle w:val="5"/>
              <w:jc w:val="center"/>
              <w:rPr>
                <w:rFonts w:hint="eastAsia" w:ascii="宋体" w:hAnsi="宋体" w:eastAsia="宋体" w:cs="宋体"/>
                <w:highlight w:val="none"/>
              </w:rPr>
            </w:pPr>
            <w:r>
              <w:rPr>
                <w:rFonts w:hint="eastAsia" w:ascii="宋体" w:hAnsi="宋体" w:eastAsia="宋体" w:cs="宋体"/>
                <w:color w:val="000000"/>
                <w:sz w:val="21"/>
                <w:highlight w:val="none"/>
              </w:rPr>
              <w:t>度</w:t>
            </w:r>
          </w:p>
        </w:tc>
        <w:tc>
          <w:tcPr>
            <w:tcW w:w="2915" w:type="pct"/>
            <w:gridSpan w:val="4"/>
            <w:tcBorders>
              <w:top w:val="single" w:color="auto" w:sz="4" w:space="0"/>
              <w:left w:val="single" w:color="auto" w:sz="4" w:space="0"/>
              <w:bottom w:val="single" w:color="auto" w:sz="4" w:space="0"/>
              <w:right w:val="single" w:color="auto" w:sz="4" w:space="0"/>
            </w:tcBorders>
            <w:shd w:val="clear" w:color="auto" w:fill="FFFFFF"/>
            <w:tcMar>
              <w:top w:w="15" w:type="dxa"/>
              <w:left w:w="15" w:type="dxa"/>
              <w:bottom w:w="0" w:type="dxa"/>
              <w:right w:w="15" w:type="dxa"/>
            </w:tcMar>
            <w:vAlign w:val="top"/>
          </w:tcPr>
          <w:p w14:paraId="5B86E941">
            <w:pPr>
              <w:pStyle w:val="5"/>
              <w:jc w:val="left"/>
              <w:rPr>
                <w:rFonts w:hint="eastAsia" w:ascii="宋体" w:hAnsi="宋体" w:eastAsia="宋体" w:cs="宋体"/>
                <w:highlight w:val="none"/>
              </w:rPr>
            </w:pPr>
            <w:r>
              <w:rPr>
                <w:rFonts w:hint="eastAsia" w:ascii="宋体" w:hAnsi="宋体" w:eastAsia="宋体" w:cs="宋体"/>
                <w:color w:val="000000"/>
                <w:sz w:val="21"/>
                <w:highlight w:val="none"/>
              </w:rPr>
              <w:t>逾期1个工作日扣5分，逾期2个工作日扣10分，如此类推。</w:t>
            </w:r>
          </w:p>
        </w:tc>
        <w:tc>
          <w:tcPr>
            <w:tcW w:w="819" w:type="pct"/>
            <w:tcBorders>
              <w:top w:val="nil"/>
              <w:left w:val="single" w:color="auto" w:sz="4" w:space="0"/>
              <w:bottom w:val="single" w:color="000000" w:sz="4" w:space="0"/>
              <w:right w:val="single" w:color="000000" w:sz="4" w:space="0"/>
            </w:tcBorders>
            <w:shd w:val="clear" w:color="auto" w:fill="FFFFFF"/>
            <w:tcMar>
              <w:top w:w="15" w:type="dxa"/>
              <w:left w:w="15" w:type="dxa"/>
              <w:bottom w:w="0" w:type="dxa"/>
              <w:right w:w="15" w:type="dxa"/>
            </w:tcMar>
            <w:vAlign w:val="top"/>
          </w:tcPr>
          <w:p w14:paraId="7DD54A66">
            <w:pPr>
              <w:pStyle w:val="5"/>
              <w:jc w:val="left"/>
              <w:rPr>
                <w:rFonts w:hint="eastAsia" w:ascii="宋体" w:hAnsi="宋体" w:eastAsia="宋体" w:cs="宋体"/>
                <w:highlight w:val="none"/>
              </w:rPr>
            </w:pPr>
          </w:p>
        </w:tc>
      </w:tr>
      <w:tr w14:paraId="31ED1FD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35" w:type="pct"/>
            <w:vMerge w:val="continue"/>
            <w:tcBorders>
              <w:top w:val="nil"/>
              <w:left w:val="single" w:color="000000" w:sz="4" w:space="0"/>
              <w:bottom w:val="single" w:color="000000" w:sz="4" w:space="0"/>
              <w:right w:val="single" w:color="auto" w:sz="4" w:space="0"/>
            </w:tcBorders>
          </w:tcPr>
          <w:p w14:paraId="040FFA98">
            <w:pPr>
              <w:rPr>
                <w:rFonts w:hint="eastAsia" w:ascii="宋体" w:hAnsi="宋体" w:eastAsia="宋体" w:cs="宋体"/>
                <w:highlight w:val="none"/>
              </w:rPr>
            </w:pPr>
          </w:p>
        </w:tc>
        <w:tc>
          <w:tcPr>
            <w:tcW w:w="395" w:type="pct"/>
            <w:vMerge w:val="continue"/>
            <w:tcBorders>
              <w:top w:val="single" w:color="auto" w:sz="4" w:space="0"/>
              <w:left w:val="single" w:color="auto" w:sz="4" w:space="0"/>
              <w:bottom w:val="single" w:color="auto" w:sz="4" w:space="0"/>
              <w:right w:val="single" w:color="auto" w:sz="4" w:space="0"/>
            </w:tcBorders>
          </w:tcPr>
          <w:p w14:paraId="1E96647F">
            <w:pPr>
              <w:rPr>
                <w:rFonts w:hint="eastAsia" w:ascii="宋体" w:hAnsi="宋体" w:eastAsia="宋体" w:cs="宋体"/>
                <w:highlight w:val="none"/>
              </w:rPr>
            </w:pPr>
          </w:p>
        </w:tc>
        <w:tc>
          <w:tcPr>
            <w:tcW w:w="433" w:type="pct"/>
            <w:vMerge w:val="continue"/>
            <w:tcBorders>
              <w:top w:val="single" w:color="auto" w:sz="4" w:space="0"/>
              <w:left w:val="single" w:color="auto" w:sz="4" w:space="0"/>
              <w:bottom w:val="single" w:color="auto" w:sz="4" w:space="0"/>
              <w:right w:val="single" w:color="auto" w:sz="4" w:space="0"/>
            </w:tcBorders>
          </w:tcPr>
          <w:p w14:paraId="6C200511">
            <w:pPr>
              <w:rPr>
                <w:rFonts w:hint="eastAsia" w:ascii="宋体" w:hAnsi="宋体" w:eastAsia="宋体" w:cs="宋体"/>
                <w:highlight w:val="none"/>
              </w:rPr>
            </w:pPr>
          </w:p>
        </w:tc>
        <w:tc>
          <w:tcPr>
            <w:tcW w:w="2915" w:type="pct"/>
            <w:gridSpan w:val="4"/>
            <w:tcBorders>
              <w:top w:val="single" w:color="auto" w:sz="4" w:space="0"/>
              <w:left w:val="single" w:color="auto" w:sz="4" w:space="0"/>
              <w:bottom w:val="single" w:color="auto" w:sz="4" w:space="0"/>
              <w:right w:val="single" w:color="auto" w:sz="4" w:space="0"/>
            </w:tcBorders>
            <w:shd w:val="clear" w:color="auto" w:fill="FFFFFF"/>
            <w:tcMar>
              <w:top w:w="15" w:type="dxa"/>
              <w:left w:w="15" w:type="dxa"/>
              <w:bottom w:w="0" w:type="dxa"/>
              <w:right w:w="15" w:type="dxa"/>
            </w:tcMar>
            <w:vAlign w:val="top"/>
          </w:tcPr>
          <w:p w14:paraId="1C007E7B">
            <w:pPr>
              <w:pStyle w:val="5"/>
              <w:jc w:val="left"/>
              <w:rPr>
                <w:rFonts w:hint="eastAsia" w:ascii="宋体" w:hAnsi="宋体" w:eastAsia="宋体" w:cs="宋体"/>
                <w:highlight w:val="none"/>
              </w:rPr>
            </w:pPr>
            <w:r>
              <w:rPr>
                <w:rFonts w:hint="eastAsia" w:ascii="宋体" w:hAnsi="宋体" w:eastAsia="宋体" w:cs="宋体"/>
                <w:color w:val="000000"/>
                <w:sz w:val="21"/>
                <w:highlight w:val="none"/>
              </w:rPr>
              <w:t>审核过程中，遇到关键资料缺失，未提前与采购人沟通，并形成书面记录的，每出现一次扣10分</w:t>
            </w:r>
          </w:p>
        </w:tc>
        <w:tc>
          <w:tcPr>
            <w:tcW w:w="819" w:type="pct"/>
            <w:tcBorders>
              <w:top w:val="nil"/>
              <w:left w:val="single" w:color="auto" w:sz="4" w:space="0"/>
              <w:bottom w:val="single" w:color="000000" w:sz="4" w:space="0"/>
              <w:right w:val="single" w:color="000000" w:sz="4" w:space="0"/>
            </w:tcBorders>
            <w:shd w:val="clear" w:color="auto" w:fill="FFFFFF"/>
            <w:tcMar>
              <w:top w:w="15" w:type="dxa"/>
              <w:left w:w="15" w:type="dxa"/>
              <w:bottom w:w="0" w:type="dxa"/>
              <w:right w:w="15" w:type="dxa"/>
            </w:tcMar>
            <w:vAlign w:val="top"/>
          </w:tcPr>
          <w:p w14:paraId="733A09BB">
            <w:pPr>
              <w:pStyle w:val="5"/>
              <w:jc w:val="left"/>
              <w:rPr>
                <w:rFonts w:hint="eastAsia" w:ascii="宋体" w:hAnsi="宋体" w:eastAsia="宋体" w:cs="宋体"/>
                <w:highlight w:val="none"/>
              </w:rPr>
            </w:pPr>
          </w:p>
        </w:tc>
      </w:tr>
      <w:tr w14:paraId="1DC29CD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35" w:type="pct"/>
            <w:vMerge w:val="continue"/>
            <w:tcBorders>
              <w:top w:val="nil"/>
              <w:left w:val="single" w:color="000000" w:sz="4" w:space="0"/>
              <w:bottom w:val="single" w:color="000000" w:sz="4" w:space="0"/>
              <w:right w:val="single" w:color="auto" w:sz="4" w:space="0"/>
            </w:tcBorders>
          </w:tcPr>
          <w:p w14:paraId="405761CB">
            <w:pPr>
              <w:rPr>
                <w:rFonts w:hint="eastAsia" w:ascii="宋体" w:hAnsi="宋体" w:eastAsia="宋体" w:cs="宋体"/>
                <w:highlight w:val="none"/>
              </w:rPr>
            </w:pPr>
          </w:p>
        </w:tc>
        <w:tc>
          <w:tcPr>
            <w:tcW w:w="395" w:type="pct"/>
            <w:vMerge w:val="continue"/>
            <w:tcBorders>
              <w:top w:val="single" w:color="auto" w:sz="4" w:space="0"/>
              <w:left w:val="single" w:color="auto" w:sz="4" w:space="0"/>
              <w:bottom w:val="single" w:color="auto" w:sz="4" w:space="0"/>
              <w:right w:val="single" w:color="auto" w:sz="4" w:space="0"/>
            </w:tcBorders>
          </w:tcPr>
          <w:p w14:paraId="3D061F6E">
            <w:pPr>
              <w:rPr>
                <w:rFonts w:hint="eastAsia" w:ascii="宋体" w:hAnsi="宋体" w:eastAsia="宋体" w:cs="宋体"/>
                <w:highlight w:val="none"/>
              </w:rPr>
            </w:pPr>
          </w:p>
        </w:tc>
        <w:tc>
          <w:tcPr>
            <w:tcW w:w="433" w:type="pct"/>
            <w:vMerge w:val="continue"/>
            <w:tcBorders>
              <w:top w:val="single" w:color="auto" w:sz="4" w:space="0"/>
              <w:left w:val="single" w:color="auto" w:sz="4" w:space="0"/>
              <w:bottom w:val="single" w:color="auto" w:sz="4" w:space="0"/>
              <w:right w:val="single" w:color="auto" w:sz="4" w:space="0"/>
            </w:tcBorders>
          </w:tcPr>
          <w:p w14:paraId="76BAF73A">
            <w:pPr>
              <w:rPr>
                <w:rFonts w:hint="eastAsia" w:ascii="宋体" w:hAnsi="宋体" w:eastAsia="宋体" w:cs="宋体"/>
                <w:highlight w:val="none"/>
              </w:rPr>
            </w:pPr>
          </w:p>
        </w:tc>
        <w:tc>
          <w:tcPr>
            <w:tcW w:w="2915" w:type="pct"/>
            <w:gridSpan w:val="4"/>
            <w:tcBorders>
              <w:top w:val="single" w:color="auto" w:sz="4" w:space="0"/>
              <w:left w:val="single" w:color="auto" w:sz="4" w:space="0"/>
              <w:bottom w:val="single" w:color="auto" w:sz="4" w:space="0"/>
              <w:right w:val="single" w:color="auto" w:sz="4" w:space="0"/>
            </w:tcBorders>
            <w:shd w:val="clear" w:color="auto" w:fill="FFFFFF"/>
            <w:tcMar>
              <w:top w:w="15" w:type="dxa"/>
              <w:left w:w="15" w:type="dxa"/>
              <w:bottom w:w="0" w:type="dxa"/>
              <w:right w:w="15" w:type="dxa"/>
            </w:tcMar>
            <w:vAlign w:val="top"/>
          </w:tcPr>
          <w:p w14:paraId="5CFAB3F6">
            <w:pPr>
              <w:pStyle w:val="5"/>
              <w:jc w:val="left"/>
              <w:rPr>
                <w:rFonts w:hint="eastAsia" w:ascii="宋体" w:hAnsi="宋体" w:eastAsia="宋体" w:cs="宋体"/>
                <w:highlight w:val="none"/>
              </w:rPr>
            </w:pPr>
            <w:r>
              <w:rPr>
                <w:rFonts w:hint="eastAsia" w:ascii="宋体" w:hAnsi="宋体" w:eastAsia="宋体" w:cs="宋体"/>
                <w:color w:val="000000"/>
                <w:sz w:val="21"/>
                <w:highlight w:val="none"/>
              </w:rPr>
              <w:t>采购人提出修改意见并提出规定时间内修改完成，未按时修改完成的，每超时一天扣3分</w:t>
            </w:r>
          </w:p>
        </w:tc>
        <w:tc>
          <w:tcPr>
            <w:tcW w:w="819" w:type="pct"/>
            <w:tcBorders>
              <w:top w:val="nil"/>
              <w:left w:val="single" w:color="auto" w:sz="4" w:space="0"/>
              <w:bottom w:val="single" w:color="000000" w:sz="4" w:space="0"/>
              <w:right w:val="single" w:color="000000" w:sz="4" w:space="0"/>
            </w:tcBorders>
            <w:shd w:val="clear" w:color="auto" w:fill="FFFFFF"/>
            <w:tcMar>
              <w:top w:w="15" w:type="dxa"/>
              <w:left w:w="15" w:type="dxa"/>
              <w:bottom w:w="0" w:type="dxa"/>
              <w:right w:w="15" w:type="dxa"/>
            </w:tcMar>
            <w:vAlign w:val="top"/>
          </w:tcPr>
          <w:p w14:paraId="13A0D779">
            <w:pPr>
              <w:pStyle w:val="5"/>
              <w:jc w:val="left"/>
              <w:rPr>
                <w:rFonts w:hint="eastAsia" w:ascii="宋体" w:hAnsi="宋体" w:eastAsia="宋体" w:cs="宋体"/>
                <w:highlight w:val="none"/>
              </w:rPr>
            </w:pPr>
          </w:p>
        </w:tc>
      </w:tr>
      <w:tr w14:paraId="6AAA338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35" w:type="pct"/>
            <w:vMerge w:val="continue"/>
            <w:tcBorders>
              <w:top w:val="nil"/>
              <w:left w:val="single" w:color="000000" w:sz="4" w:space="0"/>
              <w:bottom w:val="single" w:color="000000" w:sz="4" w:space="0"/>
              <w:right w:val="single" w:color="auto" w:sz="4" w:space="0"/>
            </w:tcBorders>
          </w:tcPr>
          <w:p w14:paraId="5753C9DE">
            <w:pPr>
              <w:rPr>
                <w:rFonts w:hint="eastAsia" w:ascii="宋体" w:hAnsi="宋体" w:eastAsia="宋体" w:cs="宋体"/>
                <w:highlight w:val="none"/>
              </w:rPr>
            </w:pPr>
          </w:p>
        </w:tc>
        <w:tc>
          <w:tcPr>
            <w:tcW w:w="395" w:type="pct"/>
            <w:vMerge w:val="continue"/>
            <w:tcBorders>
              <w:top w:val="single" w:color="auto" w:sz="4" w:space="0"/>
              <w:left w:val="single" w:color="auto" w:sz="4" w:space="0"/>
              <w:bottom w:val="single" w:color="auto" w:sz="4" w:space="0"/>
              <w:right w:val="single" w:color="auto" w:sz="4" w:space="0"/>
            </w:tcBorders>
          </w:tcPr>
          <w:p w14:paraId="5D76CF84">
            <w:pPr>
              <w:rPr>
                <w:rFonts w:hint="eastAsia" w:ascii="宋体" w:hAnsi="宋体" w:eastAsia="宋体" w:cs="宋体"/>
                <w:highlight w:val="none"/>
              </w:rPr>
            </w:pPr>
          </w:p>
        </w:tc>
        <w:tc>
          <w:tcPr>
            <w:tcW w:w="433" w:type="pct"/>
            <w:vMerge w:val="continue"/>
            <w:tcBorders>
              <w:top w:val="single" w:color="auto" w:sz="4" w:space="0"/>
              <w:left w:val="single" w:color="auto" w:sz="4" w:space="0"/>
              <w:bottom w:val="single" w:color="auto" w:sz="4" w:space="0"/>
              <w:right w:val="single" w:color="auto" w:sz="4" w:space="0"/>
            </w:tcBorders>
          </w:tcPr>
          <w:p w14:paraId="43945D98">
            <w:pPr>
              <w:rPr>
                <w:rFonts w:hint="eastAsia" w:ascii="宋体" w:hAnsi="宋体" w:eastAsia="宋体" w:cs="宋体"/>
                <w:highlight w:val="none"/>
              </w:rPr>
            </w:pPr>
          </w:p>
        </w:tc>
        <w:tc>
          <w:tcPr>
            <w:tcW w:w="2915" w:type="pct"/>
            <w:gridSpan w:val="4"/>
            <w:tcBorders>
              <w:top w:val="single" w:color="auto" w:sz="4" w:space="0"/>
              <w:left w:val="single" w:color="auto" w:sz="4" w:space="0"/>
              <w:bottom w:val="single" w:color="auto" w:sz="4" w:space="0"/>
              <w:right w:val="single" w:color="auto" w:sz="4" w:space="0"/>
            </w:tcBorders>
            <w:shd w:val="clear" w:color="auto" w:fill="FFFFFF"/>
            <w:tcMar>
              <w:top w:w="15" w:type="dxa"/>
              <w:left w:w="15" w:type="dxa"/>
              <w:bottom w:w="0" w:type="dxa"/>
              <w:right w:w="15" w:type="dxa"/>
            </w:tcMar>
            <w:vAlign w:val="top"/>
          </w:tcPr>
          <w:p w14:paraId="4DAE3707">
            <w:pPr>
              <w:pStyle w:val="5"/>
              <w:jc w:val="left"/>
              <w:rPr>
                <w:rFonts w:hint="eastAsia" w:ascii="宋体" w:hAnsi="宋体" w:eastAsia="宋体" w:cs="宋体"/>
                <w:color w:val="000000"/>
                <w:sz w:val="21"/>
                <w:highlight w:val="none"/>
              </w:rPr>
            </w:pPr>
            <w:r>
              <w:rPr>
                <w:rFonts w:hint="eastAsia" w:ascii="宋体" w:hAnsi="宋体" w:eastAsia="宋体" w:cs="宋体"/>
                <w:color w:val="000000"/>
                <w:sz w:val="21"/>
                <w:highlight w:val="none"/>
              </w:rPr>
              <w:t>对审核资料保管不当，每遗失一份资料扣10分</w:t>
            </w:r>
          </w:p>
        </w:tc>
        <w:tc>
          <w:tcPr>
            <w:tcW w:w="819" w:type="pct"/>
            <w:tcBorders>
              <w:top w:val="nil"/>
              <w:left w:val="single" w:color="auto" w:sz="4" w:space="0"/>
              <w:bottom w:val="single" w:color="000000" w:sz="4" w:space="0"/>
              <w:right w:val="single" w:color="000000" w:sz="4" w:space="0"/>
            </w:tcBorders>
            <w:shd w:val="clear" w:color="auto" w:fill="FFFFFF"/>
            <w:tcMar>
              <w:top w:w="15" w:type="dxa"/>
              <w:left w:w="15" w:type="dxa"/>
              <w:bottom w:w="0" w:type="dxa"/>
              <w:right w:w="15" w:type="dxa"/>
            </w:tcMar>
            <w:vAlign w:val="top"/>
          </w:tcPr>
          <w:p w14:paraId="028C0D8F">
            <w:pPr>
              <w:pStyle w:val="5"/>
              <w:jc w:val="left"/>
              <w:rPr>
                <w:rFonts w:hint="eastAsia" w:ascii="宋体" w:hAnsi="宋体" w:eastAsia="宋体" w:cs="宋体"/>
                <w:highlight w:val="none"/>
              </w:rPr>
            </w:pPr>
          </w:p>
        </w:tc>
      </w:tr>
      <w:tr w14:paraId="3E4DEE3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435" w:type="pct"/>
            <w:vMerge w:val="continue"/>
            <w:tcBorders>
              <w:top w:val="nil"/>
              <w:left w:val="single" w:color="000000" w:sz="4" w:space="0"/>
              <w:bottom w:val="single" w:color="000000" w:sz="4" w:space="0"/>
              <w:right w:val="single" w:color="auto" w:sz="4" w:space="0"/>
            </w:tcBorders>
          </w:tcPr>
          <w:p w14:paraId="175D59B0">
            <w:pPr>
              <w:rPr>
                <w:rFonts w:hint="eastAsia" w:ascii="宋体" w:hAnsi="宋体" w:eastAsia="宋体" w:cs="宋体"/>
                <w:highlight w:val="none"/>
              </w:rPr>
            </w:pPr>
          </w:p>
        </w:tc>
        <w:tc>
          <w:tcPr>
            <w:tcW w:w="395" w:type="pct"/>
            <w:vMerge w:val="continue"/>
            <w:tcBorders>
              <w:top w:val="single" w:color="auto" w:sz="4" w:space="0"/>
              <w:left w:val="single" w:color="auto" w:sz="4" w:space="0"/>
              <w:bottom w:val="single" w:color="auto" w:sz="4" w:space="0"/>
              <w:right w:val="single" w:color="auto" w:sz="4" w:space="0"/>
            </w:tcBorders>
          </w:tcPr>
          <w:p w14:paraId="711D7EE3">
            <w:pPr>
              <w:rPr>
                <w:rFonts w:hint="eastAsia" w:ascii="宋体" w:hAnsi="宋体" w:eastAsia="宋体" w:cs="宋体"/>
                <w:highlight w:val="none"/>
              </w:rPr>
            </w:pPr>
          </w:p>
        </w:tc>
        <w:tc>
          <w:tcPr>
            <w:tcW w:w="433" w:type="pct"/>
            <w:vMerge w:val="continue"/>
            <w:tcBorders>
              <w:top w:val="single" w:color="auto" w:sz="4" w:space="0"/>
              <w:left w:val="single" w:color="auto" w:sz="4" w:space="0"/>
              <w:bottom w:val="single" w:color="auto" w:sz="4" w:space="0"/>
              <w:right w:val="single" w:color="auto" w:sz="4" w:space="0"/>
            </w:tcBorders>
          </w:tcPr>
          <w:p w14:paraId="1563F8FB">
            <w:pPr>
              <w:rPr>
                <w:rFonts w:hint="eastAsia" w:ascii="宋体" w:hAnsi="宋体" w:eastAsia="宋体" w:cs="宋体"/>
                <w:highlight w:val="none"/>
              </w:rPr>
            </w:pPr>
          </w:p>
        </w:tc>
        <w:tc>
          <w:tcPr>
            <w:tcW w:w="2915" w:type="pct"/>
            <w:gridSpan w:val="4"/>
            <w:tcBorders>
              <w:top w:val="single" w:color="auto" w:sz="4" w:space="0"/>
              <w:left w:val="single" w:color="auto" w:sz="4" w:space="0"/>
              <w:bottom w:val="single" w:color="auto" w:sz="4" w:space="0"/>
              <w:right w:val="single" w:color="auto" w:sz="4" w:space="0"/>
            </w:tcBorders>
            <w:shd w:val="clear" w:color="auto" w:fill="FFFFFF"/>
            <w:tcMar>
              <w:top w:w="15" w:type="dxa"/>
              <w:left w:w="15" w:type="dxa"/>
              <w:bottom w:w="0" w:type="dxa"/>
              <w:right w:w="15" w:type="dxa"/>
            </w:tcMar>
            <w:vAlign w:val="top"/>
          </w:tcPr>
          <w:p w14:paraId="29957C32">
            <w:pPr>
              <w:pStyle w:val="5"/>
              <w:jc w:val="left"/>
              <w:rPr>
                <w:rFonts w:hint="eastAsia" w:ascii="宋体" w:hAnsi="宋体" w:eastAsia="宋体" w:cs="宋体"/>
                <w:highlight w:val="none"/>
              </w:rPr>
            </w:pPr>
            <w:r>
              <w:rPr>
                <w:rFonts w:hint="eastAsia" w:ascii="宋体" w:hAnsi="宋体" w:eastAsia="宋体" w:cs="宋体"/>
                <w:color w:val="000000"/>
                <w:sz w:val="21"/>
                <w:highlight w:val="none"/>
              </w:rPr>
              <w:t>采购人通知对数或要求提供其他现场咨询服务，未在3个工作日内安排的，每一次扣10分</w:t>
            </w:r>
          </w:p>
        </w:tc>
        <w:tc>
          <w:tcPr>
            <w:tcW w:w="819" w:type="pct"/>
            <w:tcBorders>
              <w:top w:val="nil"/>
              <w:left w:val="single" w:color="auto" w:sz="4" w:space="0"/>
              <w:bottom w:val="single" w:color="000000" w:sz="4" w:space="0"/>
              <w:right w:val="single" w:color="000000" w:sz="4" w:space="0"/>
            </w:tcBorders>
            <w:shd w:val="clear" w:color="auto" w:fill="FFFFFF"/>
            <w:tcMar>
              <w:top w:w="15" w:type="dxa"/>
              <w:left w:w="15" w:type="dxa"/>
              <w:bottom w:w="0" w:type="dxa"/>
              <w:right w:w="15" w:type="dxa"/>
            </w:tcMar>
            <w:vAlign w:val="top"/>
          </w:tcPr>
          <w:p w14:paraId="26141B15">
            <w:pPr>
              <w:pStyle w:val="5"/>
              <w:jc w:val="left"/>
              <w:rPr>
                <w:rFonts w:hint="eastAsia" w:ascii="宋体" w:hAnsi="宋体" w:eastAsia="宋体" w:cs="宋体"/>
                <w:highlight w:val="none"/>
              </w:rPr>
            </w:pPr>
          </w:p>
        </w:tc>
      </w:tr>
      <w:tr w14:paraId="46E2BF7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35" w:type="pct"/>
            <w:vMerge w:val="continue"/>
            <w:tcBorders>
              <w:top w:val="nil"/>
              <w:left w:val="single" w:color="000000" w:sz="4" w:space="0"/>
              <w:bottom w:val="single" w:color="000000" w:sz="4" w:space="0"/>
              <w:right w:val="single" w:color="auto" w:sz="4" w:space="0"/>
            </w:tcBorders>
          </w:tcPr>
          <w:p w14:paraId="3C707B54">
            <w:pPr>
              <w:rPr>
                <w:rFonts w:hint="eastAsia" w:ascii="宋体" w:hAnsi="宋体" w:eastAsia="宋体" w:cs="宋体"/>
                <w:highlight w:val="none"/>
              </w:rPr>
            </w:pPr>
          </w:p>
        </w:tc>
        <w:tc>
          <w:tcPr>
            <w:tcW w:w="395" w:type="pct"/>
            <w:vMerge w:val="continue"/>
            <w:tcBorders>
              <w:top w:val="single" w:color="auto" w:sz="4" w:space="0"/>
              <w:left w:val="single" w:color="auto" w:sz="4" w:space="0"/>
              <w:bottom w:val="single" w:color="auto" w:sz="4" w:space="0"/>
              <w:right w:val="single" w:color="auto" w:sz="4" w:space="0"/>
            </w:tcBorders>
          </w:tcPr>
          <w:p w14:paraId="471A01D0">
            <w:pPr>
              <w:rPr>
                <w:rFonts w:hint="eastAsia" w:ascii="宋体" w:hAnsi="宋体" w:eastAsia="宋体" w:cs="宋体"/>
                <w:highlight w:val="none"/>
              </w:rPr>
            </w:pPr>
          </w:p>
        </w:tc>
        <w:tc>
          <w:tcPr>
            <w:tcW w:w="433" w:type="pct"/>
            <w:vMerge w:val="continue"/>
            <w:tcBorders>
              <w:top w:val="single" w:color="auto" w:sz="4" w:space="0"/>
              <w:left w:val="single" w:color="auto" w:sz="4" w:space="0"/>
              <w:bottom w:val="single" w:color="auto" w:sz="4" w:space="0"/>
              <w:right w:val="single" w:color="auto" w:sz="4" w:space="0"/>
            </w:tcBorders>
          </w:tcPr>
          <w:p w14:paraId="15F4EAEC">
            <w:pPr>
              <w:rPr>
                <w:rFonts w:hint="eastAsia" w:ascii="宋体" w:hAnsi="宋体" w:eastAsia="宋体" w:cs="宋体"/>
                <w:highlight w:val="none"/>
              </w:rPr>
            </w:pPr>
          </w:p>
        </w:tc>
        <w:tc>
          <w:tcPr>
            <w:tcW w:w="2915" w:type="pct"/>
            <w:gridSpan w:val="4"/>
            <w:tcBorders>
              <w:top w:val="single" w:color="auto" w:sz="4" w:space="0"/>
              <w:left w:val="single" w:color="auto" w:sz="4" w:space="0"/>
              <w:bottom w:val="single" w:color="auto" w:sz="4" w:space="0"/>
              <w:right w:val="single" w:color="auto" w:sz="4" w:space="0"/>
            </w:tcBorders>
            <w:shd w:val="clear" w:color="auto" w:fill="FFFFFF"/>
            <w:tcMar>
              <w:top w:w="15" w:type="dxa"/>
              <w:left w:w="15" w:type="dxa"/>
              <w:bottom w:w="0" w:type="dxa"/>
              <w:right w:w="15" w:type="dxa"/>
            </w:tcMar>
            <w:vAlign w:val="top"/>
          </w:tcPr>
          <w:p w14:paraId="0892117B">
            <w:pPr>
              <w:pStyle w:val="5"/>
              <w:jc w:val="left"/>
              <w:rPr>
                <w:rFonts w:hint="eastAsia" w:ascii="宋体" w:hAnsi="宋体" w:eastAsia="宋体" w:cs="宋体"/>
                <w:highlight w:val="none"/>
              </w:rPr>
            </w:pPr>
            <w:r>
              <w:rPr>
                <w:rFonts w:hint="eastAsia" w:ascii="宋体" w:hAnsi="宋体" w:eastAsia="宋体" w:cs="宋体"/>
                <w:color w:val="000000"/>
                <w:sz w:val="21"/>
                <w:highlight w:val="none"/>
              </w:rPr>
              <w:t>未提前10分钟到达规定地点对数，每出现一次扣10分</w:t>
            </w:r>
          </w:p>
        </w:tc>
        <w:tc>
          <w:tcPr>
            <w:tcW w:w="819" w:type="pct"/>
            <w:tcBorders>
              <w:top w:val="nil"/>
              <w:left w:val="single" w:color="auto" w:sz="4" w:space="0"/>
              <w:bottom w:val="single" w:color="000000" w:sz="4" w:space="0"/>
              <w:right w:val="single" w:color="000000" w:sz="4" w:space="0"/>
            </w:tcBorders>
            <w:shd w:val="clear" w:color="auto" w:fill="FFFFFF"/>
            <w:tcMar>
              <w:top w:w="15" w:type="dxa"/>
              <w:left w:w="15" w:type="dxa"/>
              <w:bottom w:w="0" w:type="dxa"/>
              <w:right w:w="15" w:type="dxa"/>
            </w:tcMar>
            <w:vAlign w:val="top"/>
          </w:tcPr>
          <w:p w14:paraId="50C2CA4E">
            <w:pPr>
              <w:pStyle w:val="5"/>
              <w:jc w:val="left"/>
              <w:rPr>
                <w:rFonts w:hint="eastAsia" w:ascii="宋体" w:hAnsi="宋体" w:eastAsia="宋体" w:cs="宋体"/>
                <w:highlight w:val="none"/>
              </w:rPr>
            </w:pPr>
          </w:p>
        </w:tc>
      </w:tr>
      <w:tr w14:paraId="137CFF5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35" w:type="pct"/>
            <w:vMerge w:val="continue"/>
            <w:tcBorders>
              <w:top w:val="nil"/>
              <w:left w:val="single" w:color="000000" w:sz="4" w:space="0"/>
              <w:bottom w:val="single" w:color="000000" w:sz="4" w:space="0"/>
              <w:right w:val="single" w:color="auto" w:sz="4" w:space="0"/>
            </w:tcBorders>
          </w:tcPr>
          <w:p w14:paraId="2A2CD06D">
            <w:pPr>
              <w:rPr>
                <w:rFonts w:hint="eastAsia" w:ascii="宋体" w:hAnsi="宋体" w:eastAsia="宋体" w:cs="宋体"/>
                <w:highlight w:val="none"/>
              </w:rPr>
            </w:pPr>
          </w:p>
        </w:tc>
        <w:tc>
          <w:tcPr>
            <w:tcW w:w="395" w:type="pct"/>
            <w:vMerge w:val="continue"/>
            <w:tcBorders>
              <w:top w:val="single" w:color="auto" w:sz="4" w:space="0"/>
              <w:left w:val="single" w:color="auto" w:sz="4" w:space="0"/>
              <w:bottom w:val="single" w:color="auto" w:sz="4" w:space="0"/>
              <w:right w:val="single" w:color="auto" w:sz="4" w:space="0"/>
            </w:tcBorders>
          </w:tcPr>
          <w:p w14:paraId="576DA51A">
            <w:pPr>
              <w:rPr>
                <w:rFonts w:hint="eastAsia" w:ascii="宋体" w:hAnsi="宋体" w:eastAsia="宋体" w:cs="宋体"/>
                <w:highlight w:val="none"/>
              </w:rPr>
            </w:pPr>
          </w:p>
        </w:tc>
        <w:tc>
          <w:tcPr>
            <w:tcW w:w="433" w:type="pct"/>
            <w:vMerge w:val="continue"/>
            <w:tcBorders>
              <w:top w:val="single" w:color="auto" w:sz="4" w:space="0"/>
              <w:left w:val="single" w:color="auto" w:sz="4" w:space="0"/>
              <w:bottom w:val="single" w:color="auto" w:sz="4" w:space="0"/>
              <w:right w:val="single" w:color="auto" w:sz="4" w:space="0"/>
            </w:tcBorders>
          </w:tcPr>
          <w:p w14:paraId="0F3318E9">
            <w:pPr>
              <w:rPr>
                <w:rFonts w:hint="eastAsia" w:ascii="宋体" w:hAnsi="宋体" w:eastAsia="宋体" w:cs="宋体"/>
                <w:highlight w:val="none"/>
              </w:rPr>
            </w:pPr>
          </w:p>
        </w:tc>
        <w:tc>
          <w:tcPr>
            <w:tcW w:w="2915" w:type="pct"/>
            <w:gridSpan w:val="4"/>
            <w:tcBorders>
              <w:top w:val="single" w:color="auto" w:sz="4" w:space="0"/>
              <w:left w:val="single" w:color="auto" w:sz="4" w:space="0"/>
              <w:bottom w:val="single" w:color="auto" w:sz="4" w:space="0"/>
              <w:right w:val="single" w:color="auto" w:sz="4" w:space="0"/>
            </w:tcBorders>
            <w:shd w:val="clear" w:color="auto" w:fill="FFFFFF"/>
            <w:tcMar>
              <w:top w:w="15" w:type="dxa"/>
              <w:left w:w="15" w:type="dxa"/>
              <w:bottom w:w="0" w:type="dxa"/>
              <w:right w:w="15" w:type="dxa"/>
            </w:tcMar>
            <w:vAlign w:val="top"/>
          </w:tcPr>
          <w:p w14:paraId="2B83C97C">
            <w:pPr>
              <w:pStyle w:val="5"/>
              <w:jc w:val="left"/>
              <w:rPr>
                <w:rFonts w:hint="eastAsia" w:ascii="宋体" w:hAnsi="宋体" w:eastAsia="宋体" w:cs="宋体"/>
                <w:highlight w:val="none"/>
              </w:rPr>
            </w:pPr>
            <w:r>
              <w:rPr>
                <w:rFonts w:hint="eastAsia" w:ascii="宋体" w:hAnsi="宋体" w:eastAsia="宋体" w:cs="宋体"/>
                <w:color w:val="000000"/>
                <w:sz w:val="21"/>
                <w:highlight w:val="none"/>
              </w:rPr>
              <w:t>对数前是否做好充分准备工作确保对数高效（包括准备好对数工具、根据回复意见准备相关计价资料等），每出现一处扣5分</w:t>
            </w:r>
          </w:p>
        </w:tc>
        <w:tc>
          <w:tcPr>
            <w:tcW w:w="819" w:type="pct"/>
            <w:tcBorders>
              <w:top w:val="nil"/>
              <w:left w:val="single" w:color="auto" w:sz="4" w:space="0"/>
              <w:bottom w:val="single" w:color="000000" w:sz="4" w:space="0"/>
              <w:right w:val="single" w:color="000000" w:sz="4" w:space="0"/>
            </w:tcBorders>
            <w:shd w:val="clear" w:color="auto" w:fill="FFFFFF"/>
            <w:tcMar>
              <w:top w:w="15" w:type="dxa"/>
              <w:left w:w="15" w:type="dxa"/>
              <w:bottom w:w="0" w:type="dxa"/>
              <w:right w:w="15" w:type="dxa"/>
            </w:tcMar>
            <w:vAlign w:val="top"/>
          </w:tcPr>
          <w:p w14:paraId="3F48615B">
            <w:pPr>
              <w:pStyle w:val="5"/>
              <w:jc w:val="left"/>
              <w:rPr>
                <w:rFonts w:hint="eastAsia" w:ascii="宋体" w:hAnsi="宋体" w:eastAsia="宋体" w:cs="宋体"/>
                <w:highlight w:val="none"/>
              </w:rPr>
            </w:pPr>
          </w:p>
        </w:tc>
      </w:tr>
      <w:tr w14:paraId="64FFFD7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35" w:type="pct"/>
            <w:vMerge w:val="continue"/>
            <w:tcBorders>
              <w:top w:val="nil"/>
              <w:left w:val="single" w:color="000000" w:sz="4" w:space="0"/>
              <w:bottom w:val="single" w:color="000000" w:sz="4" w:space="0"/>
              <w:right w:val="single" w:color="auto" w:sz="4" w:space="0"/>
            </w:tcBorders>
          </w:tcPr>
          <w:p w14:paraId="7084BBB1">
            <w:pPr>
              <w:rPr>
                <w:rFonts w:hint="eastAsia" w:ascii="宋体" w:hAnsi="宋体" w:eastAsia="宋体" w:cs="宋体"/>
                <w:highlight w:val="none"/>
              </w:rPr>
            </w:pPr>
          </w:p>
        </w:tc>
        <w:tc>
          <w:tcPr>
            <w:tcW w:w="395" w:type="pct"/>
            <w:vMerge w:val="continue"/>
            <w:tcBorders>
              <w:top w:val="single" w:color="auto" w:sz="4" w:space="0"/>
              <w:left w:val="single" w:color="auto" w:sz="4" w:space="0"/>
              <w:bottom w:val="single" w:color="auto" w:sz="4" w:space="0"/>
              <w:right w:val="single" w:color="auto" w:sz="4" w:space="0"/>
            </w:tcBorders>
          </w:tcPr>
          <w:p w14:paraId="2239A347">
            <w:pPr>
              <w:rPr>
                <w:rFonts w:hint="eastAsia" w:ascii="宋体" w:hAnsi="宋体" w:eastAsia="宋体" w:cs="宋体"/>
                <w:highlight w:val="none"/>
              </w:rPr>
            </w:pPr>
          </w:p>
        </w:tc>
        <w:tc>
          <w:tcPr>
            <w:tcW w:w="433" w:type="pct"/>
            <w:vMerge w:val="continue"/>
            <w:tcBorders>
              <w:top w:val="single" w:color="auto" w:sz="4" w:space="0"/>
              <w:left w:val="single" w:color="auto" w:sz="4" w:space="0"/>
              <w:bottom w:val="single" w:color="auto" w:sz="4" w:space="0"/>
              <w:right w:val="single" w:color="auto" w:sz="4" w:space="0"/>
            </w:tcBorders>
          </w:tcPr>
          <w:p w14:paraId="00E116CD">
            <w:pPr>
              <w:rPr>
                <w:rFonts w:hint="eastAsia" w:ascii="宋体" w:hAnsi="宋体" w:eastAsia="宋体" w:cs="宋体"/>
                <w:highlight w:val="none"/>
              </w:rPr>
            </w:pPr>
          </w:p>
        </w:tc>
        <w:tc>
          <w:tcPr>
            <w:tcW w:w="2915" w:type="pct"/>
            <w:gridSpan w:val="4"/>
            <w:tcBorders>
              <w:top w:val="single" w:color="auto" w:sz="4" w:space="0"/>
              <w:left w:val="single" w:color="auto" w:sz="4" w:space="0"/>
              <w:bottom w:val="single" w:color="auto" w:sz="4" w:space="0"/>
              <w:right w:val="single" w:color="auto" w:sz="4" w:space="0"/>
            </w:tcBorders>
            <w:shd w:val="clear" w:color="auto" w:fill="FFFFFF"/>
            <w:tcMar>
              <w:top w:w="15" w:type="dxa"/>
              <w:left w:w="15" w:type="dxa"/>
              <w:bottom w:w="0" w:type="dxa"/>
              <w:right w:w="15" w:type="dxa"/>
            </w:tcMar>
            <w:vAlign w:val="top"/>
          </w:tcPr>
          <w:p w14:paraId="2C062279">
            <w:pPr>
              <w:pStyle w:val="5"/>
              <w:jc w:val="left"/>
              <w:rPr>
                <w:rFonts w:hint="eastAsia" w:ascii="宋体" w:hAnsi="宋体" w:eastAsia="宋体" w:cs="宋体"/>
                <w:highlight w:val="none"/>
              </w:rPr>
            </w:pPr>
            <w:r>
              <w:rPr>
                <w:rFonts w:hint="eastAsia" w:ascii="宋体" w:hAnsi="宋体" w:eastAsia="宋体" w:cs="宋体"/>
                <w:color w:val="000000"/>
                <w:sz w:val="21"/>
                <w:highlight w:val="none"/>
              </w:rPr>
              <w:t>到现场踏勘没有按规定做好相关准备的，每一次扣5分</w:t>
            </w:r>
          </w:p>
        </w:tc>
        <w:tc>
          <w:tcPr>
            <w:tcW w:w="819" w:type="pct"/>
            <w:tcBorders>
              <w:top w:val="nil"/>
              <w:left w:val="single" w:color="auto" w:sz="4" w:space="0"/>
              <w:bottom w:val="single" w:color="000000" w:sz="4" w:space="0"/>
              <w:right w:val="single" w:color="000000" w:sz="4" w:space="0"/>
            </w:tcBorders>
            <w:shd w:val="clear" w:color="auto" w:fill="FFFFFF"/>
            <w:tcMar>
              <w:top w:w="15" w:type="dxa"/>
              <w:left w:w="15" w:type="dxa"/>
              <w:bottom w:w="0" w:type="dxa"/>
              <w:right w:w="15" w:type="dxa"/>
            </w:tcMar>
            <w:vAlign w:val="top"/>
          </w:tcPr>
          <w:p w14:paraId="4B1FB0B1">
            <w:pPr>
              <w:pStyle w:val="5"/>
              <w:jc w:val="left"/>
              <w:rPr>
                <w:rFonts w:hint="eastAsia" w:ascii="宋体" w:hAnsi="宋体" w:eastAsia="宋体" w:cs="宋体"/>
                <w:highlight w:val="none"/>
              </w:rPr>
            </w:pPr>
          </w:p>
        </w:tc>
      </w:tr>
      <w:tr w14:paraId="1058363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35" w:type="pct"/>
            <w:vMerge w:val="continue"/>
            <w:tcBorders>
              <w:top w:val="nil"/>
              <w:left w:val="single" w:color="000000" w:sz="4" w:space="0"/>
              <w:bottom w:val="single" w:color="000000" w:sz="4" w:space="0"/>
              <w:right w:val="single" w:color="auto" w:sz="4" w:space="0"/>
            </w:tcBorders>
          </w:tcPr>
          <w:p w14:paraId="332A8861">
            <w:pPr>
              <w:rPr>
                <w:rFonts w:hint="eastAsia" w:ascii="宋体" w:hAnsi="宋体" w:eastAsia="宋体" w:cs="宋体"/>
                <w:highlight w:val="none"/>
              </w:rPr>
            </w:pPr>
          </w:p>
        </w:tc>
        <w:tc>
          <w:tcPr>
            <w:tcW w:w="395" w:type="pct"/>
            <w:vMerge w:val="continue"/>
            <w:tcBorders>
              <w:top w:val="single" w:color="auto" w:sz="4" w:space="0"/>
              <w:left w:val="single" w:color="auto" w:sz="4" w:space="0"/>
              <w:bottom w:val="single" w:color="auto" w:sz="4" w:space="0"/>
              <w:right w:val="single" w:color="auto" w:sz="4" w:space="0"/>
            </w:tcBorders>
          </w:tcPr>
          <w:p w14:paraId="1352AD27">
            <w:pPr>
              <w:rPr>
                <w:rFonts w:hint="eastAsia" w:ascii="宋体" w:hAnsi="宋体" w:eastAsia="宋体" w:cs="宋体"/>
                <w:highlight w:val="none"/>
              </w:rPr>
            </w:pPr>
          </w:p>
        </w:tc>
        <w:tc>
          <w:tcPr>
            <w:tcW w:w="433" w:type="pct"/>
            <w:vMerge w:val="continue"/>
            <w:tcBorders>
              <w:top w:val="single" w:color="auto" w:sz="4" w:space="0"/>
              <w:left w:val="single" w:color="auto" w:sz="4" w:space="0"/>
              <w:bottom w:val="single" w:color="auto" w:sz="4" w:space="0"/>
              <w:right w:val="single" w:color="auto" w:sz="4" w:space="0"/>
            </w:tcBorders>
          </w:tcPr>
          <w:p w14:paraId="6A5368D0">
            <w:pPr>
              <w:rPr>
                <w:rFonts w:hint="eastAsia" w:ascii="宋体" w:hAnsi="宋体" w:eastAsia="宋体" w:cs="宋体"/>
                <w:highlight w:val="none"/>
              </w:rPr>
            </w:pPr>
          </w:p>
        </w:tc>
        <w:tc>
          <w:tcPr>
            <w:tcW w:w="2915" w:type="pct"/>
            <w:gridSpan w:val="4"/>
            <w:tcBorders>
              <w:top w:val="single" w:color="auto" w:sz="4" w:space="0"/>
              <w:left w:val="single" w:color="auto" w:sz="4" w:space="0"/>
              <w:bottom w:val="single" w:color="auto" w:sz="4" w:space="0"/>
              <w:right w:val="single" w:color="auto" w:sz="4" w:space="0"/>
            </w:tcBorders>
            <w:shd w:val="clear" w:color="auto" w:fill="FFFFFF"/>
            <w:tcMar>
              <w:top w:w="15" w:type="dxa"/>
              <w:left w:w="15" w:type="dxa"/>
              <w:bottom w:w="0" w:type="dxa"/>
              <w:right w:w="15" w:type="dxa"/>
            </w:tcMar>
            <w:vAlign w:val="top"/>
          </w:tcPr>
          <w:p w14:paraId="23982DD8">
            <w:pPr>
              <w:pStyle w:val="5"/>
              <w:jc w:val="left"/>
              <w:rPr>
                <w:rFonts w:hint="eastAsia" w:ascii="宋体" w:hAnsi="宋体" w:eastAsia="宋体" w:cs="宋体"/>
                <w:highlight w:val="none"/>
              </w:rPr>
            </w:pPr>
            <w:r>
              <w:rPr>
                <w:rFonts w:hint="eastAsia" w:ascii="宋体" w:hAnsi="宋体" w:eastAsia="宋体" w:cs="宋体"/>
                <w:sz w:val="21"/>
                <w:highlight w:val="none"/>
              </w:rPr>
              <w:t>未派出该项目审核负责人（需具备注册造价工程师资格）参加对数的，一次扣20分</w:t>
            </w:r>
          </w:p>
        </w:tc>
        <w:tc>
          <w:tcPr>
            <w:tcW w:w="819" w:type="pct"/>
            <w:tcBorders>
              <w:top w:val="nil"/>
              <w:left w:val="single" w:color="auto" w:sz="4" w:space="0"/>
              <w:bottom w:val="single" w:color="000000" w:sz="4" w:space="0"/>
              <w:right w:val="single" w:color="000000" w:sz="4" w:space="0"/>
            </w:tcBorders>
            <w:shd w:val="clear" w:color="auto" w:fill="FFFFFF"/>
            <w:tcMar>
              <w:top w:w="15" w:type="dxa"/>
              <w:left w:w="15" w:type="dxa"/>
              <w:bottom w:w="0" w:type="dxa"/>
              <w:right w:w="15" w:type="dxa"/>
            </w:tcMar>
            <w:vAlign w:val="top"/>
          </w:tcPr>
          <w:p w14:paraId="1606993F">
            <w:pPr>
              <w:pStyle w:val="5"/>
              <w:jc w:val="left"/>
              <w:rPr>
                <w:rFonts w:hint="eastAsia" w:ascii="宋体" w:hAnsi="宋体" w:eastAsia="宋体" w:cs="宋体"/>
                <w:highlight w:val="none"/>
              </w:rPr>
            </w:pPr>
          </w:p>
        </w:tc>
      </w:tr>
      <w:tr w14:paraId="359C8F3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235" w:type="pct"/>
            <w:gridSpan w:val="5"/>
            <w:vMerge w:val="restart"/>
            <w:tcBorders>
              <w:top w:val="nil"/>
              <w:left w:val="single" w:color="000000" w:sz="4" w:space="0"/>
              <w:bottom w:val="single" w:color="000000" w:sz="4" w:space="0"/>
              <w:right w:val="single" w:color="000000" w:sz="4" w:space="0"/>
            </w:tcBorders>
            <w:shd w:val="clear" w:color="auto" w:fill="FFFFFF"/>
            <w:tcMar>
              <w:top w:w="15" w:type="dxa"/>
              <w:left w:w="15" w:type="dxa"/>
              <w:bottom w:w="0" w:type="dxa"/>
              <w:right w:w="15" w:type="dxa"/>
            </w:tcMar>
            <w:vAlign w:val="top"/>
          </w:tcPr>
          <w:p w14:paraId="7EAACB16">
            <w:pPr>
              <w:pStyle w:val="5"/>
              <w:jc w:val="both"/>
              <w:rPr>
                <w:rFonts w:hint="eastAsia" w:ascii="宋体" w:hAnsi="宋体" w:eastAsia="宋体" w:cs="宋体"/>
                <w:highlight w:val="none"/>
              </w:rPr>
            </w:pPr>
            <w:r>
              <w:rPr>
                <w:rFonts w:hint="eastAsia" w:ascii="宋体" w:hAnsi="宋体" w:eastAsia="宋体" w:cs="宋体"/>
                <w:sz w:val="24"/>
                <w:highlight w:val="none"/>
              </w:rPr>
              <w:t xml:space="preserve"> </w:t>
            </w:r>
            <w:r>
              <w:rPr>
                <w:rFonts w:hint="eastAsia" w:ascii="宋体" w:hAnsi="宋体" w:eastAsia="宋体" w:cs="宋体"/>
                <w:color w:val="000000"/>
                <w:sz w:val="21"/>
                <w:highlight w:val="none"/>
              </w:rPr>
              <w:t>建设单位评价</w:t>
            </w:r>
          </w:p>
        </w:tc>
        <w:tc>
          <w:tcPr>
            <w:tcW w:w="145" w:type="pct"/>
            <w:tcBorders>
              <w:top w:val="nil"/>
              <w:left w:val="single" w:color="000000" w:sz="4" w:space="0"/>
              <w:bottom w:val="single" w:color="000000" w:sz="4" w:space="0"/>
              <w:right w:val="single" w:color="000000" w:sz="4" w:space="0"/>
            </w:tcBorders>
            <w:shd w:val="clear" w:color="auto" w:fill="FFFFFF"/>
            <w:tcMar>
              <w:top w:w="15" w:type="dxa"/>
              <w:left w:w="15" w:type="dxa"/>
              <w:bottom w:w="0" w:type="dxa"/>
              <w:right w:w="15" w:type="dxa"/>
            </w:tcMar>
            <w:vAlign w:val="top"/>
          </w:tcPr>
          <w:p w14:paraId="420F2A39">
            <w:pPr>
              <w:pStyle w:val="5"/>
              <w:jc w:val="left"/>
              <w:rPr>
                <w:rFonts w:hint="eastAsia" w:ascii="宋体" w:hAnsi="宋体" w:eastAsia="宋体" w:cs="宋体"/>
                <w:highlight w:val="none"/>
              </w:rPr>
            </w:pPr>
            <w:r>
              <w:rPr>
                <w:rFonts w:hint="eastAsia" w:ascii="宋体" w:hAnsi="宋体" w:eastAsia="宋体" w:cs="宋体"/>
                <w:color w:val="000000"/>
                <w:sz w:val="21"/>
                <w:highlight w:val="none"/>
              </w:rPr>
              <w:t>中介机构评审质量</w:t>
            </w:r>
          </w:p>
        </w:tc>
        <w:tc>
          <w:tcPr>
            <w:tcW w:w="799" w:type="pct"/>
            <w:tcBorders>
              <w:top w:val="nil"/>
              <w:left w:val="single" w:color="000000" w:sz="4" w:space="0"/>
              <w:bottom w:val="single" w:color="000000" w:sz="4" w:space="0"/>
              <w:right w:val="single" w:color="000000" w:sz="4" w:space="0"/>
            </w:tcBorders>
            <w:shd w:val="clear" w:color="auto" w:fill="FFFFFF"/>
            <w:tcMar>
              <w:top w:w="15" w:type="dxa"/>
              <w:left w:w="15" w:type="dxa"/>
              <w:bottom w:w="0" w:type="dxa"/>
              <w:right w:w="15" w:type="dxa"/>
            </w:tcMar>
            <w:vAlign w:val="top"/>
          </w:tcPr>
          <w:p w14:paraId="4A46A26F">
            <w:pPr>
              <w:pStyle w:val="5"/>
              <w:jc w:val="center"/>
              <w:rPr>
                <w:rFonts w:hint="eastAsia" w:ascii="宋体" w:hAnsi="宋体" w:eastAsia="宋体" w:cs="宋体"/>
                <w:highlight w:val="none"/>
              </w:rPr>
            </w:pPr>
            <w:r>
              <w:rPr>
                <w:rFonts w:hint="eastAsia" w:ascii="宋体" w:hAnsi="宋体" w:eastAsia="宋体" w:cs="宋体"/>
                <w:color w:val="000000"/>
                <w:sz w:val="21"/>
                <w:highlight w:val="none"/>
              </w:rPr>
              <w:t>满分40分</w:t>
            </w:r>
          </w:p>
        </w:tc>
        <w:tc>
          <w:tcPr>
            <w:tcW w:w="819" w:type="pct"/>
            <w:tcBorders>
              <w:top w:val="nil"/>
              <w:left w:val="single" w:color="000000" w:sz="4" w:space="0"/>
              <w:bottom w:val="single" w:color="000000" w:sz="4" w:space="0"/>
              <w:right w:val="single" w:color="000000" w:sz="4" w:space="0"/>
            </w:tcBorders>
            <w:shd w:val="clear" w:color="auto" w:fill="FFFFFF"/>
            <w:tcMar>
              <w:top w:w="15" w:type="dxa"/>
              <w:left w:w="15" w:type="dxa"/>
              <w:bottom w:w="0" w:type="dxa"/>
              <w:right w:w="15" w:type="dxa"/>
            </w:tcMar>
            <w:vAlign w:val="top"/>
          </w:tcPr>
          <w:p w14:paraId="0692242F">
            <w:pPr>
              <w:pStyle w:val="5"/>
              <w:jc w:val="left"/>
              <w:rPr>
                <w:rFonts w:hint="eastAsia" w:ascii="宋体" w:hAnsi="宋体" w:eastAsia="宋体" w:cs="宋体"/>
                <w:highlight w:val="none"/>
              </w:rPr>
            </w:pPr>
          </w:p>
        </w:tc>
      </w:tr>
      <w:tr w14:paraId="59977ED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235" w:type="pct"/>
            <w:gridSpan w:val="5"/>
            <w:vMerge w:val="continue"/>
            <w:tcBorders>
              <w:top w:val="nil"/>
              <w:left w:val="single" w:color="000000" w:sz="4" w:space="0"/>
              <w:bottom w:val="single" w:color="000000" w:sz="4" w:space="0"/>
              <w:right w:val="single" w:color="000000" w:sz="4" w:space="0"/>
            </w:tcBorders>
            <w:vAlign w:val="top"/>
          </w:tcPr>
          <w:p w14:paraId="5567EF4A">
            <w:pPr>
              <w:jc w:val="both"/>
              <w:rPr>
                <w:rFonts w:hint="eastAsia" w:ascii="宋体" w:hAnsi="宋体" w:eastAsia="宋体" w:cs="宋体"/>
                <w:highlight w:val="none"/>
              </w:rPr>
            </w:pPr>
          </w:p>
        </w:tc>
        <w:tc>
          <w:tcPr>
            <w:tcW w:w="145" w:type="pct"/>
            <w:tcBorders>
              <w:top w:val="nil"/>
              <w:left w:val="single" w:color="000000" w:sz="4" w:space="0"/>
              <w:bottom w:val="single" w:color="000000" w:sz="4" w:space="0"/>
              <w:right w:val="single" w:color="000000" w:sz="4" w:space="0"/>
            </w:tcBorders>
            <w:shd w:val="clear" w:color="auto" w:fill="FFFFFF"/>
            <w:tcMar>
              <w:top w:w="15" w:type="dxa"/>
              <w:left w:w="15" w:type="dxa"/>
              <w:bottom w:w="0" w:type="dxa"/>
              <w:right w:w="15" w:type="dxa"/>
            </w:tcMar>
            <w:vAlign w:val="top"/>
          </w:tcPr>
          <w:p w14:paraId="56FC2203">
            <w:pPr>
              <w:pStyle w:val="5"/>
              <w:jc w:val="left"/>
              <w:rPr>
                <w:rFonts w:hint="eastAsia" w:ascii="宋体" w:hAnsi="宋体" w:eastAsia="宋体" w:cs="宋体"/>
                <w:highlight w:val="none"/>
              </w:rPr>
            </w:pPr>
            <w:r>
              <w:rPr>
                <w:rFonts w:hint="eastAsia" w:ascii="宋体" w:hAnsi="宋体" w:eastAsia="宋体" w:cs="宋体"/>
                <w:color w:val="000000"/>
                <w:sz w:val="21"/>
                <w:highlight w:val="none"/>
              </w:rPr>
              <w:t>中介机构响应时间及评审效率</w:t>
            </w:r>
          </w:p>
        </w:tc>
        <w:tc>
          <w:tcPr>
            <w:tcW w:w="799" w:type="pct"/>
            <w:tcBorders>
              <w:top w:val="nil"/>
              <w:left w:val="single" w:color="000000" w:sz="4" w:space="0"/>
              <w:bottom w:val="single" w:color="000000" w:sz="4" w:space="0"/>
              <w:right w:val="single" w:color="000000" w:sz="4" w:space="0"/>
            </w:tcBorders>
            <w:shd w:val="clear" w:color="auto" w:fill="FFFFFF"/>
            <w:tcMar>
              <w:top w:w="15" w:type="dxa"/>
              <w:left w:w="15" w:type="dxa"/>
              <w:bottom w:w="0" w:type="dxa"/>
              <w:right w:w="15" w:type="dxa"/>
            </w:tcMar>
            <w:vAlign w:val="top"/>
          </w:tcPr>
          <w:p w14:paraId="31C20A8E">
            <w:pPr>
              <w:pStyle w:val="5"/>
              <w:jc w:val="center"/>
              <w:rPr>
                <w:rFonts w:hint="eastAsia" w:ascii="宋体" w:hAnsi="宋体" w:eastAsia="宋体" w:cs="宋体"/>
                <w:highlight w:val="none"/>
              </w:rPr>
            </w:pPr>
            <w:r>
              <w:rPr>
                <w:rFonts w:hint="eastAsia" w:ascii="宋体" w:hAnsi="宋体" w:eastAsia="宋体" w:cs="宋体"/>
                <w:color w:val="000000"/>
                <w:sz w:val="21"/>
                <w:highlight w:val="none"/>
              </w:rPr>
              <w:t>满分40分</w:t>
            </w:r>
          </w:p>
        </w:tc>
        <w:tc>
          <w:tcPr>
            <w:tcW w:w="819" w:type="pct"/>
            <w:tcBorders>
              <w:top w:val="nil"/>
              <w:left w:val="single" w:color="000000" w:sz="4" w:space="0"/>
              <w:bottom w:val="single" w:color="000000" w:sz="4" w:space="0"/>
              <w:right w:val="single" w:color="000000" w:sz="4" w:space="0"/>
            </w:tcBorders>
            <w:shd w:val="clear" w:color="auto" w:fill="FFFFFF"/>
            <w:tcMar>
              <w:top w:w="15" w:type="dxa"/>
              <w:left w:w="15" w:type="dxa"/>
              <w:bottom w:w="0" w:type="dxa"/>
              <w:right w:w="15" w:type="dxa"/>
            </w:tcMar>
            <w:vAlign w:val="top"/>
          </w:tcPr>
          <w:p w14:paraId="247AECDE">
            <w:pPr>
              <w:pStyle w:val="5"/>
              <w:jc w:val="left"/>
              <w:rPr>
                <w:rFonts w:hint="eastAsia" w:ascii="宋体" w:hAnsi="宋体" w:eastAsia="宋体" w:cs="宋体"/>
                <w:highlight w:val="none"/>
              </w:rPr>
            </w:pPr>
          </w:p>
        </w:tc>
      </w:tr>
      <w:tr w14:paraId="084A8FF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235" w:type="pct"/>
            <w:gridSpan w:val="5"/>
            <w:vMerge w:val="continue"/>
            <w:tcBorders>
              <w:top w:val="nil"/>
              <w:left w:val="single" w:color="000000" w:sz="4" w:space="0"/>
              <w:bottom w:val="single" w:color="000000" w:sz="4" w:space="0"/>
              <w:right w:val="single" w:color="000000" w:sz="4" w:space="0"/>
            </w:tcBorders>
            <w:vAlign w:val="top"/>
          </w:tcPr>
          <w:p w14:paraId="68F2F6FC">
            <w:pPr>
              <w:jc w:val="both"/>
              <w:rPr>
                <w:rFonts w:hint="eastAsia" w:ascii="宋体" w:hAnsi="宋体" w:eastAsia="宋体" w:cs="宋体"/>
                <w:highlight w:val="none"/>
              </w:rPr>
            </w:pPr>
          </w:p>
        </w:tc>
        <w:tc>
          <w:tcPr>
            <w:tcW w:w="145" w:type="pct"/>
            <w:tcBorders>
              <w:top w:val="nil"/>
              <w:left w:val="single" w:color="000000" w:sz="4" w:space="0"/>
              <w:bottom w:val="single" w:color="000000" w:sz="4" w:space="0"/>
              <w:right w:val="single" w:color="000000" w:sz="4" w:space="0"/>
            </w:tcBorders>
            <w:shd w:val="clear" w:color="auto" w:fill="FFFFFF"/>
            <w:tcMar>
              <w:top w:w="15" w:type="dxa"/>
              <w:left w:w="15" w:type="dxa"/>
              <w:bottom w:w="0" w:type="dxa"/>
              <w:right w:w="15" w:type="dxa"/>
            </w:tcMar>
            <w:vAlign w:val="top"/>
          </w:tcPr>
          <w:p w14:paraId="4DD6FC9D">
            <w:pPr>
              <w:pStyle w:val="5"/>
              <w:jc w:val="left"/>
              <w:rPr>
                <w:rFonts w:hint="eastAsia" w:ascii="宋体" w:hAnsi="宋体" w:eastAsia="宋体" w:cs="宋体"/>
                <w:highlight w:val="none"/>
              </w:rPr>
            </w:pPr>
            <w:r>
              <w:rPr>
                <w:rFonts w:hint="eastAsia" w:ascii="宋体" w:hAnsi="宋体" w:eastAsia="宋体" w:cs="宋体"/>
                <w:color w:val="000000"/>
                <w:sz w:val="21"/>
                <w:highlight w:val="none"/>
              </w:rPr>
              <w:t>中介机构评审人员服务态度</w:t>
            </w:r>
          </w:p>
        </w:tc>
        <w:tc>
          <w:tcPr>
            <w:tcW w:w="799" w:type="pct"/>
            <w:tcBorders>
              <w:top w:val="nil"/>
              <w:left w:val="single" w:color="000000" w:sz="4" w:space="0"/>
              <w:bottom w:val="single" w:color="000000" w:sz="4" w:space="0"/>
              <w:right w:val="single" w:color="000000" w:sz="4" w:space="0"/>
            </w:tcBorders>
            <w:shd w:val="clear" w:color="auto" w:fill="FFFFFF"/>
            <w:tcMar>
              <w:top w:w="15" w:type="dxa"/>
              <w:left w:w="15" w:type="dxa"/>
              <w:bottom w:w="0" w:type="dxa"/>
              <w:right w:w="15" w:type="dxa"/>
            </w:tcMar>
            <w:vAlign w:val="top"/>
          </w:tcPr>
          <w:p w14:paraId="7EFB06B5">
            <w:pPr>
              <w:pStyle w:val="5"/>
              <w:jc w:val="center"/>
              <w:rPr>
                <w:rFonts w:hint="eastAsia" w:ascii="宋体" w:hAnsi="宋体" w:eastAsia="宋体" w:cs="宋体"/>
                <w:highlight w:val="none"/>
              </w:rPr>
            </w:pPr>
            <w:r>
              <w:rPr>
                <w:rFonts w:hint="eastAsia" w:ascii="宋体" w:hAnsi="宋体" w:eastAsia="宋体" w:cs="宋体"/>
                <w:color w:val="000000"/>
                <w:sz w:val="21"/>
                <w:highlight w:val="none"/>
              </w:rPr>
              <w:t>满分20分</w:t>
            </w:r>
          </w:p>
        </w:tc>
        <w:tc>
          <w:tcPr>
            <w:tcW w:w="819" w:type="pct"/>
            <w:tcBorders>
              <w:top w:val="nil"/>
              <w:left w:val="single" w:color="000000" w:sz="4" w:space="0"/>
              <w:bottom w:val="single" w:color="000000" w:sz="4" w:space="0"/>
              <w:right w:val="single" w:color="000000" w:sz="4" w:space="0"/>
            </w:tcBorders>
            <w:shd w:val="clear" w:color="auto" w:fill="FFFFFF"/>
            <w:tcMar>
              <w:top w:w="15" w:type="dxa"/>
              <w:left w:w="15" w:type="dxa"/>
              <w:bottom w:w="0" w:type="dxa"/>
              <w:right w:w="15" w:type="dxa"/>
            </w:tcMar>
            <w:vAlign w:val="top"/>
          </w:tcPr>
          <w:p w14:paraId="643DFE24">
            <w:pPr>
              <w:pStyle w:val="5"/>
              <w:jc w:val="left"/>
              <w:rPr>
                <w:rFonts w:hint="eastAsia" w:ascii="宋体" w:hAnsi="宋体" w:eastAsia="宋体" w:cs="宋体"/>
                <w:highlight w:val="none"/>
              </w:rPr>
            </w:pPr>
          </w:p>
        </w:tc>
      </w:tr>
      <w:tr w14:paraId="3DB0239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235" w:type="pct"/>
            <w:gridSpan w:val="5"/>
            <w:tcBorders>
              <w:top w:val="nil"/>
              <w:left w:val="single" w:color="000000" w:sz="4" w:space="0"/>
              <w:bottom w:val="single" w:color="000000" w:sz="4" w:space="0"/>
              <w:right w:val="single" w:color="000000" w:sz="4" w:space="0"/>
            </w:tcBorders>
            <w:shd w:val="clear" w:color="auto" w:fill="FFFFFF"/>
            <w:tcMar>
              <w:top w:w="15" w:type="dxa"/>
              <w:left w:w="15" w:type="dxa"/>
              <w:bottom w:w="0" w:type="dxa"/>
              <w:right w:w="15" w:type="dxa"/>
            </w:tcMar>
            <w:vAlign w:val="top"/>
          </w:tcPr>
          <w:p w14:paraId="1B66A001">
            <w:pPr>
              <w:pStyle w:val="5"/>
              <w:jc w:val="both"/>
              <w:rPr>
                <w:rFonts w:hint="eastAsia" w:ascii="宋体" w:hAnsi="宋体" w:eastAsia="宋体" w:cs="宋体"/>
                <w:highlight w:val="none"/>
              </w:rPr>
            </w:pPr>
            <w:r>
              <w:rPr>
                <w:rFonts w:hint="eastAsia" w:ascii="宋体" w:hAnsi="宋体" w:eastAsia="宋体" w:cs="宋体"/>
                <w:color w:val="000000"/>
                <w:sz w:val="21"/>
                <w:highlight w:val="none"/>
              </w:rPr>
              <w:t xml:space="preserve">   合计</w:t>
            </w:r>
          </w:p>
        </w:tc>
        <w:tc>
          <w:tcPr>
            <w:tcW w:w="944" w:type="pct"/>
            <w:gridSpan w:val="2"/>
            <w:tcBorders>
              <w:top w:val="nil"/>
              <w:left w:val="single" w:color="000000" w:sz="4" w:space="0"/>
              <w:bottom w:val="single" w:color="000000" w:sz="4" w:space="0"/>
              <w:right w:val="single" w:color="000000" w:sz="4" w:space="0"/>
            </w:tcBorders>
            <w:shd w:val="clear" w:color="auto" w:fill="FFFFFF"/>
            <w:tcMar>
              <w:top w:w="15" w:type="dxa"/>
              <w:left w:w="15" w:type="dxa"/>
              <w:bottom w:w="0" w:type="dxa"/>
              <w:right w:w="15" w:type="dxa"/>
            </w:tcMar>
            <w:vAlign w:val="top"/>
          </w:tcPr>
          <w:p w14:paraId="09D4FCBF">
            <w:pPr>
              <w:pStyle w:val="5"/>
              <w:jc w:val="center"/>
              <w:rPr>
                <w:rFonts w:hint="eastAsia" w:ascii="宋体" w:hAnsi="宋体" w:eastAsia="宋体" w:cs="宋体"/>
                <w:highlight w:val="none"/>
              </w:rPr>
            </w:pPr>
            <w:r>
              <w:rPr>
                <w:rFonts w:hint="eastAsia" w:ascii="宋体" w:hAnsi="宋体" w:eastAsia="宋体" w:cs="宋体"/>
                <w:color w:val="000000"/>
                <w:sz w:val="21"/>
                <w:highlight w:val="none"/>
              </w:rPr>
              <w:t>总得分=财政单个项目评分得分×80%+建设单个项目服务评价考核得分×20%</w:t>
            </w:r>
          </w:p>
        </w:tc>
        <w:tc>
          <w:tcPr>
            <w:tcW w:w="819" w:type="pct"/>
            <w:tcBorders>
              <w:top w:val="nil"/>
              <w:left w:val="single" w:color="000000" w:sz="4" w:space="0"/>
              <w:bottom w:val="single" w:color="000000" w:sz="4" w:space="0"/>
              <w:right w:val="single" w:color="000000" w:sz="4" w:space="0"/>
            </w:tcBorders>
            <w:shd w:val="clear" w:color="auto" w:fill="FFFFFF"/>
            <w:tcMar>
              <w:top w:w="15" w:type="dxa"/>
              <w:left w:w="15" w:type="dxa"/>
              <w:bottom w:w="0" w:type="dxa"/>
              <w:right w:w="15" w:type="dxa"/>
            </w:tcMar>
            <w:vAlign w:val="top"/>
          </w:tcPr>
          <w:p w14:paraId="1E0F651C">
            <w:pPr>
              <w:pStyle w:val="5"/>
              <w:jc w:val="both"/>
              <w:rPr>
                <w:rFonts w:hint="eastAsia" w:ascii="宋体" w:hAnsi="宋体" w:eastAsia="宋体" w:cs="宋体"/>
                <w:highlight w:val="none"/>
              </w:rPr>
            </w:pPr>
          </w:p>
        </w:tc>
      </w:tr>
    </w:tbl>
    <w:p w14:paraId="49AEC7EE">
      <w:pPr>
        <w:pStyle w:val="5"/>
        <w:jc w:val="both"/>
        <w:rPr>
          <w:rFonts w:hint="eastAsia" w:ascii="宋体" w:hAnsi="宋体" w:eastAsia="宋体" w:cs="宋体"/>
          <w:sz w:val="21"/>
          <w:highlight w:val="none"/>
        </w:rPr>
      </w:pPr>
    </w:p>
    <w:p w14:paraId="127885D2">
      <w:pPr>
        <w:pStyle w:val="5"/>
        <w:jc w:val="both"/>
        <w:rPr>
          <w:rFonts w:hint="eastAsia" w:ascii="宋体" w:hAnsi="宋体" w:eastAsia="宋体" w:cs="宋体"/>
          <w:highlight w:val="none"/>
        </w:rPr>
      </w:pPr>
      <w:r>
        <w:rPr>
          <w:rFonts w:hint="eastAsia" w:ascii="宋体" w:hAnsi="宋体" w:eastAsia="宋体" w:cs="宋体"/>
          <w:sz w:val="21"/>
          <w:highlight w:val="none"/>
        </w:rPr>
        <w:t>3.决算审核中介机构单项评审工作考核评分（详见下表）</w:t>
      </w:r>
    </w:p>
    <w:tbl>
      <w:tblPr>
        <w:tblStyle w:val="3"/>
        <w:tblW w:w="8304" w:type="dxa"/>
        <w:tblInd w:w="12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
        <w:gridCol w:w="240"/>
        <w:gridCol w:w="831"/>
        <w:gridCol w:w="1464"/>
        <w:gridCol w:w="291"/>
        <w:gridCol w:w="1419"/>
        <w:gridCol w:w="3081"/>
        <w:gridCol w:w="738"/>
      </w:tblGrid>
      <w:tr w14:paraId="77781D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04" w:type="dxa"/>
            <w:gridSpan w:val="8"/>
            <w:shd w:val="clear" w:color="auto" w:fill="FFFFFF"/>
            <w:tcMar>
              <w:top w:w="15" w:type="dxa"/>
              <w:left w:w="15" w:type="dxa"/>
              <w:bottom w:w="0" w:type="dxa"/>
              <w:right w:w="15" w:type="dxa"/>
            </w:tcMar>
            <w:vAlign w:val="top"/>
          </w:tcPr>
          <w:p w14:paraId="333D9FB9">
            <w:pPr>
              <w:pStyle w:val="5"/>
              <w:jc w:val="center"/>
              <w:rPr>
                <w:rFonts w:hint="eastAsia" w:ascii="宋体" w:hAnsi="宋体" w:eastAsia="宋体" w:cs="宋体"/>
                <w:color w:val="000000"/>
                <w:sz w:val="21"/>
                <w:highlight w:val="none"/>
              </w:rPr>
            </w:pPr>
            <w:r>
              <w:rPr>
                <w:rFonts w:hint="eastAsia" w:ascii="宋体" w:hAnsi="宋体" w:eastAsia="宋体" w:cs="宋体"/>
                <w:color w:val="000000"/>
                <w:sz w:val="21"/>
                <w:highlight w:val="none"/>
                <w:lang w:eastAsia="zh-CN"/>
              </w:rPr>
              <w:t>佛山市三水区乐平镇财政和公有资产管理办公室2026-2029年度工程造价咨询服务项目</w:t>
            </w:r>
            <w:r>
              <w:rPr>
                <w:rFonts w:hint="eastAsia" w:ascii="宋体" w:hAnsi="宋体" w:eastAsia="宋体" w:cs="宋体"/>
                <w:sz w:val="21"/>
                <w:highlight w:val="none"/>
              </w:rPr>
              <w:t>决算审核</w:t>
            </w:r>
            <w:r>
              <w:rPr>
                <w:rFonts w:hint="eastAsia" w:ascii="宋体" w:hAnsi="宋体" w:eastAsia="宋体" w:cs="宋体"/>
                <w:color w:val="000000"/>
                <w:sz w:val="21"/>
                <w:highlight w:val="none"/>
              </w:rPr>
              <w:t>中介机构单项评审工作考核表（100分）</w:t>
            </w:r>
          </w:p>
        </w:tc>
      </w:tr>
      <w:tr w14:paraId="32019E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1" w:type="dxa"/>
            <w:gridSpan w:val="3"/>
            <w:shd w:val="clear" w:color="auto" w:fill="FFFFFF"/>
            <w:tcMar>
              <w:top w:w="15" w:type="dxa"/>
              <w:left w:w="15" w:type="dxa"/>
              <w:bottom w:w="0" w:type="dxa"/>
              <w:right w:w="15" w:type="dxa"/>
            </w:tcMar>
            <w:vAlign w:val="top"/>
          </w:tcPr>
          <w:p w14:paraId="19500720">
            <w:pPr>
              <w:pStyle w:val="5"/>
              <w:jc w:val="center"/>
              <w:rPr>
                <w:rFonts w:hint="eastAsia" w:ascii="宋体" w:hAnsi="宋体" w:eastAsia="宋体" w:cs="宋体"/>
                <w:color w:val="000000"/>
                <w:sz w:val="21"/>
                <w:highlight w:val="none"/>
              </w:rPr>
            </w:pPr>
            <w:r>
              <w:rPr>
                <w:rFonts w:hint="eastAsia" w:ascii="宋体" w:hAnsi="宋体" w:eastAsia="宋体" w:cs="宋体"/>
                <w:color w:val="000000"/>
                <w:sz w:val="21"/>
                <w:highlight w:val="none"/>
              </w:rPr>
              <w:t>中介机构名称</w:t>
            </w:r>
          </w:p>
        </w:tc>
        <w:tc>
          <w:tcPr>
            <w:tcW w:w="6255" w:type="dxa"/>
            <w:gridSpan w:val="4"/>
            <w:shd w:val="clear" w:color="auto" w:fill="FFFFFF"/>
            <w:tcMar>
              <w:top w:w="15" w:type="dxa"/>
              <w:left w:w="15" w:type="dxa"/>
              <w:bottom w:w="0" w:type="dxa"/>
              <w:right w:w="15" w:type="dxa"/>
            </w:tcMar>
            <w:vAlign w:val="top"/>
          </w:tcPr>
          <w:p w14:paraId="724BF44B">
            <w:pPr>
              <w:pStyle w:val="5"/>
              <w:jc w:val="center"/>
              <w:rPr>
                <w:rFonts w:hint="eastAsia" w:ascii="宋体" w:hAnsi="宋体" w:eastAsia="宋体" w:cs="宋体"/>
                <w:color w:val="000000"/>
                <w:sz w:val="21"/>
                <w:highlight w:val="none"/>
              </w:rPr>
            </w:pPr>
          </w:p>
        </w:tc>
        <w:tc>
          <w:tcPr>
            <w:tcW w:w="738" w:type="dxa"/>
            <w:shd w:val="clear" w:color="auto" w:fill="FFFFFF"/>
            <w:tcMar>
              <w:top w:w="15" w:type="dxa"/>
              <w:left w:w="15" w:type="dxa"/>
              <w:bottom w:w="0" w:type="dxa"/>
              <w:right w:w="15" w:type="dxa"/>
            </w:tcMar>
            <w:vAlign w:val="top"/>
          </w:tcPr>
          <w:p w14:paraId="64734F50">
            <w:pPr>
              <w:pStyle w:val="5"/>
              <w:jc w:val="center"/>
              <w:rPr>
                <w:rFonts w:hint="eastAsia" w:ascii="宋体" w:hAnsi="宋体" w:eastAsia="宋体" w:cs="宋体"/>
                <w:color w:val="000000"/>
                <w:sz w:val="21"/>
                <w:highlight w:val="none"/>
              </w:rPr>
            </w:pPr>
          </w:p>
        </w:tc>
      </w:tr>
      <w:tr w14:paraId="153824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1" w:type="dxa"/>
            <w:gridSpan w:val="3"/>
            <w:shd w:val="clear" w:color="auto" w:fill="FFFFFF"/>
            <w:tcMar>
              <w:top w:w="15" w:type="dxa"/>
              <w:left w:w="15" w:type="dxa"/>
              <w:bottom w:w="0" w:type="dxa"/>
              <w:right w:w="15" w:type="dxa"/>
            </w:tcMar>
            <w:vAlign w:val="top"/>
          </w:tcPr>
          <w:p w14:paraId="4579AB71">
            <w:pPr>
              <w:pStyle w:val="5"/>
              <w:jc w:val="center"/>
              <w:rPr>
                <w:rFonts w:hint="eastAsia" w:ascii="宋体" w:hAnsi="宋体" w:eastAsia="宋体" w:cs="宋体"/>
                <w:color w:val="000000"/>
                <w:sz w:val="21"/>
                <w:highlight w:val="none"/>
              </w:rPr>
            </w:pPr>
            <w:r>
              <w:rPr>
                <w:rFonts w:hint="eastAsia" w:ascii="宋体" w:hAnsi="宋体" w:eastAsia="宋体" w:cs="宋体"/>
                <w:color w:val="000000"/>
                <w:sz w:val="21"/>
                <w:highlight w:val="none"/>
              </w:rPr>
              <w:t>评审项目名称</w:t>
            </w:r>
          </w:p>
        </w:tc>
        <w:tc>
          <w:tcPr>
            <w:tcW w:w="6255" w:type="dxa"/>
            <w:gridSpan w:val="4"/>
            <w:shd w:val="clear" w:color="auto" w:fill="FFFFFF"/>
            <w:tcMar>
              <w:top w:w="15" w:type="dxa"/>
              <w:left w:w="15" w:type="dxa"/>
              <w:bottom w:w="0" w:type="dxa"/>
              <w:right w:w="15" w:type="dxa"/>
            </w:tcMar>
            <w:vAlign w:val="top"/>
          </w:tcPr>
          <w:p w14:paraId="1C08F208">
            <w:pPr>
              <w:pStyle w:val="5"/>
              <w:jc w:val="center"/>
              <w:rPr>
                <w:rFonts w:hint="eastAsia" w:ascii="宋体" w:hAnsi="宋体" w:eastAsia="宋体" w:cs="宋体"/>
                <w:color w:val="000000"/>
                <w:sz w:val="21"/>
                <w:highlight w:val="none"/>
              </w:rPr>
            </w:pPr>
          </w:p>
        </w:tc>
        <w:tc>
          <w:tcPr>
            <w:tcW w:w="738" w:type="dxa"/>
            <w:shd w:val="clear" w:color="auto" w:fill="FFFFFF"/>
            <w:tcMar>
              <w:top w:w="15" w:type="dxa"/>
              <w:left w:w="15" w:type="dxa"/>
              <w:bottom w:w="0" w:type="dxa"/>
              <w:right w:w="15" w:type="dxa"/>
            </w:tcMar>
            <w:vAlign w:val="top"/>
          </w:tcPr>
          <w:p w14:paraId="7603CD56">
            <w:pPr>
              <w:pStyle w:val="5"/>
              <w:jc w:val="center"/>
              <w:rPr>
                <w:rFonts w:hint="eastAsia" w:ascii="宋体" w:hAnsi="宋体" w:eastAsia="宋体" w:cs="宋体"/>
                <w:color w:val="000000"/>
                <w:sz w:val="21"/>
                <w:highlight w:val="none"/>
              </w:rPr>
            </w:pPr>
          </w:p>
        </w:tc>
      </w:tr>
      <w:tr w14:paraId="5A8FFC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1" w:type="dxa"/>
            <w:gridSpan w:val="3"/>
            <w:shd w:val="clear" w:color="auto" w:fill="FFFFFF"/>
            <w:tcMar>
              <w:top w:w="15" w:type="dxa"/>
              <w:left w:w="15" w:type="dxa"/>
              <w:bottom w:w="0" w:type="dxa"/>
              <w:right w:w="15" w:type="dxa"/>
            </w:tcMar>
            <w:vAlign w:val="top"/>
          </w:tcPr>
          <w:p w14:paraId="1F9D1F7F">
            <w:pPr>
              <w:pStyle w:val="5"/>
              <w:jc w:val="center"/>
              <w:rPr>
                <w:rFonts w:hint="eastAsia" w:ascii="宋体" w:hAnsi="宋体" w:eastAsia="宋体" w:cs="宋体"/>
                <w:color w:val="000000"/>
                <w:sz w:val="21"/>
                <w:highlight w:val="none"/>
              </w:rPr>
            </w:pPr>
            <w:r>
              <w:rPr>
                <w:rFonts w:hint="eastAsia" w:ascii="宋体" w:hAnsi="宋体" w:eastAsia="宋体" w:cs="宋体"/>
                <w:color w:val="000000"/>
                <w:sz w:val="21"/>
                <w:highlight w:val="none"/>
              </w:rPr>
              <w:t>送审金额</w:t>
            </w:r>
          </w:p>
        </w:tc>
        <w:tc>
          <w:tcPr>
            <w:tcW w:w="1464" w:type="dxa"/>
            <w:shd w:val="clear" w:color="auto" w:fill="FFFFFF"/>
            <w:tcMar>
              <w:top w:w="15" w:type="dxa"/>
              <w:left w:w="15" w:type="dxa"/>
              <w:bottom w:w="0" w:type="dxa"/>
              <w:right w:w="15" w:type="dxa"/>
            </w:tcMar>
            <w:vAlign w:val="top"/>
          </w:tcPr>
          <w:p w14:paraId="61A4FCDC">
            <w:pPr>
              <w:pStyle w:val="5"/>
              <w:jc w:val="center"/>
              <w:rPr>
                <w:rFonts w:hint="eastAsia" w:ascii="宋体" w:hAnsi="宋体" w:eastAsia="宋体" w:cs="宋体"/>
                <w:color w:val="000000"/>
                <w:sz w:val="21"/>
                <w:highlight w:val="none"/>
              </w:rPr>
            </w:pPr>
          </w:p>
        </w:tc>
        <w:tc>
          <w:tcPr>
            <w:tcW w:w="1710" w:type="dxa"/>
            <w:gridSpan w:val="2"/>
            <w:shd w:val="clear" w:color="auto" w:fill="FFFFFF"/>
            <w:tcMar>
              <w:top w:w="15" w:type="dxa"/>
              <w:left w:w="15" w:type="dxa"/>
              <w:bottom w:w="0" w:type="dxa"/>
              <w:right w:w="15" w:type="dxa"/>
            </w:tcMar>
            <w:vAlign w:val="top"/>
          </w:tcPr>
          <w:p w14:paraId="28B8D158">
            <w:pPr>
              <w:pStyle w:val="5"/>
              <w:jc w:val="center"/>
              <w:rPr>
                <w:rFonts w:hint="eastAsia" w:ascii="宋体" w:hAnsi="宋体" w:eastAsia="宋体" w:cs="宋体"/>
                <w:color w:val="000000"/>
                <w:sz w:val="21"/>
                <w:highlight w:val="none"/>
              </w:rPr>
            </w:pPr>
            <w:r>
              <w:rPr>
                <w:rFonts w:hint="eastAsia" w:ascii="宋体" w:hAnsi="宋体" w:eastAsia="宋体" w:cs="宋体"/>
                <w:color w:val="000000"/>
                <w:sz w:val="21"/>
                <w:highlight w:val="none"/>
              </w:rPr>
              <w:t>评审开始时间</w:t>
            </w:r>
          </w:p>
        </w:tc>
        <w:tc>
          <w:tcPr>
            <w:tcW w:w="3819" w:type="dxa"/>
            <w:gridSpan w:val="2"/>
            <w:shd w:val="clear" w:color="auto" w:fill="FFFFFF"/>
            <w:tcMar>
              <w:top w:w="15" w:type="dxa"/>
              <w:left w:w="15" w:type="dxa"/>
              <w:bottom w:w="0" w:type="dxa"/>
              <w:right w:w="15" w:type="dxa"/>
            </w:tcMar>
            <w:vAlign w:val="top"/>
          </w:tcPr>
          <w:p w14:paraId="53ED16DC">
            <w:pPr>
              <w:pStyle w:val="5"/>
              <w:jc w:val="center"/>
              <w:rPr>
                <w:rFonts w:hint="eastAsia" w:ascii="宋体" w:hAnsi="宋体" w:eastAsia="宋体" w:cs="宋体"/>
                <w:color w:val="000000"/>
                <w:sz w:val="21"/>
                <w:highlight w:val="none"/>
              </w:rPr>
            </w:pPr>
          </w:p>
        </w:tc>
      </w:tr>
      <w:tr w14:paraId="160E14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1" w:type="dxa"/>
            <w:gridSpan w:val="3"/>
            <w:shd w:val="clear" w:color="auto" w:fill="FFFFFF"/>
            <w:tcMar>
              <w:top w:w="15" w:type="dxa"/>
              <w:left w:w="15" w:type="dxa"/>
              <w:bottom w:w="0" w:type="dxa"/>
              <w:right w:w="15" w:type="dxa"/>
            </w:tcMar>
            <w:vAlign w:val="top"/>
          </w:tcPr>
          <w:p w14:paraId="3291B70B">
            <w:pPr>
              <w:pStyle w:val="5"/>
              <w:jc w:val="center"/>
              <w:rPr>
                <w:rFonts w:hint="eastAsia" w:ascii="宋体" w:hAnsi="宋体" w:eastAsia="宋体" w:cs="宋体"/>
                <w:color w:val="000000"/>
                <w:sz w:val="21"/>
                <w:highlight w:val="none"/>
              </w:rPr>
            </w:pPr>
            <w:r>
              <w:rPr>
                <w:rFonts w:hint="eastAsia" w:ascii="宋体" w:hAnsi="宋体" w:eastAsia="宋体" w:cs="宋体"/>
                <w:color w:val="000000"/>
                <w:sz w:val="21"/>
                <w:highlight w:val="none"/>
              </w:rPr>
              <w:t>审定金额</w:t>
            </w:r>
          </w:p>
        </w:tc>
        <w:tc>
          <w:tcPr>
            <w:tcW w:w="1464" w:type="dxa"/>
            <w:shd w:val="clear" w:color="auto" w:fill="FFFFFF"/>
            <w:tcMar>
              <w:top w:w="15" w:type="dxa"/>
              <w:left w:w="15" w:type="dxa"/>
              <w:bottom w:w="0" w:type="dxa"/>
              <w:right w:w="15" w:type="dxa"/>
            </w:tcMar>
            <w:vAlign w:val="top"/>
          </w:tcPr>
          <w:p w14:paraId="137F5E41">
            <w:pPr>
              <w:pStyle w:val="5"/>
              <w:jc w:val="center"/>
              <w:rPr>
                <w:rFonts w:hint="eastAsia" w:ascii="宋体" w:hAnsi="宋体" w:eastAsia="宋体" w:cs="宋体"/>
                <w:color w:val="000000"/>
                <w:sz w:val="21"/>
                <w:highlight w:val="none"/>
              </w:rPr>
            </w:pPr>
          </w:p>
        </w:tc>
        <w:tc>
          <w:tcPr>
            <w:tcW w:w="1710" w:type="dxa"/>
            <w:gridSpan w:val="2"/>
            <w:shd w:val="clear" w:color="auto" w:fill="FFFFFF"/>
            <w:tcMar>
              <w:top w:w="15" w:type="dxa"/>
              <w:left w:w="15" w:type="dxa"/>
              <w:bottom w:w="0" w:type="dxa"/>
              <w:right w:w="15" w:type="dxa"/>
            </w:tcMar>
            <w:vAlign w:val="top"/>
          </w:tcPr>
          <w:p w14:paraId="57DA2855">
            <w:pPr>
              <w:pStyle w:val="5"/>
              <w:jc w:val="center"/>
              <w:rPr>
                <w:rFonts w:hint="eastAsia" w:ascii="宋体" w:hAnsi="宋体" w:eastAsia="宋体" w:cs="宋体"/>
                <w:color w:val="000000"/>
                <w:sz w:val="21"/>
                <w:highlight w:val="none"/>
              </w:rPr>
            </w:pPr>
            <w:r>
              <w:rPr>
                <w:rFonts w:hint="eastAsia" w:ascii="宋体" w:hAnsi="宋体" w:eastAsia="宋体" w:cs="宋体"/>
                <w:color w:val="000000"/>
                <w:sz w:val="21"/>
                <w:highlight w:val="none"/>
              </w:rPr>
              <w:t>出具初稿时间</w:t>
            </w:r>
          </w:p>
        </w:tc>
        <w:tc>
          <w:tcPr>
            <w:tcW w:w="3819" w:type="dxa"/>
            <w:gridSpan w:val="2"/>
            <w:shd w:val="clear" w:color="auto" w:fill="FFFFFF"/>
            <w:tcMar>
              <w:top w:w="15" w:type="dxa"/>
              <w:left w:w="15" w:type="dxa"/>
              <w:bottom w:w="0" w:type="dxa"/>
              <w:right w:w="15" w:type="dxa"/>
            </w:tcMar>
            <w:vAlign w:val="top"/>
          </w:tcPr>
          <w:p w14:paraId="615DB6C0">
            <w:pPr>
              <w:pStyle w:val="5"/>
              <w:jc w:val="center"/>
              <w:rPr>
                <w:rFonts w:hint="eastAsia" w:ascii="宋体" w:hAnsi="宋体" w:eastAsia="宋体" w:cs="宋体"/>
                <w:color w:val="000000"/>
                <w:sz w:val="21"/>
                <w:highlight w:val="none"/>
              </w:rPr>
            </w:pPr>
          </w:p>
        </w:tc>
      </w:tr>
      <w:tr w14:paraId="557A83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trPr>
        <w:tc>
          <w:tcPr>
            <w:tcW w:w="1311" w:type="dxa"/>
            <w:gridSpan w:val="3"/>
            <w:shd w:val="clear" w:color="auto" w:fill="FFFFFF"/>
            <w:tcMar>
              <w:top w:w="15" w:type="dxa"/>
              <w:left w:w="15" w:type="dxa"/>
              <w:bottom w:w="0" w:type="dxa"/>
              <w:right w:w="15" w:type="dxa"/>
            </w:tcMar>
            <w:vAlign w:val="top"/>
          </w:tcPr>
          <w:p w14:paraId="6D021A04">
            <w:pPr>
              <w:pStyle w:val="5"/>
              <w:jc w:val="center"/>
              <w:rPr>
                <w:rFonts w:hint="eastAsia" w:ascii="宋体" w:hAnsi="宋体" w:eastAsia="宋体" w:cs="宋体"/>
                <w:color w:val="000000"/>
                <w:sz w:val="21"/>
                <w:highlight w:val="none"/>
              </w:rPr>
            </w:pPr>
            <w:r>
              <w:rPr>
                <w:rFonts w:hint="eastAsia" w:ascii="宋体" w:hAnsi="宋体" w:eastAsia="宋体" w:cs="宋体"/>
                <w:color w:val="000000"/>
                <w:sz w:val="21"/>
                <w:highlight w:val="none"/>
              </w:rPr>
              <w:t>核减率</w:t>
            </w:r>
          </w:p>
        </w:tc>
        <w:tc>
          <w:tcPr>
            <w:tcW w:w="1464" w:type="dxa"/>
            <w:shd w:val="clear" w:color="auto" w:fill="FFFFFF"/>
            <w:tcMar>
              <w:top w:w="15" w:type="dxa"/>
              <w:left w:w="15" w:type="dxa"/>
              <w:bottom w:w="0" w:type="dxa"/>
              <w:right w:w="15" w:type="dxa"/>
            </w:tcMar>
            <w:vAlign w:val="top"/>
          </w:tcPr>
          <w:p w14:paraId="307040A8">
            <w:pPr>
              <w:pStyle w:val="5"/>
              <w:jc w:val="center"/>
              <w:rPr>
                <w:rFonts w:hint="eastAsia" w:ascii="宋体" w:hAnsi="宋体" w:eastAsia="宋体" w:cs="宋体"/>
                <w:color w:val="000000"/>
                <w:sz w:val="21"/>
                <w:highlight w:val="none"/>
              </w:rPr>
            </w:pPr>
          </w:p>
        </w:tc>
        <w:tc>
          <w:tcPr>
            <w:tcW w:w="1710" w:type="dxa"/>
            <w:gridSpan w:val="2"/>
            <w:shd w:val="clear" w:color="auto" w:fill="FFFFFF"/>
            <w:tcMar>
              <w:top w:w="15" w:type="dxa"/>
              <w:left w:w="15" w:type="dxa"/>
              <w:bottom w:w="0" w:type="dxa"/>
              <w:right w:w="15" w:type="dxa"/>
            </w:tcMar>
            <w:vAlign w:val="top"/>
          </w:tcPr>
          <w:p w14:paraId="3F44A075">
            <w:pPr>
              <w:pStyle w:val="5"/>
              <w:jc w:val="center"/>
              <w:rPr>
                <w:rFonts w:hint="eastAsia" w:ascii="宋体" w:hAnsi="宋体" w:eastAsia="宋体" w:cs="宋体"/>
                <w:color w:val="000000"/>
                <w:sz w:val="21"/>
                <w:highlight w:val="none"/>
              </w:rPr>
            </w:pPr>
            <w:r>
              <w:rPr>
                <w:rFonts w:hint="eastAsia" w:ascii="宋体" w:hAnsi="宋体" w:eastAsia="宋体" w:cs="宋体"/>
                <w:color w:val="000000"/>
                <w:sz w:val="21"/>
                <w:highlight w:val="none"/>
              </w:rPr>
              <w:t>出具正稿时间</w:t>
            </w:r>
          </w:p>
        </w:tc>
        <w:tc>
          <w:tcPr>
            <w:tcW w:w="3819" w:type="dxa"/>
            <w:gridSpan w:val="2"/>
            <w:shd w:val="clear" w:color="auto" w:fill="FFFFFF"/>
            <w:tcMar>
              <w:top w:w="15" w:type="dxa"/>
              <w:left w:w="15" w:type="dxa"/>
              <w:bottom w:w="0" w:type="dxa"/>
              <w:right w:w="15" w:type="dxa"/>
            </w:tcMar>
            <w:vAlign w:val="top"/>
          </w:tcPr>
          <w:p w14:paraId="0A3024FC">
            <w:pPr>
              <w:pStyle w:val="5"/>
              <w:jc w:val="center"/>
              <w:rPr>
                <w:rFonts w:hint="eastAsia" w:ascii="宋体" w:hAnsi="宋体" w:eastAsia="宋体" w:cs="宋体"/>
                <w:color w:val="000000"/>
                <w:sz w:val="21"/>
                <w:highlight w:val="none"/>
              </w:rPr>
            </w:pPr>
          </w:p>
        </w:tc>
      </w:tr>
      <w:tr w14:paraId="4CC335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1" w:type="dxa"/>
            <w:gridSpan w:val="3"/>
            <w:shd w:val="clear" w:color="auto" w:fill="FFFFFF"/>
            <w:tcMar>
              <w:top w:w="15" w:type="dxa"/>
              <w:left w:w="15" w:type="dxa"/>
              <w:bottom w:w="0" w:type="dxa"/>
              <w:right w:w="15" w:type="dxa"/>
            </w:tcMar>
            <w:vAlign w:val="top"/>
          </w:tcPr>
          <w:p w14:paraId="20322B8D">
            <w:pPr>
              <w:pStyle w:val="5"/>
              <w:jc w:val="center"/>
              <w:rPr>
                <w:rFonts w:hint="eastAsia" w:ascii="宋体" w:hAnsi="宋体" w:eastAsia="宋体" w:cs="宋体"/>
                <w:highlight w:val="none"/>
              </w:rPr>
            </w:pPr>
            <w:r>
              <w:rPr>
                <w:rFonts w:hint="eastAsia" w:ascii="宋体" w:hAnsi="宋体" w:eastAsia="宋体" w:cs="宋体"/>
                <w:color w:val="000000"/>
                <w:sz w:val="21"/>
                <w:highlight w:val="none"/>
              </w:rPr>
              <w:t>考核项目</w:t>
            </w:r>
          </w:p>
        </w:tc>
        <w:tc>
          <w:tcPr>
            <w:tcW w:w="6255" w:type="dxa"/>
            <w:gridSpan w:val="4"/>
            <w:shd w:val="clear" w:color="auto" w:fill="FFFFFF"/>
            <w:tcMar>
              <w:top w:w="15" w:type="dxa"/>
              <w:left w:w="15" w:type="dxa"/>
              <w:bottom w:w="0" w:type="dxa"/>
              <w:right w:w="15" w:type="dxa"/>
            </w:tcMar>
            <w:vAlign w:val="top"/>
          </w:tcPr>
          <w:p w14:paraId="575F2189">
            <w:pPr>
              <w:pStyle w:val="5"/>
              <w:jc w:val="center"/>
              <w:rPr>
                <w:rFonts w:hint="eastAsia" w:ascii="宋体" w:hAnsi="宋体" w:eastAsia="宋体" w:cs="宋体"/>
                <w:highlight w:val="none"/>
              </w:rPr>
            </w:pPr>
            <w:r>
              <w:rPr>
                <w:rFonts w:hint="eastAsia" w:ascii="宋体" w:hAnsi="宋体" w:eastAsia="宋体" w:cs="宋体"/>
                <w:color w:val="000000"/>
                <w:sz w:val="21"/>
                <w:highlight w:val="none"/>
              </w:rPr>
              <w:t>考核内容</w:t>
            </w:r>
          </w:p>
        </w:tc>
        <w:tc>
          <w:tcPr>
            <w:tcW w:w="738" w:type="dxa"/>
            <w:shd w:val="clear" w:color="auto" w:fill="FFFFFF"/>
            <w:tcMar>
              <w:top w:w="15" w:type="dxa"/>
              <w:left w:w="15" w:type="dxa"/>
              <w:bottom w:w="0" w:type="dxa"/>
              <w:right w:w="15" w:type="dxa"/>
            </w:tcMar>
            <w:vAlign w:val="top"/>
          </w:tcPr>
          <w:p w14:paraId="4677E542">
            <w:pPr>
              <w:pStyle w:val="5"/>
              <w:jc w:val="center"/>
              <w:rPr>
                <w:rFonts w:hint="eastAsia" w:ascii="宋体" w:hAnsi="宋体" w:eastAsia="宋体" w:cs="宋体"/>
                <w:highlight w:val="none"/>
              </w:rPr>
            </w:pPr>
            <w:r>
              <w:rPr>
                <w:rFonts w:hint="eastAsia" w:ascii="宋体" w:hAnsi="宋体" w:eastAsia="宋体" w:cs="宋体"/>
                <w:color w:val="000000"/>
                <w:sz w:val="21"/>
                <w:highlight w:val="none"/>
              </w:rPr>
              <w:t>扣分</w:t>
            </w:r>
          </w:p>
        </w:tc>
      </w:tr>
      <w:tr w14:paraId="20B41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 w:type="dxa"/>
            <w:vMerge w:val="restart"/>
            <w:shd w:val="clear" w:color="auto" w:fill="FFFFFF"/>
            <w:tcMar>
              <w:top w:w="15" w:type="dxa"/>
              <w:left w:w="15" w:type="dxa"/>
              <w:bottom w:w="0" w:type="dxa"/>
              <w:right w:w="15" w:type="dxa"/>
            </w:tcMar>
            <w:vAlign w:val="top"/>
          </w:tcPr>
          <w:p w14:paraId="6D39E472">
            <w:pPr>
              <w:pStyle w:val="5"/>
              <w:jc w:val="center"/>
              <w:rPr>
                <w:rFonts w:hint="eastAsia" w:ascii="宋体" w:hAnsi="宋体" w:eastAsia="宋体" w:cs="宋体"/>
                <w:highlight w:val="none"/>
              </w:rPr>
            </w:pPr>
            <w:r>
              <w:rPr>
                <w:rFonts w:hint="eastAsia" w:ascii="宋体" w:hAnsi="宋体" w:eastAsia="宋体" w:cs="宋体"/>
                <w:color w:val="000000"/>
                <w:sz w:val="21"/>
                <w:highlight w:val="none"/>
              </w:rPr>
              <w:t>财</w:t>
            </w:r>
          </w:p>
          <w:p w14:paraId="2849504A">
            <w:pPr>
              <w:pStyle w:val="5"/>
              <w:jc w:val="center"/>
              <w:rPr>
                <w:rFonts w:hint="eastAsia" w:ascii="宋体" w:hAnsi="宋体" w:eastAsia="宋体" w:cs="宋体"/>
                <w:highlight w:val="none"/>
              </w:rPr>
            </w:pPr>
            <w:r>
              <w:rPr>
                <w:rFonts w:hint="eastAsia" w:ascii="宋体" w:hAnsi="宋体" w:eastAsia="宋体" w:cs="宋体"/>
                <w:color w:val="000000"/>
                <w:sz w:val="21"/>
                <w:highlight w:val="none"/>
              </w:rPr>
              <w:t>政</w:t>
            </w:r>
          </w:p>
          <w:p w14:paraId="534E5919">
            <w:pPr>
              <w:pStyle w:val="5"/>
              <w:jc w:val="center"/>
              <w:rPr>
                <w:rFonts w:hint="eastAsia" w:ascii="宋体" w:hAnsi="宋体" w:eastAsia="宋体" w:cs="宋体"/>
                <w:highlight w:val="none"/>
              </w:rPr>
            </w:pPr>
            <w:r>
              <w:rPr>
                <w:rFonts w:hint="eastAsia" w:ascii="宋体" w:hAnsi="宋体" w:eastAsia="宋体" w:cs="宋体"/>
                <w:color w:val="000000"/>
                <w:sz w:val="21"/>
                <w:highlight w:val="none"/>
              </w:rPr>
              <w:t>考</w:t>
            </w:r>
          </w:p>
          <w:p w14:paraId="1A66D12C">
            <w:pPr>
              <w:pStyle w:val="5"/>
              <w:jc w:val="center"/>
              <w:rPr>
                <w:rFonts w:hint="eastAsia" w:ascii="宋体" w:hAnsi="宋体" w:eastAsia="宋体" w:cs="宋体"/>
                <w:highlight w:val="none"/>
              </w:rPr>
            </w:pPr>
            <w:r>
              <w:rPr>
                <w:rFonts w:hint="eastAsia" w:ascii="宋体" w:hAnsi="宋体" w:eastAsia="宋体" w:cs="宋体"/>
                <w:color w:val="000000"/>
                <w:sz w:val="21"/>
                <w:highlight w:val="none"/>
              </w:rPr>
              <w:t>核</w:t>
            </w:r>
          </w:p>
        </w:tc>
        <w:tc>
          <w:tcPr>
            <w:tcW w:w="240" w:type="dxa"/>
            <w:vMerge w:val="restart"/>
            <w:shd w:val="clear" w:color="auto" w:fill="FFFFFF"/>
            <w:tcMar>
              <w:top w:w="15" w:type="dxa"/>
              <w:left w:w="15" w:type="dxa"/>
              <w:bottom w:w="0" w:type="dxa"/>
              <w:right w:w="15" w:type="dxa"/>
            </w:tcMar>
            <w:vAlign w:val="top"/>
          </w:tcPr>
          <w:p w14:paraId="052466D4">
            <w:pPr>
              <w:pStyle w:val="5"/>
              <w:jc w:val="center"/>
              <w:rPr>
                <w:rFonts w:hint="eastAsia" w:ascii="宋体" w:hAnsi="宋体" w:eastAsia="宋体" w:cs="宋体"/>
                <w:highlight w:val="none"/>
              </w:rPr>
            </w:pPr>
            <w:r>
              <w:rPr>
                <w:rFonts w:hint="eastAsia" w:ascii="宋体" w:hAnsi="宋体" w:eastAsia="宋体" w:cs="宋体"/>
                <w:color w:val="000000"/>
                <w:sz w:val="21"/>
                <w:highlight w:val="none"/>
              </w:rPr>
              <w:t>评</w:t>
            </w:r>
          </w:p>
          <w:p w14:paraId="1D9F6758">
            <w:pPr>
              <w:pStyle w:val="5"/>
              <w:jc w:val="center"/>
              <w:rPr>
                <w:rFonts w:hint="eastAsia" w:ascii="宋体" w:hAnsi="宋体" w:eastAsia="宋体" w:cs="宋体"/>
                <w:highlight w:val="none"/>
              </w:rPr>
            </w:pPr>
            <w:r>
              <w:rPr>
                <w:rFonts w:hint="eastAsia" w:ascii="宋体" w:hAnsi="宋体" w:eastAsia="宋体" w:cs="宋体"/>
                <w:color w:val="000000"/>
                <w:sz w:val="21"/>
                <w:highlight w:val="none"/>
              </w:rPr>
              <w:t>审</w:t>
            </w:r>
          </w:p>
          <w:p w14:paraId="50733664">
            <w:pPr>
              <w:pStyle w:val="5"/>
              <w:jc w:val="center"/>
              <w:rPr>
                <w:rFonts w:hint="eastAsia" w:ascii="宋体" w:hAnsi="宋体" w:eastAsia="宋体" w:cs="宋体"/>
                <w:highlight w:val="none"/>
              </w:rPr>
            </w:pPr>
            <w:r>
              <w:rPr>
                <w:rFonts w:hint="eastAsia" w:ascii="宋体" w:hAnsi="宋体" w:eastAsia="宋体" w:cs="宋体"/>
                <w:color w:val="000000"/>
                <w:sz w:val="21"/>
                <w:highlight w:val="none"/>
              </w:rPr>
              <w:t>质</w:t>
            </w:r>
          </w:p>
          <w:p w14:paraId="778CB8B8">
            <w:pPr>
              <w:pStyle w:val="5"/>
              <w:jc w:val="center"/>
              <w:rPr>
                <w:rFonts w:hint="eastAsia" w:ascii="宋体" w:hAnsi="宋体" w:eastAsia="宋体" w:cs="宋体"/>
                <w:highlight w:val="none"/>
              </w:rPr>
            </w:pPr>
            <w:r>
              <w:rPr>
                <w:rFonts w:hint="eastAsia" w:ascii="宋体" w:hAnsi="宋体" w:eastAsia="宋体" w:cs="宋体"/>
                <w:color w:val="000000"/>
                <w:sz w:val="21"/>
                <w:highlight w:val="none"/>
              </w:rPr>
              <w:t>量</w:t>
            </w:r>
          </w:p>
        </w:tc>
        <w:tc>
          <w:tcPr>
            <w:tcW w:w="831" w:type="dxa"/>
            <w:vMerge w:val="restart"/>
            <w:shd w:val="clear" w:color="auto" w:fill="FFFFFF"/>
            <w:tcMar>
              <w:top w:w="15" w:type="dxa"/>
              <w:left w:w="15" w:type="dxa"/>
              <w:bottom w:w="0" w:type="dxa"/>
              <w:right w:w="15" w:type="dxa"/>
            </w:tcMar>
            <w:vAlign w:val="top"/>
          </w:tcPr>
          <w:p w14:paraId="686CAF62">
            <w:pPr>
              <w:pStyle w:val="5"/>
              <w:jc w:val="center"/>
              <w:rPr>
                <w:rFonts w:hint="eastAsia" w:ascii="宋体" w:hAnsi="宋体" w:eastAsia="宋体" w:cs="宋体"/>
                <w:highlight w:val="none"/>
              </w:rPr>
            </w:pPr>
            <w:r>
              <w:rPr>
                <w:rFonts w:hint="eastAsia" w:ascii="宋体" w:hAnsi="宋体" w:eastAsia="宋体" w:cs="宋体"/>
                <w:color w:val="000000"/>
                <w:sz w:val="21"/>
                <w:highlight w:val="none"/>
              </w:rPr>
              <w:t>报</w:t>
            </w:r>
          </w:p>
          <w:p w14:paraId="73042E02">
            <w:pPr>
              <w:pStyle w:val="5"/>
              <w:jc w:val="center"/>
              <w:rPr>
                <w:rFonts w:hint="eastAsia" w:ascii="宋体" w:hAnsi="宋体" w:eastAsia="宋体" w:cs="宋体"/>
                <w:highlight w:val="none"/>
              </w:rPr>
            </w:pPr>
            <w:r>
              <w:rPr>
                <w:rFonts w:hint="eastAsia" w:ascii="宋体" w:hAnsi="宋体" w:eastAsia="宋体" w:cs="宋体"/>
                <w:color w:val="000000"/>
                <w:sz w:val="21"/>
                <w:highlight w:val="none"/>
              </w:rPr>
              <w:t>告</w:t>
            </w:r>
          </w:p>
          <w:p w14:paraId="5C7D2E32">
            <w:pPr>
              <w:pStyle w:val="5"/>
              <w:jc w:val="center"/>
              <w:rPr>
                <w:rFonts w:hint="eastAsia" w:ascii="宋体" w:hAnsi="宋体" w:eastAsia="宋体" w:cs="宋体"/>
                <w:highlight w:val="none"/>
              </w:rPr>
            </w:pPr>
            <w:r>
              <w:rPr>
                <w:rFonts w:hint="eastAsia" w:ascii="宋体" w:hAnsi="宋体" w:eastAsia="宋体" w:cs="宋体"/>
                <w:color w:val="000000"/>
                <w:sz w:val="21"/>
                <w:highlight w:val="none"/>
              </w:rPr>
              <w:t>格</w:t>
            </w:r>
          </w:p>
          <w:p w14:paraId="1320EC25">
            <w:pPr>
              <w:pStyle w:val="5"/>
              <w:jc w:val="center"/>
              <w:rPr>
                <w:rFonts w:hint="eastAsia" w:ascii="宋体" w:hAnsi="宋体" w:eastAsia="宋体" w:cs="宋体"/>
                <w:highlight w:val="none"/>
              </w:rPr>
            </w:pPr>
            <w:r>
              <w:rPr>
                <w:rFonts w:hint="eastAsia" w:ascii="宋体" w:hAnsi="宋体" w:eastAsia="宋体" w:cs="宋体"/>
                <w:color w:val="000000"/>
                <w:sz w:val="21"/>
                <w:highlight w:val="none"/>
              </w:rPr>
              <w:t>式</w:t>
            </w:r>
          </w:p>
        </w:tc>
        <w:tc>
          <w:tcPr>
            <w:tcW w:w="6255" w:type="dxa"/>
            <w:gridSpan w:val="4"/>
            <w:shd w:val="clear" w:color="auto" w:fill="FFFFFF"/>
            <w:tcMar>
              <w:top w:w="15" w:type="dxa"/>
              <w:left w:w="15" w:type="dxa"/>
              <w:bottom w:w="0" w:type="dxa"/>
              <w:right w:w="15" w:type="dxa"/>
            </w:tcMar>
            <w:vAlign w:val="top"/>
          </w:tcPr>
          <w:p w14:paraId="4D8A2F01">
            <w:pPr>
              <w:pStyle w:val="5"/>
              <w:jc w:val="left"/>
              <w:rPr>
                <w:rFonts w:hint="eastAsia" w:ascii="宋体" w:hAnsi="宋体" w:eastAsia="宋体" w:cs="宋体"/>
                <w:highlight w:val="none"/>
              </w:rPr>
            </w:pPr>
            <w:r>
              <w:rPr>
                <w:rFonts w:hint="eastAsia" w:ascii="宋体" w:hAnsi="宋体" w:eastAsia="宋体" w:cs="宋体"/>
                <w:color w:val="000000"/>
                <w:sz w:val="21"/>
                <w:highlight w:val="none"/>
              </w:rPr>
              <w:t>编制说明是否列全编制依据，项目概况，主要增减说明和存在问题等，每发现一处扣2分</w:t>
            </w:r>
          </w:p>
        </w:tc>
        <w:tc>
          <w:tcPr>
            <w:tcW w:w="738" w:type="dxa"/>
            <w:shd w:val="clear" w:color="auto" w:fill="FFFFFF"/>
            <w:tcMar>
              <w:top w:w="15" w:type="dxa"/>
              <w:left w:w="15" w:type="dxa"/>
              <w:bottom w:w="0" w:type="dxa"/>
              <w:right w:w="15" w:type="dxa"/>
            </w:tcMar>
            <w:vAlign w:val="top"/>
          </w:tcPr>
          <w:p w14:paraId="2B2CAE07">
            <w:pPr>
              <w:pStyle w:val="5"/>
              <w:jc w:val="left"/>
              <w:rPr>
                <w:rFonts w:hint="eastAsia" w:ascii="宋体" w:hAnsi="宋体" w:eastAsia="宋体" w:cs="宋体"/>
                <w:highlight w:val="none"/>
              </w:rPr>
            </w:pPr>
          </w:p>
        </w:tc>
      </w:tr>
      <w:tr w14:paraId="125A7A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 w:type="dxa"/>
            <w:vMerge w:val="continue"/>
          </w:tcPr>
          <w:p w14:paraId="2BA2B8A8">
            <w:pPr>
              <w:rPr>
                <w:rFonts w:hint="eastAsia" w:ascii="宋体" w:hAnsi="宋体" w:eastAsia="宋体" w:cs="宋体"/>
                <w:highlight w:val="none"/>
              </w:rPr>
            </w:pPr>
          </w:p>
        </w:tc>
        <w:tc>
          <w:tcPr>
            <w:tcW w:w="240" w:type="dxa"/>
            <w:vMerge w:val="continue"/>
          </w:tcPr>
          <w:p w14:paraId="23AD52DD">
            <w:pPr>
              <w:rPr>
                <w:rFonts w:hint="eastAsia" w:ascii="宋体" w:hAnsi="宋体" w:eastAsia="宋体" w:cs="宋体"/>
                <w:highlight w:val="none"/>
              </w:rPr>
            </w:pPr>
          </w:p>
        </w:tc>
        <w:tc>
          <w:tcPr>
            <w:tcW w:w="831" w:type="dxa"/>
            <w:vMerge w:val="continue"/>
          </w:tcPr>
          <w:p w14:paraId="6848C2C2">
            <w:pPr>
              <w:rPr>
                <w:rFonts w:hint="eastAsia" w:ascii="宋体" w:hAnsi="宋体" w:eastAsia="宋体" w:cs="宋体"/>
                <w:highlight w:val="none"/>
              </w:rPr>
            </w:pPr>
          </w:p>
        </w:tc>
        <w:tc>
          <w:tcPr>
            <w:tcW w:w="6255" w:type="dxa"/>
            <w:gridSpan w:val="4"/>
            <w:shd w:val="clear" w:color="auto" w:fill="FFFFFF"/>
            <w:tcMar>
              <w:top w:w="15" w:type="dxa"/>
              <w:left w:w="15" w:type="dxa"/>
              <w:bottom w:w="0" w:type="dxa"/>
              <w:right w:w="15" w:type="dxa"/>
            </w:tcMar>
            <w:vAlign w:val="top"/>
          </w:tcPr>
          <w:p w14:paraId="76AEAB9F">
            <w:pPr>
              <w:pStyle w:val="5"/>
              <w:jc w:val="left"/>
              <w:rPr>
                <w:rFonts w:hint="eastAsia" w:ascii="宋体" w:hAnsi="宋体" w:eastAsia="宋体" w:cs="宋体"/>
                <w:highlight w:val="none"/>
              </w:rPr>
            </w:pPr>
            <w:r>
              <w:rPr>
                <w:rFonts w:hint="eastAsia" w:ascii="宋体" w:hAnsi="宋体" w:eastAsia="宋体" w:cs="宋体"/>
                <w:color w:val="000000"/>
                <w:sz w:val="21"/>
                <w:highlight w:val="none"/>
              </w:rPr>
              <w:t>编制人、复核人签字盖章是否齐全，是否符合要求，不齐全的扣5分</w:t>
            </w:r>
          </w:p>
        </w:tc>
        <w:tc>
          <w:tcPr>
            <w:tcW w:w="738" w:type="dxa"/>
            <w:shd w:val="clear" w:color="auto" w:fill="FFFFFF"/>
            <w:tcMar>
              <w:top w:w="15" w:type="dxa"/>
              <w:left w:w="15" w:type="dxa"/>
              <w:bottom w:w="0" w:type="dxa"/>
              <w:right w:w="15" w:type="dxa"/>
            </w:tcMar>
            <w:vAlign w:val="top"/>
          </w:tcPr>
          <w:p w14:paraId="11E8BEEF">
            <w:pPr>
              <w:pStyle w:val="5"/>
              <w:jc w:val="left"/>
              <w:rPr>
                <w:rFonts w:hint="eastAsia" w:ascii="宋体" w:hAnsi="宋体" w:eastAsia="宋体" w:cs="宋体"/>
                <w:highlight w:val="none"/>
              </w:rPr>
            </w:pPr>
          </w:p>
        </w:tc>
      </w:tr>
      <w:tr w14:paraId="35C9C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 w:type="dxa"/>
            <w:vMerge w:val="continue"/>
          </w:tcPr>
          <w:p w14:paraId="1CEFE905">
            <w:pPr>
              <w:rPr>
                <w:rFonts w:hint="eastAsia" w:ascii="宋体" w:hAnsi="宋体" w:eastAsia="宋体" w:cs="宋体"/>
                <w:highlight w:val="none"/>
              </w:rPr>
            </w:pPr>
          </w:p>
        </w:tc>
        <w:tc>
          <w:tcPr>
            <w:tcW w:w="240" w:type="dxa"/>
            <w:vMerge w:val="continue"/>
          </w:tcPr>
          <w:p w14:paraId="2A242B74">
            <w:pPr>
              <w:rPr>
                <w:rFonts w:hint="eastAsia" w:ascii="宋体" w:hAnsi="宋体" w:eastAsia="宋体" w:cs="宋体"/>
                <w:highlight w:val="none"/>
              </w:rPr>
            </w:pPr>
          </w:p>
        </w:tc>
        <w:tc>
          <w:tcPr>
            <w:tcW w:w="831" w:type="dxa"/>
            <w:vMerge w:val="continue"/>
          </w:tcPr>
          <w:p w14:paraId="4D3A801B">
            <w:pPr>
              <w:rPr>
                <w:rFonts w:hint="eastAsia" w:ascii="宋体" w:hAnsi="宋体" w:eastAsia="宋体" w:cs="宋体"/>
                <w:highlight w:val="none"/>
              </w:rPr>
            </w:pPr>
          </w:p>
        </w:tc>
        <w:tc>
          <w:tcPr>
            <w:tcW w:w="6255" w:type="dxa"/>
            <w:gridSpan w:val="4"/>
            <w:shd w:val="clear" w:color="auto" w:fill="FFFFFF"/>
            <w:tcMar>
              <w:top w:w="15" w:type="dxa"/>
              <w:left w:w="15" w:type="dxa"/>
              <w:bottom w:w="0" w:type="dxa"/>
              <w:right w:w="15" w:type="dxa"/>
            </w:tcMar>
            <w:vAlign w:val="top"/>
          </w:tcPr>
          <w:p w14:paraId="232CC410">
            <w:pPr>
              <w:pStyle w:val="5"/>
              <w:jc w:val="left"/>
              <w:rPr>
                <w:rFonts w:hint="eastAsia" w:ascii="宋体" w:hAnsi="宋体" w:eastAsia="宋体" w:cs="宋体"/>
                <w:highlight w:val="none"/>
              </w:rPr>
            </w:pPr>
            <w:r>
              <w:rPr>
                <w:rFonts w:hint="eastAsia" w:ascii="宋体" w:hAnsi="宋体" w:eastAsia="宋体" w:cs="宋体"/>
                <w:color w:val="000000"/>
                <w:sz w:val="21"/>
                <w:highlight w:val="none"/>
              </w:rPr>
              <w:t>报告出现表述错误的,每错一处扣2分</w:t>
            </w:r>
          </w:p>
        </w:tc>
        <w:tc>
          <w:tcPr>
            <w:tcW w:w="738" w:type="dxa"/>
            <w:shd w:val="clear" w:color="auto" w:fill="FFFFFF"/>
            <w:tcMar>
              <w:top w:w="15" w:type="dxa"/>
              <w:left w:w="15" w:type="dxa"/>
              <w:bottom w:w="0" w:type="dxa"/>
              <w:right w:w="15" w:type="dxa"/>
            </w:tcMar>
            <w:vAlign w:val="top"/>
          </w:tcPr>
          <w:p w14:paraId="6F7049F8">
            <w:pPr>
              <w:pStyle w:val="5"/>
              <w:jc w:val="left"/>
              <w:rPr>
                <w:rFonts w:hint="eastAsia" w:ascii="宋体" w:hAnsi="宋体" w:eastAsia="宋体" w:cs="宋体"/>
                <w:highlight w:val="none"/>
              </w:rPr>
            </w:pPr>
          </w:p>
        </w:tc>
      </w:tr>
      <w:tr w14:paraId="71AC73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 w:type="dxa"/>
            <w:vMerge w:val="continue"/>
          </w:tcPr>
          <w:p w14:paraId="4A11147B">
            <w:pPr>
              <w:rPr>
                <w:rFonts w:hint="eastAsia" w:ascii="宋体" w:hAnsi="宋体" w:eastAsia="宋体" w:cs="宋体"/>
                <w:highlight w:val="none"/>
              </w:rPr>
            </w:pPr>
          </w:p>
        </w:tc>
        <w:tc>
          <w:tcPr>
            <w:tcW w:w="240" w:type="dxa"/>
            <w:vMerge w:val="continue"/>
          </w:tcPr>
          <w:p w14:paraId="61FE317A">
            <w:pPr>
              <w:rPr>
                <w:rFonts w:hint="eastAsia" w:ascii="宋体" w:hAnsi="宋体" w:eastAsia="宋体" w:cs="宋体"/>
                <w:highlight w:val="none"/>
              </w:rPr>
            </w:pPr>
          </w:p>
        </w:tc>
        <w:tc>
          <w:tcPr>
            <w:tcW w:w="831" w:type="dxa"/>
            <w:vMerge w:val="continue"/>
          </w:tcPr>
          <w:p w14:paraId="1E736B9D">
            <w:pPr>
              <w:rPr>
                <w:rFonts w:hint="eastAsia" w:ascii="宋体" w:hAnsi="宋体" w:eastAsia="宋体" w:cs="宋体"/>
                <w:highlight w:val="none"/>
              </w:rPr>
            </w:pPr>
          </w:p>
        </w:tc>
        <w:tc>
          <w:tcPr>
            <w:tcW w:w="6255" w:type="dxa"/>
            <w:gridSpan w:val="4"/>
            <w:shd w:val="clear" w:color="auto" w:fill="FFFFFF"/>
            <w:tcMar>
              <w:top w:w="15" w:type="dxa"/>
              <w:left w:w="15" w:type="dxa"/>
              <w:bottom w:w="0" w:type="dxa"/>
              <w:right w:w="15" w:type="dxa"/>
            </w:tcMar>
            <w:vAlign w:val="top"/>
          </w:tcPr>
          <w:p w14:paraId="747644CB">
            <w:pPr>
              <w:pStyle w:val="5"/>
              <w:jc w:val="left"/>
              <w:rPr>
                <w:rFonts w:hint="eastAsia" w:ascii="宋体" w:hAnsi="宋体" w:eastAsia="宋体" w:cs="宋体"/>
                <w:highlight w:val="none"/>
              </w:rPr>
            </w:pPr>
            <w:r>
              <w:rPr>
                <w:rFonts w:hint="eastAsia" w:ascii="宋体" w:hAnsi="宋体" w:eastAsia="宋体" w:cs="宋体"/>
                <w:color w:val="000000"/>
                <w:sz w:val="21"/>
                <w:highlight w:val="none"/>
              </w:rPr>
              <w:t>每出现一处文字或数字错误扣1分，同类错误不重复扣分</w:t>
            </w:r>
          </w:p>
        </w:tc>
        <w:tc>
          <w:tcPr>
            <w:tcW w:w="738" w:type="dxa"/>
            <w:shd w:val="clear" w:color="auto" w:fill="FFFFFF"/>
            <w:tcMar>
              <w:top w:w="15" w:type="dxa"/>
              <w:left w:w="15" w:type="dxa"/>
              <w:bottom w:w="0" w:type="dxa"/>
              <w:right w:w="15" w:type="dxa"/>
            </w:tcMar>
            <w:vAlign w:val="top"/>
          </w:tcPr>
          <w:p w14:paraId="3F7459E4">
            <w:pPr>
              <w:pStyle w:val="5"/>
              <w:jc w:val="left"/>
              <w:rPr>
                <w:rFonts w:hint="eastAsia" w:ascii="宋体" w:hAnsi="宋体" w:eastAsia="宋体" w:cs="宋体"/>
                <w:highlight w:val="none"/>
              </w:rPr>
            </w:pPr>
          </w:p>
        </w:tc>
      </w:tr>
      <w:tr w14:paraId="547E1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 w:type="dxa"/>
            <w:vMerge w:val="continue"/>
          </w:tcPr>
          <w:p w14:paraId="01BA6F6E">
            <w:pPr>
              <w:rPr>
                <w:rFonts w:hint="eastAsia" w:ascii="宋体" w:hAnsi="宋体" w:eastAsia="宋体" w:cs="宋体"/>
                <w:highlight w:val="none"/>
              </w:rPr>
            </w:pPr>
          </w:p>
        </w:tc>
        <w:tc>
          <w:tcPr>
            <w:tcW w:w="240" w:type="dxa"/>
            <w:vMerge w:val="continue"/>
          </w:tcPr>
          <w:p w14:paraId="75C6E272">
            <w:pPr>
              <w:rPr>
                <w:rFonts w:hint="eastAsia" w:ascii="宋体" w:hAnsi="宋体" w:eastAsia="宋体" w:cs="宋体"/>
                <w:highlight w:val="none"/>
              </w:rPr>
            </w:pPr>
          </w:p>
        </w:tc>
        <w:tc>
          <w:tcPr>
            <w:tcW w:w="831" w:type="dxa"/>
            <w:vMerge w:val="restart"/>
            <w:shd w:val="clear" w:color="auto" w:fill="FFFFFF"/>
            <w:tcMar>
              <w:top w:w="15" w:type="dxa"/>
              <w:left w:w="15" w:type="dxa"/>
              <w:bottom w:w="0" w:type="dxa"/>
              <w:right w:w="15" w:type="dxa"/>
            </w:tcMar>
            <w:vAlign w:val="top"/>
          </w:tcPr>
          <w:p w14:paraId="681E4A2C">
            <w:pPr>
              <w:pStyle w:val="5"/>
              <w:jc w:val="center"/>
              <w:rPr>
                <w:rFonts w:hint="eastAsia" w:ascii="宋体" w:hAnsi="宋体" w:eastAsia="宋体" w:cs="宋体"/>
                <w:highlight w:val="none"/>
              </w:rPr>
            </w:pPr>
            <w:r>
              <w:rPr>
                <w:rFonts w:hint="eastAsia" w:ascii="宋体" w:hAnsi="宋体" w:eastAsia="宋体" w:cs="宋体"/>
                <w:color w:val="000000"/>
                <w:sz w:val="21"/>
                <w:highlight w:val="none"/>
              </w:rPr>
              <w:t>专</w:t>
            </w:r>
          </w:p>
          <w:p w14:paraId="70530E7D">
            <w:pPr>
              <w:pStyle w:val="5"/>
              <w:jc w:val="center"/>
              <w:rPr>
                <w:rFonts w:hint="eastAsia" w:ascii="宋体" w:hAnsi="宋体" w:eastAsia="宋体" w:cs="宋体"/>
                <w:highlight w:val="none"/>
              </w:rPr>
            </w:pPr>
            <w:r>
              <w:rPr>
                <w:rFonts w:hint="eastAsia" w:ascii="宋体" w:hAnsi="宋体" w:eastAsia="宋体" w:cs="宋体"/>
                <w:color w:val="000000"/>
                <w:sz w:val="21"/>
                <w:highlight w:val="none"/>
              </w:rPr>
              <w:t>业</w:t>
            </w:r>
          </w:p>
          <w:p w14:paraId="67D15E2E">
            <w:pPr>
              <w:pStyle w:val="5"/>
              <w:jc w:val="center"/>
              <w:rPr>
                <w:rFonts w:hint="eastAsia" w:ascii="宋体" w:hAnsi="宋体" w:eastAsia="宋体" w:cs="宋体"/>
                <w:highlight w:val="none"/>
              </w:rPr>
            </w:pPr>
            <w:r>
              <w:rPr>
                <w:rFonts w:hint="eastAsia" w:ascii="宋体" w:hAnsi="宋体" w:eastAsia="宋体" w:cs="宋体"/>
                <w:color w:val="000000"/>
                <w:sz w:val="21"/>
                <w:highlight w:val="none"/>
              </w:rPr>
              <w:t>技</w:t>
            </w:r>
          </w:p>
          <w:p w14:paraId="6249F966">
            <w:pPr>
              <w:pStyle w:val="5"/>
              <w:jc w:val="center"/>
              <w:rPr>
                <w:rFonts w:hint="eastAsia" w:ascii="宋体" w:hAnsi="宋体" w:eastAsia="宋体" w:cs="宋体"/>
                <w:highlight w:val="none"/>
              </w:rPr>
            </w:pPr>
            <w:r>
              <w:rPr>
                <w:rFonts w:hint="eastAsia" w:ascii="宋体" w:hAnsi="宋体" w:eastAsia="宋体" w:cs="宋体"/>
                <w:color w:val="000000"/>
                <w:sz w:val="21"/>
                <w:highlight w:val="none"/>
              </w:rPr>
              <w:t>术</w:t>
            </w:r>
          </w:p>
        </w:tc>
        <w:tc>
          <w:tcPr>
            <w:tcW w:w="6255" w:type="dxa"/>
            <w:gridSpan w:val="4"/>
            <w:shd w:val="clear" w:color="auto" w:fill="FFFFFF"/>
            <w:tcMar>
              <w:top w:w="15" w:type="dxa"/>
              <w:left w:w="15" w:type="dxa"/>
              <w:bottom w:w="0" w:type="dxa"/>
              <w:right w:w="15" w:type="dxa"/>
            </w:tcMar>
            <w:vAlign w:val="top"/>
          </w:tcPr>
          <w:p w14:paraId="47807711">
            <w:pPr>
              <w:pStyle w:val="5"/>
              <w:jc w:val="left"/>
              <w:rPr>
                <w:rFonts w:hint="eastAsia" w:ascii="宋体" w:hAnsi="宋体" w:eastAsia="宋体" w:cs="宋体"/>
                <w:highlight w:val="none"/>
              </w:rPr>
            </w:pPr>
            <w:r>
              <w:rPr>
                <w:rFonts w:hint="eastAsia" w:ascii="宋体" w:hAnsi="宋体" w:eastAsia="宋体" w:cs="宋体"/>
                <w:color w:val="000000"/>
                <w:sz w:val="21"/>
                <w:highlight w:val="none"/>
              </w:rPr>
              <w:t>汇总数据有误，每发现一处扣3分</w:t>
            </w:r>
          </w:p>
        </w:tc>
        <w:tc>
          <w:tcPr>
            <w:tcW w:w="738" w:type="dxa"/>
            <w:shd w:val="clear" w:color="auto" w:fill="FFFFFF"/>
            <w:tcMar>
              <w:top w:w="15" w:type="dxa"/>
              <w:left w:w="15" w:type="dxa"/>
              <w:bottom w:w="0" w:type="dxa"/>
              <w:right w:w="15" w:type="dxa"/>
            </w:tcMar>
            <w:vAlign w:val="top"/>
          </w:tcPr>
          <w:p w14:paraId="0AC100E5">
            <w:pPr>
              <w:pStyle w:val="5"/>
              <w:jc w:val="left"/>
              <w:rPr>
                <w:rFonts w:hint="eastAsia" w:ascii="宋体" w:hAnsi="宋体" w:eastAsia="宋体" w:cs="宋体"/>
                <w:highlight w:val="none"/>
              </w:rPr>
            </w:pPr>
          </w:p>
        </w:tc>
      </w:tr>
      <w:tr w14:paraId="1056F4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 w:type="dxa"/>
            <w:vMerge w:val="continue"/>
          </w:tcPr>
          <w:p w14:paraId="14F879AD">
            <w:pPr>
              <w:rPr>
                <w:rFonts w:hint="eastAsia" w:ascii="宋体" w:hAnsi="宋体" w:eastAsia="宋体" w:cs="宋体"/>
                <w:highlight w:val="none"/>
              </w:rPr>
            </w:pPr>
          </w:p>
        </w:tc>
        <w:tc>
          <w:tcPr>
            <w:tcW w:w="240" w:type="dxa"/>
            <w:vMerge w:val="continue"/>
          </w:tcPr>
          <w:p w14:paraId="02F19D2A">
            <w:pPr>
              <w:rPr>
                <w:rFonts w:hint="eastAsia" w:ascii="宋体" w:hAnsi="宋体" w:eastAsia="宋体" w:cs="宋体"/>
                <w:highlight w:val="none"/>
              </w:rPr>
            </w:pPr>
          </w:p>
        </w:tc>
        <w:tc>
          <w:tcPr>
            <w:tcW w:w="831" w:type="dxa"/>
            <w:vMerge w:val="continue"/>
          </w:tcPr>
          <w:p w14:paraId="5D211B8D">
            <w:pPr>
              <w:rPr>
                <w:rFonts w:hint="eastAsia" w:ascii="宋体" w:hAnsi="宋体" w:eastAsia="宋体" w:cs="宋体"/>
                <w:highlight w:val="none"/>
              </w:rPr>
            </w:pPr>
          </w:p>
        </w:tc>
        <w:tc>
          <w:tcPr>
            <w:tcW w:w="6255" w:type="dxa"/>
            <w:gridSpan w:val="4"/>
            <w:shd w:val="clear" w:color="auto" w:fill="FFFFFF"/>
            <w:tcMar>
              <w:top w:w="15" w:type="dxa"/>
              <w:left w:w="15" w:type="dxa"/>
              <w:bottom w:w="0" w:type="dxa"/>
              <w:right w:w="15" w:type="dxa"/>
            </w:tcMar>
            <w:vAlign w:val="top"/>
          </w:tcPr>
          <w:p w14:paraId="2FABC1D0">
            <w:pPr>
              <w:pStyle w:val="5"/>
              <w:jc w:val="left"/>
              <w:rPr>
                <w:rFonts w:hint="eastAsia" w:ascii="宋体" w:hAnsi="宋体" w:eastAsia="宋体" w:cs="宋体"/>
                <w:highlight w:val="none"/>
              </w:rPr>
            </w:pPr>
            <w:r>
              <w:rPr>
                <w:rFonts w:hint="eastAsia" w:ascii="宋体" w:hAnsi="宋体" w:eastAsia="宋体" w:cs="宋体"/>
                <w:color w:val="000000"/>
                <w:sz w:val="21"/>
                <w:highlight w:val="none"/>
              </w:rPr>
              <w:t>费用分类有误，每发现一处扣3分</w:t>
            </w:r>
          </w:p>
        </w:tc>
        <w:tc>
          <w:tcPr>
            <w:tcW w:w="738" w:type="dxa"/>
            <w:shd w:val="clear" w:color="auto" w:fill="FFFFFF"/>
            <w:tcMar>
              <w:top w:w="15" w:type="dxa"/>
              <w:left w:w="15" w:type="dxa"/>
              <w:bottom w:w="0" w:type="dxa"/>
              <w:right w:w="15" w:type="dxa"/>
            </w:tcMar>
            <w:vAlign w:val="top"/>
          </w:tcPr>
          <w:p w14:paraId="00E192D8">
            <w:pPr>
              <w:pStyle w:val="5"/>
              <w:jc w:val="left"/>
              <w:rPr>
                <w:rFonts w:hint="eastAsia" w:ascii="宋体" w:hAnsi="宋体" w:eastAsia="宋体" w:cs="宋体"/>
                <w:highlight w:val="none"/>
              </w:rPr>
            </w:pPr>
          </w:p>
        </w:tc>
      </w:tr>
      <w:tr w14:paraId="5A6651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 w:type="dxa"/>
            <w:vMerge w:val="continue"/>
          </w:tcPr>
          <w:p w14:paraId="7B27BF96">
            <w:pPr>
              <w:rPr>
                <w:rFonts w:hint="eastAsia" w:ascii="宋体" w:hAnsi="宋体" w:eastAsia="宋体" w:cs="宋体"/>
                <w:highlight w:val="none"/>
              </w:rPr>
            </w:pPr>
          </w:p>
        </w:tc>
        <w:tc>
          <w:tcPr>
            <w:tcW w:w="240" w:type="dxa"/>
            <w:vMerge w:val="continue"/>
          </w:tcPr>
          <w:p w14:paraId="336A2399">
            <w:pPr>
              <w:rPr>
                <w:rFonts w:hint="eastAsia" w:ascii="宋体" w:hAnsi="宋体" w:eastAsia="宋体" w:cs="宋体"/>
                <w:highlight w:val="none"/>
              </w:rPr>
            </w:pPr>
          </w:p>
        </w:tc>
        <w:tc>
          <w:tcPr>
            <w:tcW w:w="831" w:type="dxa"/>
            <w:vMerge w:val="continue"/>
          </w:tcPr>
          <w:p w14:paraId="00734076">
            <w:pPr>
              <w:rPr>
                <w:rFonts w:hint="eastAsia" w:ascii="宋体" w:hAnsi="宋体" w:eastAsia="宋体" w:cs="宋体"/>
                <w:highlight w:val="none"/>
              </w:rPr>
            </w:pPr>
          </w:p>
        </w:tc>
        <w:tc>
          <w:tcPr>
            <w:tcW w:w="6255" w:type="dxa"/>
            <w:gridSpan w:val="4"/>
            <w:shd w:val="clear" w:color="auto" w:fill="FFFFFF"/>
            <w:tcMar>
              <w:top w:w="15" w:type="dxa"/>
              <w:left w:w="15" w:type="dxa"/>
              <w:bottom w:w="0" w:type="dxa"/>
              <w:right w:w="15" w:type="dxa"/>
            </w:tcMar>
            <w:vAlign w:val="top"/>
          </w:tcPr>
          <w:p w14:paraId="2C07F782">
            <w:pPr>
              <w:pStyle w:val="5"/>
              <w:jc w:val="left"/>
              <w:rPr>
                <w:rFonts w:hint="eastAsia" w:ascii="宋体" w:hAnsi="宋体" w:eastAsia="宋体" w:cs="宋体"/>
                <w:highlight w:val="none"/>
              </w:rPr>
            </w:pPr>
            <w:r>
              <w:rPr>
                <w:rFonts w:hint="eastAsia" w:ascii="宋体" w:hAnsi="宋体" w:eastAsia="宋体" w:cs="宋体"/>
                <w:color w:val="000000"/>
                <w:sz w:val="21"/>
                <w:highlight w:val="none"/>
              </w:rPr>
              <w:t>费用分摊有误，每错一处3分</w:t>
            </w:r>
          </w:p>
        </w:tc>
        <w:tc>
          <w:tcPr>
            <w:tcW w:w="738" w:type="dxa"/>
            <w:shd w:val="clear" w:color="auto" w:fill="FFFFFF"/>
            <w:tcMar>
              <w:top w:w="15" w:type="dxa"/>
              <w:left w:w="15" w:type="dxa"/>
              <w:bottom w:w="0" w:type="dxa"/>
              <w:right w:w="15" w:type="dxa"/>
            </w:tcMar>
            <w:vAlign w:val="top"/>
          </w:tcPr>
          <w:p w14:paraId="4DDA8E7B">
            <w:pPr>
              <w:pStyle w:val="5"/>
              <w:jc w:val="left"/>
              <w:rPr>
                <w:rFonts w:hint="eastAsia" w:ascii="宋体" w:hAnsi="宋体" w:eastAsia="宋体" w:cs="宋体"/>
                <w:highlight w:val="none"/>
              </w:rPr>
            </w:pPr>
          </w:p>
        </w:tc>
      </w:tr>
      <w:tr w14:paraId="7930CF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 w:type="dxa"/>
            <w:vMerge w:val="continue"/>
          </w:tcPr>
          <w:p w14:paraId="1D361B38">
            <w:pPr>
              <w:rPr>
                <w:rFonts w:hint="eastAsia" w:ascii="宋体" w:hAnsi="宋体" w:eastAsia="宋体" w:cs="宋体"/>
                <w:highlight w:val="none"/>
              </w:rPr>
            </w:pPr>
          </w:p>
        </w:tc>
        <w:tc>
          <w:tcPr>
            <w:tcW w:w="240" w:type="dxa"/>
            <w:vMerge w:val="continue"/>
          </w:tcPr>
          <w:p w14:paraId="2F8CE958">
            <w:pPr>
              <w:rPr>
                <w:rFonts w:hint="eastAsia" w:ascii="宋体" w:hAnsi="宋体" w:eastAsia="宋体" w:cs="宋体"/>
                <w:highlight w:val="none"/>
              </w:rPr>
            </w:pPr>
          </w:p>
        </w:tc>
        <w:tc>
          <w:tcPr>
            <w:tcW w:w="831" w:type="dxa"/>
            <w:vMerge w:val="continue"/>
          </w:tcPr>
          <w:p w14:paraId="71CF2081">
            <w:pPr>
              <w:rPr>
                <w:rFonts w:hint="eastAsia" w:ascii="宋体" w:hAnsi="宋体" w:eastAsia="宋体" w:cs="宋体"/>
                <w:highlight w:val="none"/>
              </w:rPr>
            </w:pPr>
          </w:p>
        </w:tc>
        <w:tc>
          <w:tcPr>
            <w:tcW w:w="6255" w:type="dxa"/>
            <w:gridSpan w:val="4"/>
            <w:shd w:val="clear" w:color="auto" w:fill="FFFFFF"/>
            <w:tcMar>
              <w:top w:w="15" w:type="dxa"/>
              <w:left w:w="15" w:type="dxa"/>
              <w:bottom w:w="0" w:type="dxa"/>
              <w:right w:w="15" w:type="dxa"/>
            </w:tcMar>
            <w:vAlign w:val="top"/>
          </w:tcPr>
          <w:p w14:paraId="5C0C74C7">
            <w:pPr>
              <w:pStyle w:val="5"/>
              <w:jc w:val="both"/>
              <w:rPr>
                <w:rFonts w:hint="eastAsia" w:ascii="宋体" w:hAnsi="宋体" w:eastAsia="宋体" w:cs="宋体"/>
                <w:highlight w:val="none"/>
              </w:rPr>
            </w:pPr>
            <w:r>
              <w:rPr>
                <w:rFonts w:hint="eastAsia" w:ascii="宋体" w:hAnsi="宋体" w:eastAsia="宋体" w:cs="宋体"/>
                <w:color w:val="000000"/>
                <w:sz w:val="21"/>
                <w:highlight w:val="none"/>
              </w:rPr>
              <w:t>主要经济指标分析内容不全，每错一处3分</w:t>
            </w:r>
          </w:p>
        </w:tc>
        <w:tc>
          <w:tcPr>
            <w:tcW w:w="738" w:type="dxa"/>
            <w:shd w:val="clear" w:color="auto" w:fill="FFFFFF"/>
            <w:tcMar>
              <w:top w:w="15" w:type="dxa"/>
              <w:left w:w="15" w:type="dxa"/>
              <w:bottom w:w="0" w:type="dxa"/>
              <w:right w:w="15" w:type="dxa"/>
            </w:tcMar>
            <w:vAlign w:val="top"/>
          </w:tcPr>
          <w:p w14:paraId="6D342DAC">
            <w:pPr>
              <w:pStyle w:val="5"/>
              <w:jc w:val="left"/>
              <w:rPr>
                <w:rFonts w:hint="eastAsia" w:ascii="宋体" w:hAnsi="宋体" w:eastAsia="宋体" w:cs="宋体"/>
                <w:highlight w:val="none"/>
              </w:rPr>
            </w:pPr>
          </w:p>
        </w:tc>
      </w:tr>
      <w:tr w14:paraId="5232E1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 w:type="dxa"/>
            <w:vMerge w:val="continue"/>
          </w:tcPr>
          <w:p w14:paraId="430A2C5C">
            <w:pPr>
              <w:rPr>
                <w:rFonts w:hint="eastAsia" w:ascii="宋体" w:hAnsi="宋体" w:eastAsia="宋体" w:cs="宋体"/>
                <w:highlight w:val="none"/>
              </w:rPr>
            </w:pPr>
          </w:p>
        </w:tc>
        <w:tc>
          <w:tcPr>
            <w:tcW w:w="240" w:type="dxa"/>
            <w:vMerge w:val="continue"/>
          </w:tcPr>
          <w:p w14:paraId="5CCA1F5A">
            <w:pPr>
              <w:rPr>
                <w:rFonts w:hint="eastAsia" w:ascii="宋体" w:hAnsi="宋体" w:eastAsia="宋体" w:cs="宋体"/>
                <w:highlight w:val="none"/>
              </w:rPr>
            </w:pPr>
          </w:p>
        </w:tc>
        <w:tc>
          <w:tcPr>
            <w:tcW w:w="831" w:type="dxa"/>
            <w:vMerge w:val="continue"/>
          </w:tcPr>
          <w:p w14:paraId="2CEE41BF">
            <w:pPr>
              <w:rPr>
                <w:rFonts w:hint="eastAsia" w:ascii="宋体" w:hAnsi="宋体" w:eastAsia="宋体" w:cs="宋体"/>
                <w:highlight w:val="none"/>
              </w:rPr>
            </w:pPr>
          </w:p>
        </w:tc>
        <w:tc>
          <w:tcPr>
            <w:tcW w:w="6255" w:type="dxa"/>
            <w:gridSpan w:val="4"/>
            <w:shd w:val="clear" w:color="auto" w:fill="FFFFFF"/>
            <w:tcMar>
              <w:top w:w="15" w:type="dxa"/>
              <w:left w:w="15" w:type="dxa"/>
              <w:bottom w:w="0" w:type="dxa"/>
              <w:right w:w="15" w:type="dxa"/>
            </w:tcMar>
            <w:vAlign w:val="top"/>
          </w:tcPr>
          <w:p w14:paraId="3FF63B78">
            <w:pPr>
              <w:pStyle w:val="5"/>
              <w:jc w:val="left"/>
              <w:rPr>
                <w:rFonts w:hint="eastAsia" w:ascii="宋体" w:hAnsi="宋体" w:eastAsia="宋体" w:cs="宋体"/>
                <w:highlight w:val="none"/>
              </w:rPr>
            </w:pPr>
            <w:r>
              <w:rPr>
                <w:rFonts w:hint="eastAsia" w:ascii="宋体" w:hAnsi="宋体" w:eastAsia="宋体" w:cs="宋体"/>
                <w:color w:val="000000"/>
                <w:sz w:val="21"/>
                <w:highlight w:val="none"/>
              </w:rPr>
              <w:t>其他质量问题，每错一处3分</w:t>
            </w:r>
          </w:p>
        </w:tc>
        <w:tc>
          <w:tcPr>
            <w:tcW w:w="738" w:type="dxa"/>
            <w:shd w:val="clear" w:color="auto" w:fill="FFFFFF"/>
            <w:tcMar>
              <w:top w:w="15" w:type="dxa"/>
              <w:left w:w="15" w:type="dxa"/>
              <w:bottom w:w="0" w:type="dxa"/>
              <w:right w:w="15" w:type="dxa"/>
            </w:tcMar>
            <w:vAlign w:val="top"/>
          </w:tcPr>
          <w:p w14:paraId="0552381C">
            <w:pPr>
              <w:pStyle w:val="5"/>
              <w:jc w:val="left"/>
              <w:rPr>
                <w:rFonts w:hint="eastAsia" w:ascii="宋体" w:hAnsi="宋体" w:eastAsia="宋体" w:cs="宋体"/>
                <w:highlight w:val="none"/>
              </w:rPr>
            </w:pPr>
          </w:p>
        </w:tc>
      </w:tr>
      <w:tr w14:paraId="12BE45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 w:type="dxa"/>
            <w:vMerge w:val="continue"/>
          </w:tcPr>
          <w:p w14:paraId="7FA9268B">
            <w:pPr>
              <w:rPr>
                <w:rFonts w:hint="eastAsia" w:ascii="宋体" w:hAnsi="宋体" w:eastAsia="宋体" w:cs="宋体"/>
                <w:highlight w:val="none"/>
              </w:rPr>
            </w:pPr>
          </w:p>
        </w:tc>
        <w:tc>
          <w:tcPr>
            <w:tcW w:w="240" w:type="dxa"/>
            <w:vMerge w:val="continue"/>
          </w:tcPr>
          <w:p w14:paraId="60FE0A30">
            <w:pPr>
              <w:rPr>
                <w:rFonts w:hint="eastAsia" w:ascii="宋体" w:hAnsi="宋体" w:eastAsia="宋体" w:cs="宋体"/>
                <w:highlight w:val="none"/>
              </w:rPr>
            </w:pPr>
          </w:p>
        </w:tc>
        <w:tc>
          <w:tcPr>
            <w:tcW w:w="831" w:type="dxa"/>
            <w:vMerge w:val="continue"/>
          </w:tcPr>
          <w:p w14:paraId="627FB2BE">
            <w:pPr>
              <w:rPr>
                <w:rFonts w:hint="eastAsia" w:ascii="宋体" w:hAnsi="宋体" w:eastAsia="宋体" w:cs="宋体"/>
                <w:highlight w:val="none"/>
              </w:rPr>
            </w:pPr>
          </w:p>
        </w:tc>
        <w:tc>
          <w:tcPr>
            <w:tcW w:w="6255" w:type="dxa"/>
            <w:gridSpan w:val="4"/>
            <w:shd w:val="clear" w:color="auto" w:fill="FFFFFF"/>
            <w:tcMar>
              <w:top w:w="15" w:type="dxa"/>
              <w:left w:w="15" w:type="dxa"/>
              <w:bottom w:w="0" w:type="dxa"/>
              <w:right w:w="15" w:type="dxa"/>
            </w:tcMar>
            <w:vAlign w:val="top"/>
          </w:tcPr>
          <w:p w14:paraId="21CAFC3B">
            <w:pPr>
              <w:pStyle w:val="5"/>
              <w:jc w:val="left"/>
              <w:rPr>
                <w:rFonts w:hint="eastAsia" w:ascii="宋体" w:hAnsi="宋体" w:eastAsia="宋体" w:cs="宋体"/>
                <w:highlight w:val="none"/>
              </w:rPr>
            </w:pPr>
            <w:r>
              <w:rPr>
                <w:rFonts w:hint="eastAsia" w:ascii="宋体" w:hAnsi="宋体" w:eastAsia="宋体" w:cs="宋体"/>
                <w:color w:val="000000"/>
                <w:sz w:val="21"/>
                <w:highlight w:val="none"/>
              </w:rPr>
              <w:t>填写《工作联系单》或《对数记录表》时，问题表述不清晰不具体，每发现一次扣5分</w:t>
            </w:r>
          </w:p>
        </w:tc>
        <w:tc>
          <w:tcPr>
            <w:tcW w:w="738" w:type="dxa"/>
            <w:shd w:val="clear" w:color="auto" w:fill="FFFFFF"/>
            <w:tcMar>
              <w:top w:w="15" w:type="dxa"/>
              <w:left w:w="15" w:type="dxa"/>
              <w:bottom w:w="0" w:type="dxa"/>
              <w:right w:w="15" w:type="dxa"/>
            </w:tcMar>
            <w:vAlign w:val="top"/>
          </w:tcPr>
          <w:p w14:paraId="69AEF7F2">
            <w:pPr>
              <w:pStyle w:val="5"/>
              <w:jc w:val="left"/>
              <w:rPr>
                <w:rFonts w:hint="eastAsia" w:ascii="宋体" w:hAnsi="宋体" w:eastAsia="宋体" w:cs="宋体"/>
                <w:highlight w:val="none"/>
              </w:rPr>
            </w:pPr>
          </w:p>
        </w:tc>
      </w:tr>
      <w:tr w14:paraId="0A8265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 w:type="dxa"/>
            <w:vMerge w:val="continue"/>
          </w:tcPr>
          <w:p w14:paraId="11A6FF23">
            <w:pPr>
              <w:rPr>
                <w:rFonts w:hint="eastAsia" w:ascii="宋体" w:hAnsi="宋体" w:eastAsia="宋体" w:cs="宋体"/>
                <w:highlight w:val="none"/>
              </w:rPr>
            </w:pPr>
          </w:p>
        </w:tc>
        <w:tc>
          <w:tcPr>
            <w:tcW w:w="240" w:type="dxa"/>
            <w:vMerge w:val="continue"/>
          </w:tcPr>
          <w:p w14:paraId="3F391C67">
            <w:pPr>
              <w:rPr>
                <w:rFonts w:hint="eastAsia" w:ascii="宋体" w:hAnsi="宋体" w:eastAsia="宋体" w:cs="宋体"/>
                <w:highlight w:val="none"/>
              </w:rPr>
            </w:pPr>
          </w:p>
        </w:tc>
        <w:tc>
          <w:tcPr>
            <w:tcW w:w="831" w:type="dxa"/>
            <w:vMerge w:val="continue"/>
          </w:tcPr>
          <w:p w14:paraId="16AC1DC2">
            <w:pPr>
              <w:rPr>
                <w:rFonts w:hint="eastAsia" w:ascii="宋体" w:hAnsi="宋体" w:eastAsia="宋体" w:cs="宋体"/>
                <w:highlight w:val="none"/>
              </w:rPr>
            </w:pPr>
          </w:p>
        </w:tc>
        <w:tc>
          <w:tcPr>
            <w:tcW w:w="6255" w:type="dxa"/>
            <w:gridSpan w:val="4"/>
            <w:shd w:val="clear" w:color="auto" w:fill="FFFFFF"/>
            <w:tcMar>
              <w:top w:w="15" w:type="dxa"/>
              <w:left w:w="15" w:type="dxa"/>
              <w:bottom w:w="0" w:type="dxa"/>
              <w:right w:w="15" w:type="dxa"/>
            </w:tcMar>
            <w:vAlign w:val="top"/>
          </w:tcPr>
          <w:p w14:paraId="3B155925">
            <w:pPr>
              <w:pStyle w:val="5"/>
              <w:jc w:val="left"/>
              <w:rPr>
                <w:rFonts w:hint="eastAsia" w:ascii="宋体" w:hAnsi="宋体" w:eastAsia="宋体" w:cs="宋体"/>
                <w:highlight w:val="none"/>
              </w:rPr>
            </w:pPr>
            <w:r>
              <w:rPr>
                <w:rFonts w:hint="eastAsia" w:ascii="宋体" w:hAnsi="宋体" w:eastAsia="宋体" w:cs="宋体"/>
                <w:color w:val="000000"/>
                <w:sz w:val="21"/>
                <w:highlight w:val="none"/>
              </w:rPr>
              <w:t>评审过程中对问题不能自行按行业规范作出判断并及时解析，导致对数时间延误，每出现一次扣20分</w:t>
            </w:r>
          </w:p>
        </w:tc>
        <w:tc>
          <w:tcPr>
            <w:tcW w:w="738" w:type="dxa"/>
            <w:shd w:val="clear" w:color="auto" w:fill="FFFFFF"/>
            <w:tcMar>
              <w:top w:w="15" w:type="dxa"/>
              <w:left w:w="15" w:type="dxa"/>
              <w:bottom w:w="0" w:type="dxa"/>
              <w:right w:w="15" w:type="dxa"/>
            </w:tcMar>
            <w:vAlign w:val="top"/>
          </w:tcPr>
          <w:p w14:paraId="0BBE6E9A">
            <w:pPr>
              <w:pStyle w:val="5"/>
              <w:jc w:val="left"/>
              <w:rPr>
                <w:rFonts w:hint="eastAsia" w:ascii="宋体" w:hAnsi="宋体" w:eastAsia="宋体" w:cs="宋体"/>
                <w:highlight w:val="none"/>
              </w:rPr>
            </w:pPr>
          </w:p>
        </w:tc>
      </w:tr>
      <w:tr w14:paraId="280EDC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 w:type="dxa"/>
            <w:vMerge w:val="continue"/>
          </w:tcPr>
          <w:p w14:paraId="3104A53D">
            <w:pPr>
              <w:rPr>
                <w:rFonts w:hint="eastAsia" w:ascii="宋体" w:hAnsi="宋体" w:eastAsia="宋体" w:cs="宋体"/>
                <w:highlight w:val="none"/>
              </w:rPr>
            </w:pPr>
          </w:p>
        </w:tc>
        <w:tc>
          <w:tcPr>
            <w:tcW w:w="240" w:type="dxa"/>
            <w:vMerge w:val="continue"/>
          </w:tcPr>
          <w:p w14:paraId="6732475D">
            <w:pPr>
              <w:rPr>
                <w:rFonts w:hint="eastAsia" w:ascii="宋体" w:hAnsi="宋体" w:eastAsia="宋体" w:cs="宋体"/>
                <w:highlight w:val="none"/>
              </w:rPr>
            </w:pPr>
          </w:p>
        </w:tc>
        <w:tc>
          <w:tcPr>
            <w:tcW w:w="831" w:type="dxa"/>
            <w:vMerge w:val="continue"/>
          </w:tcPr>
          <w:p w14:paraId="7C629C2B">
            <w:pPr>
              <w:rPr>
                <w:rFonts w:hint="eastAsia" w:ascii="宋体" w:hAnsi="宋体" w:eastAsia="宋体" w:cs="宋体"/>
                <w:highlight w:val="none"/>
              </w:rPr>
            </w:pPr>
          </w:p>
        </w:tc>
        <w:tc>
          <w:tcPr>
            <w:tcW w:w="6255" w:type="dxa"/>
            <w:gridSpan w:val="4"/>
            <w:shd w:val="clear" w:color="auto" w:fill="FFFFFF"/>
            <w:tcMar>
              <w:top w:w="15" w:type="dxa"/>
              <w:left w:w="15" w:type="dxa"/>
              <w:bottom w:w="0" w:type="dxa"/>
              <w:right w:w="15" w:type="dxa"/>
            </w:tcMar>
            <w:vAlign w:val="top"/>
          </w:tcPr>
          <w:p w14:paraId="79384475">
            <w:pPr>
              <w:pStyle w:val="5"/>
              <w:jc w:val="left"/>
              <w:rPr>
                <w:rFonts w:hint="eastAsia" w:ascii="宋体" w:hAnsi="宋体" w:eastAsia="宋体" w:cs="宋体"/>
                <w:highlight w:val="none"/>
              </w:rPr>
            </w:pPr>
            <w:r>
              <w:rPr>
                <w:rFonts w:hint="eastAsia" w:ascii="宋体" w:hAnsi="宋体" w:eastAsia="宋体" w:cs="宋体"/>
                <w:color w:val="000000"/>
                <w:sz w:val="21"/>
                <w:highlight w:val="none"/>
              </w:rPr>
              <w:t>不提供工程量计算文件，每出现一次扣20分</w:t>
            </w:r>
          </w:p>
        </w:tc>
        <w:tc>
          <w:tcPr>
            <w:tcW w:w="738" w:type="dxa"/>
            <w:shd w:val="clear" w:color="auto" w:fill="FFFFFF"/>
            <w:tcMar>
              <w:top w:w="15" w:type="dxa"/>
              <w:left w:w="15" w:type="dxa"/>
              <w:bottom w:w="0" w:type="dxa"/>
              <w:right w:w="15" w:type="dxa"/>
            </w:tcMar>
            <w:vAlign w:val="top"/>
          </w:tcPr>
          <w:p w14:paraId="3D9B3161">
            <w:pPr>
              <w:pStyle w:val="5"/>
              <w:jc w:val="left"/>
              <w:rPr>
                <w:rFonts w:hint="eastAsia" w:ascii="宋体" w:hAnsi="宋体" w:eastAsia="宋体" w:cs="宋体"/>
                <w:highlight w:val="none"/>
              </w:rPr>
            </w:pPr>
          </w:p>
        </w:tc>
      </w:tr>
      <w:tr w14:paraId="5DE5D9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 w:type="dxa"/>
            <w:vMerge w:val="continue"/>
          </w:tcPr>
          <w:p w14:paraId="70C639D1">
            <w:pPr>
              <w:rPr>
                <w:rFonts w:hint="eastAsia" w:ascii="宋体" w:hAnsi="宋体" w:eastAsia="宋体" w:cs="宋体"/>
                <w:highlight w:val="none"/>
              </w:rPr>
            </w:pPr>
          </w:p>
        </w:tc>
        <w:tc>
          <w:tcPr>
            <w:tcW w:w="240" w:type="dxa"/>
            <w:vMerge w:val="continue"/>
          </w:tcPr>
          <w:p w14:paraId="1E48A90E">
            <w:pPr>
              <w:rPr>
                <w:rFonts w:hint="eastAsia" w:ascii="宋体" w:hAnsi="宋体" w:eastAsia="宋体" w:cs="宋体"/>
                <w:highlight w:val="none"/>
              </w:rPr>
            </w:pPr>
          </w:p>
        </w:tc>
        <w:tc>
          <w:tcPr>
            <w:tcW w:w="831" w:type="dxa"/>
            <w:vMerge w:val="continue"/>
          </w:tcPr>
          <w:p w14:paraId="3B867194">
            <w:pPr>
              <w:rPr>
                <w:rFonts w:hint="eastAsia" w:ascii="宋体" w:hAnsi="宋体" w:eastAsia="宋体" w:cs="宋体"/>
                <w:highlight w:val="none"/>
              </w:rPr>
            </w:pPr>
          </w:p>
        </w:tc>
        <w:tc>
          <w:tcPr>
            <w:tcW w:w="6255" w:type="dxa"/>
            <w:gridSpan w:val="4"/>
            <w:shd w:val="clear" w:color="auto" w:fill="FFFFFF"/>
            <w:tcMar>
              <w:top w:w="15" w:type="dxa"/>
              <w:left w:w="15" w:type="dxa"/>
              <w:bottom w:w="0" w:type="dxa"/>
              <w:right w:w="15" w:type="dxa"/>
            </w:tcMar>
            <w:vAlign w:val="top"/>
          </w:tcPr>
          <w:p w14:paraId="683D43B9">
            <w:pPr>
              <w:pStyle w:val="5"/>
              <w:jc w:val="left"/>
              <w:rPr>
                <w:rFonts w:hint="eastAsia" w:ascii="宋体" w:hAnsi="宋体" w:eastAsia="宋体" w:cs="宋体"/>
                <w:highlight w:val="none"/>
              </w:rPr>
            </w:pPr>
            <w:r>
              <w:rPr>
                <w:rFonts w:hint="eastAsia" w:ascii="宋体" w:hAnsi="宋体" w:eastAsia="宋体" w:cs="宋体"/>
                <w:color w:val="000000"/>
                <w:sz w:val="21"/>
                <w:highlight w:val="none"/>
              </w:rPr>
              <w:t>计算混乱或错误，每出现一处扣5分</w:t>
            </w:r>
          </w:p>
        </w:tc>
        <w:tc>
          <w:tcPr>
            <w:tcW w:w="738" w:type="dxa"/>
            <w:shd w:val="clear" w:color="auto" w:fill="FFFFFF"/>
            <w:tcMar>
              <w:top w:w="15" w:type="dxa"/>
              <w:left w:w="15" w:type="dxa"/>
              <w:bottom w:w="0" w:type="dxa"/>
              <w:right w:w="15" w:type="dxa"/>
            </w:tcMar>
            <w:vAlign w:val="top"/>
          </w:tcPr>
          <w:p w14:paraId="070C7051">
            <w:pPr>
              <w:pStyle w:val="5"/>
              <w:jc w:val="left"/>
              <w:rPr>
                <w:rFonts w:hint="eastAsia" w:ascii="宋体" w:hAnsi="宋体" w:eastAsia="宋体" w:cs="宋体"/>
                <w:highlight w:val="none"/>
              </w:rPr>
            </w:pPr>
          </w:p>
        </w:tc>
      </w:tr>
      <w:tr w14:paraId="3F9C40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 w:type="dxa"/>
            <w:vMerge w:val="continue"/>
          </w:tcPr>
          <w:p w14:paraId="49F06B8D">
            <w:pPr>
              <w:rPr>
                <w:rFonts w:hint="eastAsia" w:ascii="宋体" w:hAnsi="宋体" w:eastAsia="宋体" w:cs="宋体"/>
                <w:highlight w:val="none"/>
              </w:rPr>
            </w:pPr>
          </w:p>
        </w:tc>
        <w:tc>
          <w:tcPr>
            <w:tcW w:w="240" w:type="dxa"/>
            <w:vMerge w:val="continue"/>
          </w:tcPr>
          <w:p w14:paraId="12A9E6AA">
            <w:pPr>
              <w:rPr>
                <w:rFonts w:hint="eastAsia" w:ascii="宋体" w:hAnsi="宋体" w:eastAsia="宋体" w:cs="宋体"/>
                <w:highlight w:val="none"/>
              </w:rPr>
            </w:pPr>
          </w:p>
        </w:tc>
        <w:tc>
          <w:tcPr>
            <w:tcW w:w="831" w:type="dxa"/>
            <w:vMerge w:val="continue"/>
          </w:tcPr>
          <w:p w14:paraId="226F4660">
            <w:pPr>
              <w:rPr>
                <w:rFonts w:hint="eastAsia" w:ascii="宋体" w:hAnsi="宋体" w:eastAsia="宋体" w:cs="宋体"/>
                <w:highlight w:val="none"/>
              </w:rPr>
            </w:pPr>
          </w:p>
        </w:tc>
        <w:tc>
          <w:tcPr>
            <w:tcW w:w="6255" w:type="dxa"/>
            <w:gridSpan w:val="4"/>
            <w:shd w:val="clear" w:color="auto" w:fill="FFFFFF"/>
            <w:tcMar>
              <w:top w:w="15" w:type="dxa"/>
              <w:left w:w="15" w:type="dxa"/>
              <w:bottom w:w="0" w:type="dxa"/>
              <w:right w:w="15" w:type="dxa"/>
            </w:tcMar>
            <w:vAlign w:val="top"/>
          </w:tcPr>
          <w:p w14:paraId="0C2568DD">
            <w:pPr>
              <w:pStyle w:val="5"/>
              <w:jc w:val="left"/>
              <w:rPr>
                <w:rFonts w:hint="eastAsia" w:ascii="宋体" w:hAnsi="宋体" w:eastAsia="宋体" w:cs="宋体"/>
                <w:highlight w:val="none"/>
              </w:rPr>
            </w:pPr>
            <w:r>
              <w:rPr>
                <w:rFonts w:hint="eastAsia" w:ascii="宋体" w:hAnsi="宋体" w:eastAsia="宋体" w:cs="宋体"/>
                <w:color w:val="000000"/>
                <w:sz w:val="21"/>
                <w:highlight w:val="none"/>
              </w:rPr>
              <w:t>没有按要求每次修改提供修改对比说明，每一次扣5分</w:t>
            </w:r>
          </w:p>
        </w:tc>
        <w:tc>
          <w:tcPr>
            <w:tcW w:w="738" w:type="dxa"/>
            <w:shd w:val="clear" w:color="auto" w:fill="FFFFFF"/>
            <w:tcMar>
              <w:top w:w="15" w:type="dxa"/>
              <w:left w:w="15" w:type="dxa"/>
              <w:bottom w:w="0" w:type="dxa"/>
              <w:right w:w="15" w:type="dxa"/>
            </w:tcMar>
            <w:vAlign w:val="top"/>
          </w:tcPr>
          <w:p w14:paraId="434A0540">
            <w:pPr>
              <w:pStyle w:val="5"/>
              <w:jc w:val="left"/>
              <w:rPr>
                <w:rFonts w:hint="eastAsia" w:ascii="宋体" w:hAnsi="宋体" w:eastAsia="宋体" w:cs="宋体"/>
                <w:highlight w:val="none"/>
              </w:rPr>
            </w:pPr>
          </w:p>
        </w:tc>
      </w:tr>
      <w:tr w14:paraId="19CEF3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 w:type="dxa"/>
            <w:vMerge w:val="continue"/>
          </w:tcPr>
          <w:p w14:paraId="0CEBBDC0">
            <w:pPr>
              <w:rPr>
                <w:rFonts w:hint="eastAsia" w:ascii="宋体" w:hAnsi="宋体" w:eastAsia="宋体" w:cs="宋体"/>
                <w:highlight w:val="none"/>
              </w:rPr>
            </w:pPr>
          </w:p>
        </w:tc>
        <w:tc>
          <w:tcPr>
            <w:tcW w:w="240" w:type="dxa"/>
            <w:vMerge w:val="continue"/>
          </w:tcPr>
          <w:p w14:paraId="530160FA">
            <w:pPr>
              <w:rPr>
                <w:rFonts w:hint="eastAsia" w:ascii="宋体" w:hAnsi="宋体" w:eastAsia="宋体" w:cs="宋体"/>
                <w:highlight w:val="none"/>
              </w:rPr>
            </w:pPr>
          </w:p>
        </w:tc>
        <w:tc>
          <w:tcPr>
            <w:tcW w:w="831" w:type="dxa"/>
            <w:vMerge w:val="continue"/>
          </w:tcPr>
          <w:p w14:paraId="2E5FFB06">
            <w:pPr>
              <w:rPr>
                <w:rFonts w:hint="eastAsia" w:ascii="宋体" w:hAnsi="宋体" w:eastAsia="宋体" w:cs="宋体"/>
                <w:highlight w:val="none"/>
              </w:rPr>
            </w:pPr>
          </w:p>
        </w:tc>
        <w:tc>
          <w:tcPr>
            <w:tcW w:w="6255" w:type="dxa"/>
            <w:gridSpan w:val="4"/>
            <w:shd w:val="clear" w:color="auto" w:fill="FFFFFF"/>
            <w:tcMar>
              <w:top w:w="15" w:type="dxa"/>
              <w:left w:w="15" w:type="dxa"/>
              <w:bottom w:w="0" w:type="dxa"/>
              <w:right w:w="15" w:type="dxa"/>
            </w:tcMar>
            <w:vAlign w:val="top"/>
          </w:tcPr>
          <w:p w14:paraId="308B3BD3">
            <w:pPr>
              <w:pStyle w:val="5"/>
              <w:jc w:val="left"/>
              <w:rPr>
                <w:rFonts w:hint="eastAsia" w:ascii="宋体" w:hAnsi="宋体" w:eastAsia="宋体" w:cs="宋体"/>
                <w:highlight w:val="none"/>
              </w:rPr>
            </w:pPr>
            <w:r>
              <w:rPr>
                <w:rFonts w:hint="eastAsia" w:ascii="宋体" w:hAnsi="宋体" w:eastAsia="宋体" w:cs="宋体"/>
                <w:color w:val="000000"/>
                <w:sz w:val="21"/>
                <w:highlight w:val="none"/>
              </w:rPr>
              <w:t>不按采购人规定格式，每遗漏、错误一处扣6分</w:t>
            </w:r>
          </w:p>
        </w:tc>
        <w:tc>
          <w:tcPr>
            <w:tcW w:w="738" w:type="dxa"/>
            <w:shd w:val="clear" w:color="auto" w:fill="FFFFFF"/>
            <w:tcMar>
              <w:top w:w="15" w:type="dxa"/>
              <w:left w:w="15" w:type="dxa"/>
              <w:bottom w:w="0" w:type="dxa"/>
              <w:right w:w="15" w:type="dxa"/>
            </w:tcMar>
            <w:vAlign w:val="top"/>
          </w:tcPr>
          <w:p w14:paraId="1134133A">
            <w:pPr>
              <w:pStyle w:val="5"/>
              <w:jc w:val="left"/>
              <w:rPr>
                <w:rFonts w:hint="eastAsia" w:ascii="宋体" w:hAnsi="宋体" w:eastAsia="宋体" w:cs="宋体"/>
                <w:highlight w:val="none"/>
              </w:rPr>
            </w:pPr>
          </w:p>
        </w:tc>
      </w:tr>
      <w:tr w14:paraId="4F412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 w:type="dxa"/>
            <w:vMerge w:val="continue"/>
          </w:tcPr>
          <w:p w14:paraId="118D41E6">
            <w:pPr>
              <w:rPr>
                <w:rFonts w:hint="eastAsia" w:ascii="宋体" w:hAnsi="宋体" w:eastAsia="宋体" w:cs="宋体"/>
                <w:highlight w:val="none"/>
              </w:rPr>
            </w:pPr>
          </w:p>
        </w:tc>
        <w:tc>
          <w:tcPr>
            <w:tcW w:w="240" w:type="dxa"/>
            <w:vMerge w:val="continue"/>
          </w:tcPr>
          <w:p w14:paraId="0465E3A0">
            <w:pPr>
              <w:rPr>
                <w:rFonts w:hint="eastAsia" w:ascii="宋体" w:hAnsi="宋体" w:eastAsia="宋体" w:cs="宋体"/>
                <w:highlight w:val="none"/>
              </w:rPr>
            </w:pPr>
          </w:p>
        </w:tc>
        <w:tc>
          <w:tcPr>
            <w:tcW w:w="831" w:type="dxa"/>
            <w:vMerge w:val="continue"/>
          </w:tcPr>
          <w:p w14:paraId="5EC5DEB4">
            <w:pPr>
              <w:rPr>
                <w:rFonts w:hint="eastAsia" w:ascii="宋体" w:hAnsi="宋体" w:eastAsia="宋体" w:cs="宋体"/>
                <w:highlight w:val="none"/>
              </w:rPr>
            </w:pPr>
          </w:p>
        </w:tc>
        <w:tc>
          <w:tcPr>
            <w:tcW w:w="6255" w:type="dxa"/>
            <w:gridSpan w:val="4"/>
            <w:shd w:val="clear" w:color="auto" w:fill="FFFFFF"/>
            <w:tcMar>
              <w:top w:w="15" w:type="dxa"/>
              <w:left w:w="15" w:type="dxa"/>
              <w:bottom w:w="0" w:type="dxa"/>
              <w:right w:w="15" w:type="dxa"/>
            </w:tcMar>
            <w:vAlign w:val="top"/>
          </w:tcPr>
          <w:p w14:paraId="0BB5808F">
            <w:pPr>
              <w:pStyle w:val="5"/>
              <w:jc w:val="left"/>
              <w:rPr>
                <w:rFonts w:hint="eastAsia" w:ascii="宋体" w:hAnsi="宋体" w:eastAsia="宋体" w:cs="宋体"/>
                <w:highlight w:val="none"/>
              </w:rPr>
            </w:pPr>
            <w:r>
              <w:rPr>
                <w:rFonts w:hint="eastAsia" w:ascii="宋体" w:hAnsi="宋体" w:eastAsia="宋体" w:cs="宋体"/>
                <w:color w:val="000000"/>
                <w:sz w:val="21"/>
                <w:highlight w:val="none"/>
              </w:rPr>
              <w:t>未按合同或有关计算标准，计算待摊投资的，每发现一处扣5分</w:t>
            </w:r>
          </w:p>
        </w:tc>
        <w:tc>
          <w:tcPr>
            <w:tcW w:w="738" w:type="dxa"/>
            <w:shd w:val="clear" w:color="auto" w:fill="FFFFFF"/>
            <w:tcMar>
              <w:top w:w="15" w:type="dxa"/>
              <w:left w:w="15" w:type="dxa"/>
              <w:bottom w:w="0" w:type="dxa"/>
              <w:right w:w="15" w:type="dxa"/>
            </w:tcMar>
            <w:vAlign w:val="top"/>
          </w:tcPr>
          <w:p w14:paraId="40F5D94F">
            <w:pPr>
              <w:pStyle w:val="5"/>
              <w:jc w:val="left"/>
              <w:rPr>
                <w:rFonts w:hint="eastAsia" w:ascii="宋体" w:hAnsi="宋体" w:eastAsia="宋体" w:cs="宋体"/>
                <w:highlight w:val="none"/>
              </w:rPr>
            </w:pPr>
          </w:p>
        </w:tc>
      </w:tr>
      <w:tr w14:paraId="4950D7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 w:type="dxa"/>
            <w:vMerge w:val="continue"/>
          </w:tcPr>
          <w:p w14:paraId="3828F268">
            <w:pPr>
              <w:rPr>
                <w:rFonts w:hint="eastAsia" w:ascii="宋体" w:hAnsi="宋体" w:eastAsia="宋体" w:cs="宋体"/>
                <w:highlight w:val="none"/>
              </w:rPr>
            </w:pPr>
          </w:p>
        </w:tc>
        <w:tc>
          <w:tcPr>
            <w:tcW w:w="240" w:type="dxa"/>
            <w:vMerge w:val="restart"/>
            <w:shd w:val="clear" w:color="auto" w:fill="FFFFFF"/>
            <w:tcMar>
              <w:top w:w="15" w:type="dxa"/>
              <w:left w:w="15" w:type="dxa"/>
              <w:bottom w:w="0" w:type="dxa"/>
              <w:right w:w="15" w:type="dxa"/>
            </w:tcMar>
            <w:vAlign w:val="top"/>
          </w:tcPr>
          <w:p w14:paraId="2C038B81">
            <w:pPr>
              <w:pStyle w:val="5"/>
              <w:jc w:val="center"/>
              <w:rPr>
                <w:rFonts w:hint="eastAsia" w:ascii="宋体" w:hAnsi="宋体" w:eastAsia="宋体" w:cs="宋体"/>
                <w:highlight w:val="none"/>
              </w:rPr>
            </w:pPr>
            <w:r>
              <w:rPr>
                <w:rFonts w:hint="eastAsia" w:ascii="宋体" w:hAnsi="宋体" w:eastAsia="宋体" w:cs="宋体"/>
                <w:color w:val="000000"/>
                <w:sz w:val="21"/>
                <w:highlight w:val="none"/>
              </w:rPr>
              <w:t>评</w:t>
            </w:r>
          </w:p>
          <w:p w14:paraId="41C8AA2D">
            <w:pPr>
              <w:pStyle w:val="5"/>
              <w:jc w:val="center"/>
              <w:rPr>
                <w:rFonts w:hint="eastAsia" w:ascii="宋体" w:hAnsi="宋体" w:eastAsia="宋体" w:cs="宋体"/>
                <w:highlight w:val="none"/>
              </w:rPr>
            </w:pPr>
            <w:r>
              <w:rPr>
                <w:rFonts w:hint="eastAsia" w:ascii="宋体" w:hAnsi="宋体" w:eastAsia="宋体" w:cs="宋体"/>
                <w:color w:val="000000"/>
                <w:sz w:val="21"/>
                <w:highlight w:val="none"/>
              </w:rPr>
              <w:t>审</w:t>
            </w:r>
          </w:p>
          <w:p w14:paraId="4A6E2AEF">
            <w:pPr>
              <w:pStyle w:val="5"/>
              <w:jc w:val="center"/>
              <w:rPr>
                <w:rFonts w:hint="eastAsia" w:ascii="宋体" w:hAnsi="宋体" w:eastAsia="宋体" w:cs="宋体"/>
                <w:highlight w:val="none"/>
              </w:rPr>
            </w:pPr>
            <w:r>
              <w:rPr>
                <w:rFonts w:hint="eastAsia" w:ascii="宋体" w:hAnsi="宋体" w:eastAsia="宋体" w:cs="宋体"/>
                <w:color w:val="000000"/>
                <w:sz w:val="21"/>
                <w:highlight w:val="none"/>
              </w:rPr>
              <w:t>态</w:t>
            </w:r>
          </w:p>
          <w:p w14:paraId="6012DD36">
            <w:pPr>
              <w:pStyle w:val="5"/>
              <w:jc w:val="center"/>
              <w:rPr>
                <w:rFonts w:hint="eastAsia" w:ascii="宋体" w:hAnsi="宋体" w:eastAsia="宋体" w:cs="宋体"/>
                <w:highlight w:val="none"/>
              </w:rPr>
            </w:pPr>
            <w:r>
              <w:rPr>
                <w:rFonts w:hint="eastAsia" w:ascii="宋体" w:hAnsi="宋体" w:eastAsia="宋体" w:cs="宋体"/>
                <w:color w:val="000000"/>
                <w:sz w:val="21"/>
                <w:highlight w:val="none"/>
              </w:rPr>
              <w:t>度</w:t>
            </w:r>
          </w:p>
        </w:tc>
        <w:tc>
          <w:tcPr>
            <w:tcW w:w="831" w:type="dxa"/>
            <w:vMerge w:val="restart"/>
            <w:shd w:val="clear" w:color="auto" w:fill="FFFFFF"/>
            <w:tcMar>
              <w:top w:w="15" w:type="dxa"/>
              <w:left w:w="15" w:type="dxa"/>
              <w:bottom w:w="0" w:type="dxa"/>
              <w:right w:w="15" w:type="dxa"/>
            </w:tcMar>
            <w:vAlign w:val="top"/>
          </w:tcPr>
          <w:p w14:paraId="02DEFAFE">
            <w:pPr>
              <w:pStyle w:val="5"/>
              <w:jc w:val="center"/>
              <w:rPr>
                <w:rFonts w:hint="eastAsia" w:ascii="宋体" w:hAnsi="宋体" w:eastAsia="宋体" w:cs="宋体"/>
                <w:highlight w:val="none"/>
              </w:rPr>
            </w:pPr>
            <w:r>
              <w:rPr>
                <w:rFonts w:hint="eastAsia" w:ascii="宋体" w:hAnsi="宋体" w:eastAsia="宋体" w:cs="宋体"/>
                <w:color w:val="000000"/>
                <w:sz w:val="21"/>
                <w:highlight w:val="none"/>
              </w:rPr>
              <w:t>服</w:t>
            </w:r>
          </w:p>
          <w:p w14:paraId="7D68C227">
            <w:pPr>
              <w:pStyle w:val="5"/>
              <w:jc w:val="center"/>
              <w:rPr>
                <w:rFonts w:hint="eastAsia" w:ascii="宋体" w:hAnsi="宋体" w:eastAsia="宋体" w:cs="宋体"/>
                <w:highlight w:val="none"/>
              </w:rPr>
            </w:pPr>
            <w:r>
              <w:rPr>
                <w:rFonts w:hint="eastAsia" w:ascii="宋体" w:hAnsi="宋体" w:eastAsia="宋体" w:cs="宋体"/>
                <w:color w:val="000000"/>
                <w:sz w:val="21"/>
                <w:highlight w:val="none"/>
              </w:rPr>
              <w:t>务</w:t>
            </w:r>
          </w:p>
          <w:p w14:paraId="0C980DF3">
            <w:pPr>
              <w:pStyle w:val="5"/>
              <w:jc w:val="center"/>
              <w:rPr>
                <w:rFonts w:hint="eastAsia" w:ascii="宋体" w:hAnsi="宋体" w:eastAsia="宋体" w:cs="宋体"/>
                <w:highlight w:val="none"/>
              </w:rPr>
            </w:pPr>
            <w:r>
              <w:rPr>
                <w:rFonts w:hint="eastAsia" w:ascii="宋体" w:hAnsi="宋体" w:eastAsia="宋体" w:cs="宋体"/>
                <w:color w:val="000000"/>
                <w:sz w:val="21"/>
                <w:highlight w:val="none"/>
              </w:rPr>
              <w:t>态</w:t>
            </w:r>
          </w:p>
          <w:p w14:paraId="0416AD2F">
            <w:pPr>
              <w:pStyle w:val="5"/>
              <w:jc w:val="center"/>
              <w:rPr>
                <w:rFonts w:hint="eastAsia" w:ascii="宋体" w:hAnsi="宋体" w:eastAsia="宋体" w:cs="宋体"/>
                <w:highlight w:val="none"/>
              </w:rPr>
            </w:pPr>
            <w:r>
              <w:rPr>
                <w:rFonts w:hint="eastAsia" w:ascii="宋体" w:hAnsi="宋体" w:eastAsia="宋体" w:cs="宋体"/>
                <w:color w:val="000000"/>
                <w:sz w:val="21"/>
                <w:highlight w:val="none"/>
              </w:rPr>
              <w:t>度</w:t>
            </w:r>
          </w:p>
        </w:tc>
        <w:tc>
          <w:tcPr>
            <w:tcW w:w="6255" w:type="dxa"/>
            <w:gridSpan w:val="4"/>
            <w:shd w:val="clear" w:color="auto" w:fill="FFFFFF"/>
            <w:tcMar>
              <w:top w:w="15" w:type="dxa"/>
              <w:left w:w="15" w:type="dxa"/>
              <w:bottom w:w="0" w:type="dxa"/>
              <w:right w:w="15" w:type="dxa"/>
            </w:tcMar>
            <w:vAlign w:val="top"/>
          </w:tcPr>
          <w:p w14:paraId="06C5B04B">
            <w:pPr>
              <w:pStyle w:val="5"/>
              <w:jc w:val="left"/>
              <w:rPr>
                <w:rFonts w:hint="eastAsia" w:ascii="宋体" w:hAnsi="宋体" w:eastAsia="宋体" w:cs="宋体"/>
                <w:highlight w:val="none"/>
              </w:rPr>
            </w:pPr>
            <w:r>
              <w:rPr>
                <w:rFonts w:hint="eastAsia" w:ascii="宋体" w:hAnsi="宋体" w:eastAsia="宋体" w:cs="宋体"/>
                <w:color w:val="000000"/>
                <w:sz w:val="21"/>
                <w:highlight w:val="none"/>
              </w:rPr>
              <w:t>逾期1个工作日扣5分，逾期2个工作日扣10分，如此类推。</w:t>
            </w:r>
          </w:p>
        </w:tc>
        <w:tc>
          <w:tcPr>
            <w:tcW w:w="738" w:type="dxa"/>
            <w:shd w:val="clear" w:color="auto" w:fill="FFFFFF"/>
            <w:tcMar>
              <w:top w:w="15" w:type="dxa"/>
              <w:left w:w="15" w:type="dxa"/>
              <w:bottom w:w="0" w:type="dxa"/>
              <w:right w:w="15" w:type="dxa"/>
            </w:tcMar>
            <w:vAlign w:val="top"/>
          </w:tcPr>
          <w:p w14:paraId="6DB38819">
            <w:pPr>
              <w:pStyle w:val="5"/>
              <w:jc w:val="left"/>
              <w:rPr>
                <w:rFonts w:hint="eastAsia" w:ascii="宋体" w:hAnsi="宋体" w:eastAsia="宋体" w:cs="宋体"/>
                <w:highlight w:val="none"/>
              </w:rPr>
            </w:pPr>
          </w:p>
        </w:tc>
      </w:tr>
      <w:tr w14:paraId="2232ED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 w:type="dxa"/>
            <w:vMerge w:val="continue"/>
          </w:tcPr>
          <w:p w14:paraId="60579800">
            <w:pPr>
              <w:rPr>
                <w:rFonts w:hint="eastAsia" w:ascii="宋体" w:hAnsi="宋体" w:eastAsia="宋体" w:cs="宋体"/>
                <w:highlight w:val="none"/>
              </w:rPr>
            </w:pPr>
          </w:p>
        </w:tc>
        <w:tc>
          <w:tcPr>
            <w:tcW w:w="240" w:type="dxa"/>
            <w:vMerge w:val="continue"/>
          </w:tcPr>
          <w:p w14:paraId="01D33108">
            <w:pPr>
              <w:rPr>
                <w:rFonts w:hint="eastAsia" w:ascii="宋体" w:hAnsi="宋体" w:eastAsia="宋体" w:cs="宋体"/>
                <w:highlight w:val="none"/>
              </w:rPr>
            </w:pPr>
          </w:p>
        </w:tc>
        <w:tc>
          <w:tcPr>
            <w:tcW w:w="831" w:type="dxa"/>
            <w:vMerge w:val="continue"/>
          </w:tcPr>
          <w:p w14:paraId="5DC830DB">
            <w:pPr>
              <w:rPr>
                <w:rFonts w:hint="eastAsia" w:ascii="宋体" w:hAnsi="宋体" w:eastAsia="宋体" w:cs="宋体"/>
                <w:highlight w:val="none"/>
              </w:rPr>
            </w:pPr>
          </w:p>
        </w:tc>
        <w:tc>
          <w:tcPr>
            <w:tcW w:w="6255" w:type="dxa"/>
            <w:gridSpan w:val="4"/>
            <w:shd w:val="clear" w:color="auto" w:fill="FFFFFF"/>
            <w:tcMar>
              <w:top w:w="15" w:type="dxa"/>
              <w:left w:w="15" w:type="dxa"/>
              <w:bottom w:w="0" w:type="dxa"/>
              <w:right w:w="15" w:type="dxa"/>
            </w:tcMar>
            <w:vAlign w:val="top"/>
          </w:tcPr>
          <w:p w14:paraId="469F0E3F">
            <w:pPr>
              <w:pStyle w:val="5"/>
              <w:jc w:val="left"/>
              <w:rPr>
                <w:rFonts w:hint="eastAsia" w:ascii="宋体" w:hAnsi="宋体" w:eastAsia="宋体" w:cs="宋体"/>
                <w:highlight w:val="none"/>
              </w:rPr>
            </w:pPr>
            <w:r>
              <w:rPr>
                <w:rFonts w:hint="eastAsia" w:ascii="宋体" w:hAnsi="宋体" w:eastAsia="宋体" w:cs="宋体"/>
                <w:color w:val="000000"/>
                <w:sz w:val="21"/>
                <w:highlight w:val="none"/>
              </w:rPr>
              <w:t>审核过程中，遇到关键资料缺失，是否提前与采购人沟通，并形成书面记录的，每出现一次扣10分</w:t>
            </w:r>
          </w:p>
        </w:tc>
        <w:tc>
          <w:tcPr>
            <w:tcW w:w="738" w:type="dxa"/>
            <w:shd w:val="clear" w:color="auto" w:fill="FFFFFF"/>
            <w:tcMar>
              <w:top w:w="15" w:type="dxa"/>
              <w:left w:w="15" w:type="dxa"/>
              <w:bottom w:w="0" w:type="dxa"/>
              <w:right w:w="15" w:type="dxa"/>
            </w:tcMar>
            <w:vAlign w:val="top"/>
          </w:tcPr>
          <w:p w14:paraId="70AC3195">
            <w:pPr>
              <w:pStyle w:val="5"/>
              <w:jc w:val="left"/>
              <w:rPr>
                <w:rFonts w:hint="eastAsia" w:ascii="宋体" w:hAnsi="宋体" w:eastAsia="宋体" w:cs="宋体"/>
                <w:highlight w:val="none"/>
              </w:rPr>
            </w:pPr>
          </w:p>
        </w:tc>
      </w:tr>
      <w:tr w14:paraId="2A6B2D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 w:type="dxa"/>
            <w:vMerge w:val="continue"/>
          </w:tcPr>
          <w:p w14:paraId="15E1AC55">
            <w:pPr>
              <w:rPr>
                <w:rFonts w:hint="eastAsia" w:ascii="宋体" w:hAnsi="宋体" w:eastAsia="宋体" w:cs="宋体"/>
                <w:highlight w:val="none"/>
              </w:rPr>
            </w:pPr>
          </w:p>
        </w:tc>
        <w:tc>
          <w:tcPr>
            <w:tcW w:w="240" w:type="dxa"/>
            <w:vMerge w:val="continue"/>
          </w:tcPr>
          <w:p w14:paraId="0BBF1CDB">
            <w:pPr>
              <w:rPr>
                <w:rFonts w:hint="eastAsia" w:ascii="宋体" w:hAnsi="宋体" w:eastAsia="宋体" w:cs="宋体"/>
                <w:highlight w:val="none"/>
              </w:rPr>
            </w:pPr>
          </w:p>
        </w:tc>
        <w:tc>
          <w:tcPr>
            <w:tcW w:w="831" w:type="dxa"/>
            <w:vMerge w:val="continue"/>
          </w:tcPr>
          <w:p w14:paraId="18D20978">
            <w:pPr>
              <w:rPr>
                <w:rFonts w:hint="eastAsia" w:ascii="宋体" w:hAnsi="宋体" w:eastAsia="宋体" w:cs="宋体"/>
                <w:highlight w:val="none"/>
              </w:rPr>
            </w:pPr>
          </w:p>
        </w:tc>
        <w:tc>
          <w:tcPr>
            <w:tcW w:w="6255" w:type="dxa"/>
            <w:gridSpan w:val="4"/>
            <w:shd w:val="clear" w:color="auto" w:fill="FFFFFF"/>
            <w:tcMar>
              <w:top w:w="15" w:type="dxa"/>
              <w:left w:w="15" w:type="dxa"/>
              <w:bottom w:w="0" w:type="dxa"/>
              <w:right w:w="15" w:type="dxa"/>
            </w:tcMar>
            <w:vAlign w:val="top"/>
          </w:tcPr>
          <w:p w14:paraId="7ACCD023">
            <w:pPr>
              <w:pStyle w:val="5"/>
              <w:jc w:val="left"/>
              <w:rPr>
                <w:rFonts w:hint="eastAsia" w:ascii="宋体" w:hAnsi="宋体" w:eastAsia="宋体" w:cs="宋体"/>
                <w:highlight w:val="none"/>
              </w:rPr>
            </w:pPr>
            <w:r>
              <w:rPr>
                <w:rFonts w:hint="eastAsia" w:ascii="宋体" w:hAnsi="宋体" w:eastAsia="宋体" w:cs="宋体"/>
                <w:color w:val="000000"/>
                <w:sz w:val="21"/>
                <w:highlight w:val="none"/>
              </w:rPr>
              <w:t>采购人提出修改意见并提出规定时间内修改完成，未按时修改完成的，每超时一天扣3分</w:t>
            </w:r>
          </w:p>
        </w:tc>
        <w:tc>
          <w:tcPr>
            <w:tcW w:w="738" w:type="dxa"/>
            <w:shd w:val="clear" w:color="auto" w:fill="FFFFFF"/>
            <w:tcMar>
              <w:top w:w="15" w:type="dxa"/>
              <w:left w:w="15" w:type="dxa"/>
              <w:bottom w:w="0" w:type="dxa"/>
              <w:right w:w="15" w:type="dxa"/>
            </w:tcMar>
            <w:vAlign w:val="top"/>
          </w:tcPr>
          <w:p w14:paraId="1FBD6129">
            <w:pPr>
              <w:pStyle w:val="5"/>
              <w:jc w:val="left"/>
              <w:rPr>
                <w:rFonts w:hint="eastAsia" w:ascii="宋体" w:hAnsi="宋体" w:eastAsia="宋体" w:cs="宋体"/>
                <w:highlight w:val="none"/>
              </w:rPr>
            </w:pPr>
          </w:p>
        </w:tc>
      </w:tr>
      <w:tr w14:paraId="3F7D92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 w:type="dxa"/>
            <w:vMerge w:val="continue"/>
          </w:tcPr>
          <w:p w14:paraId="33B9DF4B">
            <w:pPr>
              <w:rPr>
                <w:rFonts w:hint="eastAsia" w:ascii="宋体" w:hAnsi="宋体" w:eastAsia="宋体" w:cs="宋体"/>
                <w:highlight w:val="none"/>
              </w:rPr>
            </w:pPr>
          </w:p>
        </w:tc>
        <w:tc>
          <w:tcPr>
            <w:tcW w:w="240" w:type="dxa"/>
            <w:vMerge w:val="continue"/>
          </w:tcPr>
          <w:p w14:paraId="735DEB46">
            <w:pPr>
              <w:rPr>
                <w:rFonts w:hint="eastAsia" w:ascii="宋体" w:hAnsi="宋体" w:eastAsia="宋体" w:cs="宋体"/>
                <w:highlight w:val="none"/>
              </w:rPr>
            </w:pPr>
          </w:p>
        </w:tc>
        <w:tc>
          <w:tcPr>
            <w:tcW w:w="831" w:type="dxa"/>
            <w:vMerge w:val="continue"/>
          </w:tcPr>
          <w:p w14:paraId="24C6DDF7">
            <w:pPr>
              <w:rPr>
                <w:rFonts w:hint="eastAsia" w:ascii="宋体" w:hAnsi="宋体" w:eastAsia="宋体" w:cs="宋体"/>
                <w:highlight w:val="none"/>
              </w:rPr>
            </w:pPr>
          </w:p>
        </w:tc>
        <w:tc>
          <w:tcPr>
            <w:tcW w:w="6255" w:type="dxa"/>
            <w:gridSpan w:val="4"/>
            <w:shd w:val="clear" w:color="auto" w:fill="FFFFFF"/>
            <w:tcMar>
              <w:top w:w="15" w:type="dxa"/>
              <w:left w:w="15" w:type="dxa"/>
              <w:bottom w:w="0" w:type="dxa"/>
              <w:right w:w="15" w:type="dxa"/>
            </w:tcMar>
            <w:vAlign w:val="top"/>
          </w:tcPr>
          <w:p w14:paraId="64CA6A23">
            <w:pPr>
              <w:pStyle w:val="5"/>
              <w:jc w:val="left"/>
              <w:rPr>
                <w:rFonts w:hint="eastAsia" w:ascii="宋体" w:hAnsi="宋体" w:eastAsia="宋体" w:cs="宋体"/>
                <w:highlight w:val="none"/>
              </w:rPr>
            </w:pPr>
            <w:r>
              <w:rPr>
                <w:rFonts w:hint="eastAsia" w:ascii="宋体" w:hAnsi="宋体" w:eastAsia="宋体" w:cs="宋体"/>
                <w:color w:val="000000"/>
                <w:sz w:val="21"/>
                <w:highlight w:val="none"/>
              </w:rPr>
              <w:t>对审核资料保管不当，每遗失一份资料扣10分</w:t>
            </w:r>
          </w:p>
        </w:tc>
        <w:tc>
          <w:tcPr>
            <w:tcW w:w="738" w:type="dxa"/>
            <w:shd w:val="clear" w:color="auto" w:fill="FFFFFF"/>
            <w:tcMar>
              <w:top w:w="15" w:type="dxa"/>
              <w:left w:w="15" w:type="dxa"/>
              <w:bottom w:w="0" w:type="dxa"/>
              <w:right w:w="15" w:type="dxa"/>
            </w:tcMar>
            <w:vAlign w:val="top"/>
          </w:tcPr>
          <w:p w14:paraId="6A856178">
            <w:pPr>
              <w:pStyle w:val="5"/>
              <w:jc w:val="left"/>
              <w:rPr>
                <w:rFonts w:hint="eastAsia" w:ascii="宋体" w:hAnsi="宋体" w:eastAsia="宋体" w:cs="宋体"/>
                <w:highlight w:val="none"/>
              </w:rPr>
            </w:pPr>
          </w:p>
        </w:tc>
      </w:tr>
      <w:tr w14:paraId="5D0B23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 w:type="dxa"/>
            <w:vMerge w:val="continue"/>
          </w:tcPr>
          <w:p w14:paraId="47AC2E5F">
            <w:pPr>
              <w:rPr>
                <w:rFonts w:hint="eastAsia" w:ascii="宋体" w:hAnsi="宋体" w:eastAsia="宋体" w:cs="宋体"/>
                <w:highlight w:val="none"/>
              </w:rPr>
            </w:pPr>
          </w:p>
        </w:tc>
        <w:tc>
          <w:tcPr>
            <w:tcW w:w="240" w:type="dxa"/>
            <w:vMerge w:val="continue"/>
          </w:tcPr>
          <w:p w14:paraId="1BE00162">
            <w:pPr>
              <w:rPr>
                <w:rFonts w:hint="eastAsia" w:ascii="宋体" w:hAnsi="宋体" w:eastAsia="宋体" w:cs="宋体"/>
                <w:highlight w:val="none"/>
              </w:rPr>
            </w:pPr>
          </w:p>
        </w:tc>
        <w:tc>
          <w:tcPr>
            <w:tcW w:w="831" w:type="dxa"/>
            <w:vMerge w:val="continue"/>
          </w:tcPr>
          <w:p w14:paraId="4BB5ADD2">
            <w:pPr>
              <w:rPr>
                <w:rFonts w:hint="eastAsia" w:ascii="宋体" w:hAnsi="宋体" w:eastAsia="宋体" w:cs="宋体"/>
                <w:highlight w:val="none"/>
              </w:rPr>
            </w:pPr>
          </w:p>
        </w:tc>
        <w:tc>
          <w:tcPr>
            <w:tcW w:w="6255" w:type="dxa"/>
            <w:gridSpan w:val="4"/>
            <w:shd w:val="clear" w:color="auto" w:fill="FFFFFF"/>
            <w:tcMar>
              <w:top w:w="15" w:type="dxa"/>
              <w:left w:w="15" w:type="dxa"/>
              <w:bottom w:w="0" w:type="dxa"/>
              <w:right w:w="15" w:type="dxa"/>
            </w:tcMar>
            <w:vAlign w:val="top"/>
          </w:tcPr>
          <w:p w14:paraId="7214FEF6">
            <w:pPr>
              <w:pStyle w:val="5"/>
              <w:jc w:val="left"/>
              <w:rPr>
                <w:rFonts w:hint="eastAsia" w:ascii="宋体" w:hAnsi="宋体" w:eastAsia="宋体" w:cs="宋体"/>
                <w:highlight w:val="none"/>
              </w:rPr>
            </w:pPr>
            <w:r>
              <w:rPr>
                <w:rFonts w:hint="eastAsia" w:ascii="宋体" w:hAnsi="宋体" w:eastAsia="宋体" w:cs="宋体"/>
                <w:color w:val="000000"/>
                <w:sz w:val="21"/>
                <w:highlight w:val="none"/>
              </w:rPr>
              <w:t>采购人通知对数或要求提供其他现场咨询服务，未在3个工作日内安排的，每一次扣10分</w:t>
            </w:r>
          </w:p>
        </w:tc>
        <w:tc>
          <w:tcPr>
            <w:tcW w:w="738" w:type="dxa"/>
            <w:shd w:val="clear" w:color="auto" w:fill="FFFFFF"/>
            <w:tcMar>
              <w:top w:w="15" w:type="dxa"/>
              <w:left w:w="15" w:type="dxa"/>
              <w:bottom w:w="0" w:type="dxa"/>
              <w:right w:w="15" w:type="dxa"/>
            </w:tcMar>
            <w:vAlign w:val="top"/>
          </w:tcPr>
          <w:p w14:paraId="3DD820B1">
            <w:pPr>
              <w:pStyle w:val="5"/>
              <w:jc w:val="left"/>
              <w:rPr>
                <w:rFonts w:hint="eastAsia" w:ascii="宋体" w:hAnsi="宋体" w:eastAsia="宋体" w:cs="宋体"/>
                <w:highlight w:val="none"/>
              </w:rPr>
            </w:pPr>
          </w:p>
        </w:tc>
      </w:tr>
      <w:tr w14:paraId="216D6D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 w:type="dxa"/>
            <w:vMerge w:val="continue"/>
          </w:tcPr>
          <w:p w14:paraId="45D403E9">
            <w:pPr>
              <w:rPr>
                <w:rFonts w:hint="eastAsia" w:ascii="宋体" w:hAnsi="宋体" w:eastAsia="宋体" w:cs="宋体"/>
                <w:highlight w:val="none"/>
              </w:rPr>
            </w:pPr>
          </w:p>
        </w:tc>
        <w:tc>
          <w:tcPr>
            <w:tcW w:w="240" w:type="dxa"/>
            <w:vMerge w:val="continue"/>
          </w:tcPr>
          <w:p w14:paraId="581945D7">
            <w:pPr>
              <w:rPr>
                <w:rFonts w:hint="eastAsia" w:ascii="宋体" w:hAnsi="宋体" w:eastAsia="宋体" w:cs="宋体"/>
                <w:highlight w:val="none"/>
              </w:rPr>
            </w:pPr>
          </w:p>
        </w:tc>
        <w:tc>
          <w:tcPr>
            <w:tcW w:w="831" w:type="dxa"/>
            <w:vMerge w:val="continue"/>
          </w:tcPr>
          <w:p w14:paraId="34C19B75">
            <w:pPr>
              <w:rPr>
                <w:rFonts w:hint="eastAsia" w:ascii="宋体" w:hAnsi="宋体" w:eastAsia="宋体" w:cs="宋体"/>
                <w:highlight w:val="none"/>
              </w:rPr>
            </w:pPr>
          </w:p>
        </w:tc>
        <w:tc>
          <w:tcPr>
            <w:tcW w:w="6255" w:type="dxa"/>
            <w:gridSpan w:val="4"/>
            <w:shd w:val="clear" w:color="auto" w:fill="FFFFFF"/>
            <w:tcMar>
              <w:top w:w="15" w:type="dxa"/>
              <w:left w:w="15" w:type="dxa"/>
              <w:bottom w:w="0" w:type="dxa"/>
              <w:right w:w="15" w:type="dxa"/>
            </w:tcMar>
            <w:vAlign w:val="top"/>
          </w:tcPr>
          <w:p w14:paraId="36B08C90">
            <w:pPr>
              <w:pStyle w:val="5"/>
              <w:jc w:val="left"/>
              <w:rPr>
                <w:rFonts w:hint="eastAsia" w:ascii="宋体" w:hAnsi="宋体" w:eastAsia="宋体" w:cs="宋体"/>
                <w:highlight w:val="none"/>
              </w:rPr>
            </w:pPr>
            <w:r>
              <w:rPr>
                <w:rFonts w:hint="eastAsia" w:ascii="宋体" w:hAnsi="宋体" w:eastAsia="宋体" w:cs="宋体"/>
                <w:color w:val="000000"/>
                <w:sz w:val="21"/>
                <w:highlight w:val="none"/>
              </w:rPr>
              <w:t>未提前10分钟到达规定地点对数，每出现一次扣10分</w:t>
            </w:r>
          </w:p>
        </w:tc>
        <w:tc>
          <w:tcPr>
            <w:tcW w:w="738" w:type="dxa"/>
            <w:shd w:val="clear" w:color="auto" w:fill="FFFFFF"/>
            <w:tcMar>
              <w:top w:w="15" w:type="dxa"/>
              <w:left w:w="15" w:type="dxa"/>
              <w:bottom w:w="0" w:type="dxa"/>
              <w:right w:w="15" w:type="dxa"/>
            </w:tcMar>
            <w:vAlign w:val="top"/>
          </w:tcPr>
          <w:p w14:paraId="1A6B8A7F">
            <w:pPr>
              <w:pStyle w:val="5"/>
              <w:jc w:val="left"/>
              <w:rPr>
                <w:rFonts w:hint="eastAsia" w:ascii="宋体" w:hAnsi="宋体" w:eastAsia="宋体" w:cs="宋体"/>
                <w:highlight w:val="none"/>
              </w:rPr>
            </w:pPr>
          </w:p>
        </w:tc>
      </w:tr>
      <w:tr w14:paraId="7C98E8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 w:type="dxa"/>
            <w:vMerge w:val="continue"/>
          </w:tcPr>
          <w:p w14:paraId="37CD7E31">
            <w:pPr>
              <w:rPr>
                <w:rFonts w:hint="eastAsia" w:ascii="宋体" w:hAnsi="宋体" w:eastAsia="宋体" w:cs="宋体"/>
                <w:highlight w:val="none"/>
              </w:rPr>
            </w:pPr>
          </w:p>
        </w:tc>
        <w:tc>
          <w:tcPr>
            <w:tcW w:w="240" w:type="dxa"/>
            <w:vMerge w:val="continue"/>
          </w:tcPr>
          <w:p w14:paraId="5A507C2A">
            <w:pPr>
              <w:rPr>
                <w:rFonts w:hint="eastAsia" w:ascii="宋体" w:hAnsi="宋体" w:eastAsia="宋体" w:cs="宋体"/>
                <w:highlight w:val="none"/>
              </w:rPr>
            </w:pPr>
          </w:p>
        </w:tc>
        <w:tc>
          <w:tcPr>
            <w:tcW w:w="831" w:type="dxa"/>
            <w:vMerge w:val="continue"/>
          </w:tcPr>
          <w:p w14:paraId="4973C7B5">
            <w:pPr>
              <w:rPr>
                <w:rFonts w:hint="eastAsia" w:ascii="宋体" w:hAnsi="宋体" w:eastAsia="宋体" w:cs="宋体"/>
                <w:highlight w:val="none"/>
              </w:rPr>
            </w:pPr>
          </w:p>
        </w:tc>
        <w:tc>
          <w:tcPr>
            <w:tcW w:w="6255" w:type="dxa"/>
            <w:gridSpan w:val="4"/>
            <w:shd w:val="clear" w:color="auto" w:fill="FFFFFF"/>
            <w:tcMar>
              <w:top w:w="15" w:type="dxa"/>
              <w:left w:w="15" w:type="dxa"/>
              <w:bottom w:w="0" w:type="dxa"/>
              <w:right w:w="15" w:type="dxa"/>
            </w:tcMar>
            <w:vAlign w:val="top"/>
          </w:tcPr>
          <w:p w14:paraId="6F1E9845">
            <w:pPr>
              <w:pStyle w:val="5"/>
              <w:jc w:val="left"/>
              <w:rPr>
                <w:rFonts w:hint="eastAsia" w:ascii="宋体" w:hAnsi="宋体" w:eastAsia="宋体" w:cs="宋体"/>
                <w:highlight w:val="none"/>
              </w:rPr>
            </w:pPr>
            <w:r>
              <w:rPr>
                <w:rFonts w:hint="eastAsia" w:ascii="宋体" w:hAnsi="宋体" w:eastAsia="宋体" w:cs="宋体"/>
                <w:color w:val="000000"/>
                <w:sz w:val="21"/>
                <w:highlight w:val="none"/>
              </w:rPr>
              <w:t>对数前是否做好充分准备工作确保对数高效（包括准备好对数工具、根据回复意见准备相关计价资料等），每出现一处扣5分</w:t>
            </w:r>
          </w:p>
        </w:tc>
        <w:tc>
          <w:tcPr>
            <w:tcW w:w="738" w:type="dxa"/>
            <w:shd w:val="clear" w:color="auto" w:fill="FFFFFF"/>
            <w:tcMar>
              <w:top w:w="15" w:type="dxa"/>
              <w:left w:w="15" w:type="dxa"/>
              <w:bottom w:w="0" w:type="dxa"/>
              <w:right w:w="15" w:type="dxa"/>
            </w:tcMar>
            <w:vAlign w:val="top"/>
          </w:tcPr>
          <w:p w14:paraId="65C63BEA">
            <w:pPr>
              <w:pStyle w:val="5"/>
              <w:jc w:val="left"/>
              <w:rPr>
                <w:rFonts w:hint="eastAsia" w:ascii="宋体" w:hAnsi="宋体" w:eastAsia="宋体" w:cs="宋体"/>
                <w:highlight w:val="none"/>
              </w:rPr>
            </w:pPr>
          </w:p>
        </w:tc>
      </w:tr>
      <w:tr w14:paraId="483B43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 w:type="dxa"/>
            <w:vMerge w:val="continue"/>
          </w:tcPr>
          <w:p w14:paraId="005E688A">
            <w:pPr>
              <w:rPr>
                <w:rFonts w:hint="eastAsia" w:ascii="宋体" w:hAnsi="宋体" w:eastAsia="宋体" w:cs="宋体"/>
                <w:highlight w:val="none"/>
              </w:rPr>
            </w:pPr>
          </w:p>
        </w:tc>
        <w:tc>
          <w:tcPr>
            <w:tcW w:w="240" w:type="dxa"/>
            <w:vMerge w:val="continue"/>
          </w:tcPr>
          <w:p w14:paraId="240D830B">
            <w:pPr>
              <w:rPr>
                <w:rFonts w:hint="eastAsia" w:ascii="宋体" w:hAnsi="宋体" w:eastAsia="宋体" w:cs="宋体"/>
                <w:highlight w:val="none"/>
              </w:rPr>
            </w:pPr>
          </w:p>
        </w:tc>
        <w:tc>
          <w:tcPr>
            <w:tcW w:w="831" w:type="dxa"/>
            <w:vMerge w:val="continue"/>
          </w:tcPr>
          <w:p w14:paraId="4487F3F8">
            <w:pPr>
              <w:rPr>
                <w:rFonts w:hint="eastAsia" w:ascii="宋体" w:hAnsi="宋体" w:eastAsia="宋体" w:cs="宋体"/>
                <w:highlight w:val="none"/>
              </w:rPr>
            </w:pPr>
          </w:p>
        </w:tc>
        <w:tc>
          <w:tcPr>
            <w:tcW w:w="6255" w:type="dxa"/>
            <w:gridSpan w:val="4"/>
            <w:shd w:val="clear" w:color="auto" w:fill="FFFFFF"/>
            <w:tcMar>
              <w:top w:w="15" w:type="dxa"/>
              <w:left w:w="15" w:type="dxa"/>
              <w:bottom w:w="0" w:type="dxa"/>
              <w:right w:w="15" w:type="dxa"/>
            </w:tcMar>
            <w:vAlign w:val="top"/>
          </w:tcPr>
          <w:p w14:paraId="714BBA7E">
            <w:pPr>
              <w:pStyle w:val="5"/>
              <w:jc w:val="left"/>
              <w:rPr>
                <w:rFonts w:hint="eastAsia" w:ascii="宋体" w:hAnsi="宋体" w:eastAsia="宋体" w:cs="宋体"/>
                <w:highlight w:val="none"/>
              </w:rPr>
            </w:pPr>
            <w:r>
              <w:rPr>
                <w:rFonts w:hint="eastAsia" w:ascii="宋体" w:hAnsi="宋体" w:eastAsia="宋体" w:cs="宋体"/>
                <w:sz w:val="21"/>
                <w:highlight w:val="none"/>
              </w:rPr>
              <w:t>未派出该项目审核负责人（需具备会计专业中级及以上职称技术资格或注册会计师）参加对数的，一次扣20分</w:t>
            </w:r>
          </w:p>
        </w:tc>
        <w:tc>
          <w:tcPr>
            <w:tcW w:w="738" w:type="dxa"/>
            <w:shd w:val="clear" w:color="auto" w:fill="FFFFFF"/>
            <w:tcMar>
              <w:top w:w="15" w:type="dxa"/>
              <w:left w:w="15" w:type="dxa"/>
              <w:bottom w:w="0" w:type="dxa"/>
              <w:right w:w="15" w:type="dxa"/>
            </w:tcMar>
            <w:vAlign w:val="top"/>
          </w:tcPr>
          <w:p w14:paraId="2D0468C5">
            <w:pPr>
              <w:pStyle w:val="5"/>
              <w:jc w:val="left"/>
              <w:rPr>
                <w:rFonts w:hint="eastAsia" w:ascii="宋体" w:hAnsi="宋体" w:eastAsia="宋体" w:cs="宋体"/>
                <w:highlight w:val="none"/>
              </w:rPr>
            </w:pPr>
          </w:p>
        </w:tc>
      </w:tr>
      <w:tr w14:paraId="7CD6A3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 w:type="dxa"/>
            <w:vMerge w:val="continue"/>
          </w:tcPr>
          <w:p w14:paraId="51508450">
            <w:pPr>
              <w:rPr>
                <w:rFonts w:hint="eastAsia" w:ascii="宋体" w:hAnsi="宋体" w:eastAsia="宋体" w:cs="宋体"/>
                <w:highlight w:val="none"/>
              </w:rPr>
            </w:pPr>
          </w:p>
        </w:tc>
        <w:tc>
          <w:tcPr>
            <w:tcW w:w="240" w:type="dxa"/>
            <w:vMerge w:val="continue"/>
          </w:tcPr>
          <w:p w14:paraId="773D2D9B">
            <w:pPr>
              <w:rPr>
                <w:rFonts w:hint="eastAsia" w:ascii="宋体" w:hAnsi="宋体" w:eastAsia="宋体" w:cs="宋体"/>
                <w:highlight w:val="none"/>
              </w:rPr>
            </w:pPr>
          </w:p>
        </w:tc>
        <w:tc>
          <w:tcPr>
            <w:tcW w:w="831" w:type="dxa"/>
            <w:vMerge w:val="continue"/>
          </w:tcPr>
          <w:p w14:paraId="549E6974">
            <w:pPr>
              <w:rPr>
                <w:rFonts w:hint="eastAsia" w:ascii="宋体" w:hAnsi="宋体" w:eastAsia="宋体" w:cs="宋体"/>
                <w:highlight w:val="none"/>
              </w:rPr>
            </w:pPr>
          </w:p>
        </w:tc>
        <w:tc>
          <w:tcPr>
            <w:tcW w:w="6255" w:type="dxa"/>
            <w:gridSpan w:val="4"/>
            <w:shd w:val="clear" w:color="auto" w:fill="FFFFFF"/>
            <w:tcMar>
              <w:top w:w="15" w:type="dxa"/>
              <w:left w:w="15" w:type="dxa"/>
              <w:bottom w:w="0" w:type="dxa"/>
              <w:right w:w="15" w:type="dxa"/>
            </w:tcMar>
            <w:vAlign w:val="top"/>
          </w:tcPr>
          <w:p w14:paraId="481CF21B">
            <w:pPr>
              <w:pStyle w:val="5"/>
              <w:jc w:val="left"/>
              <w:rPr>
                <w:rFonts w:hint="eastAsia" w:ascii="宋体" w:hAnsi="宋体" w:eastAsia="宋体" w:cs="宋体"/>
                <w:highlight w:val="none"/>
              </w:rPr>
            </w:pPr>
            <w:r>
              <w:rPr>
                <w:rFonts w:hint="eastAsia" w:ascii="宋体" w:hAnsi="宋体" w:eastAsia="宋体" w:cs="宋体"/>
                <w:color w:val="000000"/>
                <w:sz w:val="21"/>
                <w:highlight w:val="none"/>
              </w:rPr>
              <w:t>到现场踏勘没有按规定做好相关准备的，每一次扣5分</w:t>
            </w:r>
          </w:p>
        </w:tc>
        <w:tc>
          <w:tcPr>
            <w:tcW w:w="738" w:type="dxa"/>
            <w:shd w:val="clear" w:color="auto" w:fill="FFFFFF"/>
            <w:tcMar>
              <w:top w:w="15" w:type="dxa"/>
              <w:left w:w="15" w:type="dxa"/>
              <w:bottom w:w="0" w:type="dxa"/>
              <w:right w:w="15" w:type="dxa"/>
            </w:tcMar>
            <w:vAlign w:val="top"/>
          </w:tcPr>
          <w:p w14:paraId="077CE7EF">
            <w:pPr>
              <w:pStyle w:val="5"/>
              <w:jc w:val="left"/>
              <w:rPr>
                <w:rFonts w:hint="eastAsia" w:ascii="宋体" w:hAnsi="宋体" w:eastAsia="宋体" w:cs="宋体"/>
                <w:highlight w:val="none"/>
              </w:rPr>
            </w:pPr>
          </w:p>
        </w:tc>
      </w:tr>
      <w:tr w14:paraId="5EB670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1" w:type="dxa"/>
            <w:gridSpan w:val="3"/>
            <w:vMerge w:val="restart"/>
            <w:shd w:val="clear" w:color="auto" w:fill="FFFFFF"/>
            <w:tcMar>
              <w:top w:w="15" w:type="dxa"/>
              <w:left w:w="15" w:type="dxa"/>
              <w:bottom w:w="0" w:type="dxa"/>
              <w:right w:w="15" w:type="dxa"/>
            </w:tcMar>
            <w:vAlign w:val="top"/>
          </w:tcPr>
          <w:p w14:paraId="63136806">
            <w:pPr>
              <w:pStyle w:val="5"/>
              <w:jc w:val="center"/>
              <w:rPr>
                <w:rFonts w:hint="eastAsia" w:ascii="宋体" w:hAnsi="宋体" w:eastAsia="宋体" w:cs="宋体"/>
                <w:highlight w:val="none"/>
              </w:rPr>
            </w:pPr>
            <w:r>
              <w:rPr>
                <w:rFonts w:hint="eastAsia" w:ascii="宋体" w:hAnsi="宋体" w:eastAsia="宋体" w:cs="宋体"/>
                <w:sz w:val="24"/>
                <w:highlight w:val="none"/>
              </w:rPr>
              <w:t xml:space="preserve"> </w:t>
            </w:r>
            <w:r>
              <w:rPr>
                <w:rFonts w:hint="eastAsia" w:ascii="宋体" w:hAnsi="宋体" w:eastAsia="宋体" w:cs="宋体"/>
                <w:color w:val="000000"/>
                <w:sz w:val="21"/>
                <w:highlight w:val="none"/>
              </w:rPr>
              <w:t>建设单位评价</w:t>
            </w:r>
          </w:p>
        </w:tc>
        <w:tc>
          <w:tcPr>
            <w:tcW w:w="1755" w:type="dxa"/>
            <w:gridSpan w:val="2"/>
            <w:shd w:val="clear" w:color="auto" w:fill="FFFFFF"/>
            <w:tcMar>
              <w:top w:w="15" w:type="dxa"/>
              <w:left w:w="15" w:type="dxa"/>
              <w:bottom w:w="0" w:type="dxa"/>
              <w:right w:w="15" w:type="dxa"/>
            </w:tcMar>
            <w:vAlign w:val="top"/>
          </w:tcPr>
          <w:p w14:paraId="5E59B8F1">
            <w:pPr>
              <w:pStyle w:val="5"/>
              <w:jc w:val="left"/>
              <w:rPr>
                <w:rFonts w:hint="eastAsia" w:ascii="宋体" w:hAnsi="宋体" w:eastAsia="宋体" w:cs="宋体"/>
                <w:highlight w:val="none"/>
              </w:rPr>
            </w:pPr>
            <w:r>
              <w:rPr>
                <w:rFonts w:hint="eastAsia" w:ascii="宋体" w:hAnsi="宋体" w:eastAsia="宋体" w:cs="宋体"/>
                <w:color w:val="000000"/>
                <w:sz w:val="21"/>
                <w:highlight w:val="none"/>
              </w:rPr>
              <w:t>中介机构评审质量</w:t>
            </w:r>
          </w:p>
        </w:tc>
        <w:tc>
          <w:tcPr>
            <w:tcW w:w="4500" w:type="dxa"/>
            <w:gridSpan w:val="2"/>
            <w:shd w:val="clear" w:color="auto" w:fill="FFFFFF"/>
            <w:tcMar>
              <w:top w:w="15" w:type="dxa"/>
              <w:left w:w="15" w:type="dxa"/>
              <w:bottom w:w="0" w:type="dxa"/>
              <w:right w:w="15" w:type="dxa"/>
            </w:tcMar>
            <w:vAlign w:val="top"/>
          </w:tcPr>
          <w:p w14:paraId="0229ABE1">
            <w:pPr>
              <w:pStyle w:val="5"/>
              <w:jc w:val="center"/>
              <w:rPr>
                <w:rFonts w:hint="eastAsia" w:ascii="宋体" w:hAnsi="宋体" w:eastAsia="宋体" w:cs="宋体"/>
                <w:highlight w:val="none"/>
              </w:rPr>
            </w:pPr>
            <w:r>
              <w:rPr>
                <w:rFonts w:hint="eastAsia" w:ascii="宋体" w:hAnsi="宋体" w:eastAsia="宋体" w:cs="宋体"/>
                <w:color w:val="000000"/>
                <w:sz w:val="21"/>
                <w:highlight w:val="none"/>
              </w:rPr>
              <w:t>满分40分</w:t>
            </w:r>
          </w:p>
        </w:tc>
        <w:tc>
          <w:tcPr>
            <w:tcW w:w="738" w:type="dxa"/>
            <w:shd w:val="clear" w:color="auto" w:fill="FFFFFF"/>
            <w:tcMar>
              <w:top w:w="15" w:type="dxa"/>
              <w:left w:w="15" w:type="dxa"/>
              <w:bottom w:w="0" w:type="dxa"/>
              <w:right w:w="15" w:type="dxa"/>
            </w:tcMar>
            <w:vAlign w:val="top"/>
          </w:tcPr>
          <w:p w14:paraId="134D0EE2">
            <w:pPr>
              <w:pStyle w:val="5"/>
              <w:jc w:val="left"/>
              <w:rPr>
                <w:rFonts w:hint="eastAsia" w:ascii="宋体" w:hAnsi="宋体" w:eastAsia="宋体" w:cs="宋体"/>
                <w:highlight w:val="none"/>
              </w:rPr>
            </w:pPr>
          </w:p>
        </w:tc>
      </w:tr>
      <w:tr w14:paraId="7DC94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1" w:type="dxa"/>
            <w:gridSpan w:val="3"/>
            <w:vMerge w:val="continue"/>
          </w:tcPr>
          <w:p w14:paraId="1113C96A">
            <w:pPr>
              <w:rPr>
                <w:rFonts w:hint="eastAsia" w:ascii="宋体" w:hAnsi="宋体" w:eastAsia="宋体" w:cs="宋体"/>
                <w:highlight w:val="none"/>
              </w:rPr>
            </w:pPr>
          </w:p>
        </w:tc>
        <w:tc>
          <w:tcPr>
            <w:tcW w:w="1755" w:type="dxa"/>
            <w:gridSpan w:val="2"/>
            <w:shd w:val="clear" w:color="auto" w:fill="FFFFFF"/>
            <w:tcMar>
              <w:top w:w="15" w:type="dxa"/>
              <w:left w:w="15" w:type="dxa"/>
              <w:bottom w:w="0" w:type="dxa"/>
              <w:right w:w="15" w:type="dxa"/>
            </w:tcMar>
            <w:vAlign w:val="top"/>
          </w:tcPr>
          <w:p w14:paraId="79D3DA63">
            <w:pPr>
              <w:pStyle w:val="5"/>
              <w:jc w:val="left"/>
              <w:rPr>
                <w:rFonts w:hint="eastAsia" w:ascii="宋体" w:hAnsi="宋体" w:eastAsia="宋体" w:cs="宋体"/>
                <w:highlight w:val="none"/>
              </w:rPr>
            </w:pPr>
            <w:r>
              <w:rPr>
                <w:rFonts w:hint="eastAsia" w:ascii="宋体" w:hAnsi="宋体" w:eastAsia="宋体" w:cs="宋体"/>
                <w:color w:val="000000"/>
                <w:sz w:val="21"/>
                <w:highlight w:val="none"/>
              </w:rPr>
              <w:t>中介机构响应时间及评审效率</w:t>
            </w:r>
          </w:p>
        </w:tc>
        <w:tc>
          <w:tcPr>
            <w:tcW w:w="4500" w:type="dxa"/>
            <w:gridSpan w:val="2"/>
            <w:shd w:val="clear" w:color="auto" w:fill="FFFFFF"/>
            <w:tcMar>
              <w:top w:w="15" w:type="dxa"/>
              <w:left w:w="15" w:type="dxa"/>
              <w:bottom w:w="0" w:type="dxa"/>
              <w:right w:w="15" w:type="dxa"/>
            </w:tcMar>
            <w:vAlign w:val="top"/>
          </w:tcPr>
          <w:p w14:paraId="1FFAC3FC">
            <w:pPr>
              <w:pStyle w:val="5"/>
              <w:jc w:val="center"/>
              <w:rPr>
                <w:rFonts w:hint="eastAsia" w:ascii="宋体" w:hAnsi="宋体" w:eastAsia="宋体" w:cs="宋体"/>
                <w:highlight w:val="none"/>
              </w:rPr>
            </w:pPr>
            <w:r>
              <w:rPr>
                <w:rFonts w:hint="eastAsia" w:ascii="宋体" w:hAnsi="宋体" w:eastAsia="宋体" w:cs="宋体"/>
                <w:color w:val="000000"/>
                <w:sz w:val="21"/>
                <w:highlight w:val="none"/>
              </w:rPr>
              <w:t>满分40分</w:t>
            </w:r>
          </w:p>
        </w:tc>
        <w:tc>
          <w:tcPr>
            <w:tcW w:w="738" w:type="dxa"/>
            <w:shd w:val="clear" w:color="auto" w:fill="FFFFFF"/>
            <w:tcMar>
              <w:top w:w="15" w:type="dxa"/>
              <w:left w:w="15" w:type="dxa"/>
              <w:bottom w:w="0" w:type="dxa"/>
              <w:right w:w="15" w:type="dxa"/>
            </w:tcMar>
            <w:vAlign w:val="top"/>
          </w:tcPr>
          <w:p w14:paraId="15C91A16">
            <w:pPr>
              <w:pStyle w:val="5"/>
              <w:jc w:val="left"/>
              <w:rPr>
                <w:rFonts w:hint="eastAsia" w:ascii="宋体" w:hAnsi="宋体" w:eastAsia="宋体" w:cs="宋体"/>
                <w:highlight w:val="none"/>
              </w:rPr>
            </w:pPr>
          </w:p>
        </w:tc>
      </w:tr>
      <w:tr w14:paraId="35F009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1" w:type="dxa"/>
            <w:gridSpan w:val="3"/>
            <w:vMerge w:val="continue"/>
          </w:tcPr>
          <w:p w14:paraId="680617AF">
            <w:pPr>
              <w:rPr>
                <w:rFonts w:hint="eastAsia" w:ascii="宋体" w:hAnsi="宋体" w:eastAsia="宋体" w:cs="宋体"/>
                <w:highlight w:val="none"/>
              </w:rPr>
            </w:pPr>
          </w:p>
        </w:tc>
        <w:tc>
          <w:tcPr>
            <w:tcW w:w="1755" w:type="dxa"/>
            <w:gridSpan w:val="2"/>
            <w:shd w:val="clear" w:color="auto" w:fill="FFFFFF"/>
            <w:tcMar>
              <w:top w:w="15" w:type="dxa"/>
              <w:left w:w="15" w:type="dxa"/>
              <w:bottom w:w="0" w:type="dxa"/>
              <w:right w:w="15" w:type="dxa"/>
            </w:tcMar>
            <w:vAlign w:val="top"/>
          </w:tcPr>
          <w:p w14:paraId="29FF53B8">
            <w:pPr>
              <w:pStyle w:val="5"/>
              <w:jc w:val="left"/>
              <w:rPr>
                <w:rFonts w:hint="eastAsia" w:ascii="宋体" w:hAnsi="宋体" w:eastAsia="宋体" w:cs="宋体"/>
                <w:highlight w:val="none"/>
              </w:rPr>
            </w:pPr>
            <w:r>
              <w:rPr>
                <w:rFonts w:hint="eastAsia" w:ascii="宋体" w:hAnsi="宋体" w:eastAsia="宋体" w:cs="宋体"/>
                <w:color w:val="000000"/>
                <w:sz w:val="21"/>
                <w:highlight w:val="none"/>
              </w:rPr>
              <w:t>中介机构评审人员服务态度</w:t>
            </w:r>
          </w:p>
        </w:tc>
        <w:tc>
          <w:tcPr>
            <w:tcW w:w="4500" w:type="dxa"/>
            <w:gridSpan w:val="2"/>
            <w:shd w:val="clear" w:color="auto" w:fill="FFFFFF"/>
            <w:tcMar>
              <w:top w:w="15" w:type="dxa"/>
              <w:left w:w="15" w:type="dxa"/>
              <w:bottom w:w="0" w:type="dxa"/>
              <w:right w:w="15" w:type="dxa"/>
            </w:tcMar>
            <w:vAlign w:val="top"/>
          </w:tcPr>
          <w:p w14:paraId="41333EE7">
            <w:pPr>
              <w:pStyle w:val="5"/>
              <w:jc w:val="center"/>
              <w:rPr>
                <w:rFonts w:hint="eastAsia" w:ascii="宋体" w:hAnsi="宋体" w:eastAsia="宋体" w:cs="宋体"/>
                <w:highlight w:val="none"/>
              </w:rPr>
            </w:pPr>
            <w:r>
              <w:rPr>
                <w:rFonts w:hint="eastAsia" w:ascii="宋体" w:hAnsi="宋体" w:eastAsia="宋体" w:cs="宋体"/>
                <w:color w:val="000000"/>
                <w:sz w:val="21"/>
                <w:highlight w:val="none"/>
              </w:rPr>
              <w:t>满分20分</w:t>
            </w:r>
          </w:p>
        </w:tc>
        <w:tc>
          <w:tcPr>
            <w:tcW w:w="738" w:type="dxa"/>
            <w:shd w:val="clear" w:color="auto" w:fill="FFFFFF"/>
            <w:tcMar>
              <w:top w:w="15" w:type="dxa"/>
              <w:left w:w="15" w:type="dxa"/>
              <w:bottom w:w="0" w:type="dxa"/>
              <w:right w:w="15" w:type="dxa"/>
            </w:tcMar>
            <w:vAlign w:val="top"/>
          </w:tcPr>
          <w:p w14:paraId="1B294B7F">
            <w:pPr>
              <w:pStyle w:val="5"/>
              <w:jc w:val="left"/>
              <w:rPr>
                <w:rFonts w:hint="eastAsia" w:ascii="宋体" w:hAnsi="宋体" w:eastAsia="宋体" w:cs="宋体"/>
                <w:highlight w:val="none"/>
              </w:rPr>
            </w:pPr>
          </w:p>
        </w:tc>
      </w:tr>
      <w:tr w14:paraId="4D915F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1" w:type="dxa"/>
            <w:gridSpan w:val="3"/>
            <w:shd w:val="clear" w:color="auto" w:fill="FFFFFF"/>
            <w:tcMar>
              <w:top w:w="15" w:type="dxa"/>
              <w:left w:w="15" w:type="dxa"/>
              <w:bottom w:w="0" w:type="dxa"/>
              <w:right w:w="15" w:type="dxa"/>
            </w:tcMar>
            <w:vAlign w:val="top"/>
          </w:tcPr>
          <w:p w14:paraId="09A47C0F">
            <w:pPr>
              <w:pStyle w:val="5"/>
              <w:jc w:val="center"/>
              <w:rPr>
                <w:rFonts w:hint="eastAsia" w:ascii="宋体" w:hAnsi="宋体" w:eastAsia="宋体" w:cs="宋体"/>
                <w:highlight w:val="none"/>
              </w:rPr>
            </w:pPr>
            <w:r>
              <w:rPr>
                <w:rFonts w:hint="eastAsia" w:ascii="宋体" w:hAnsi="宋体" w:eastAsia="宋体" w:cs="宋体"/>
                <w:color w:val="000000"/>
                <w:sz w:val="21"/>
                <w:highlight w:val="none"/>
              </w:rPr>
              <w:t xml:space="preserve">   合计</w:t>
            </w:r>
          </w:p>
        </w:tc>
        <w:tc>
          <w:tcPr>
            <w:tcW w:w="6255" w:type="dxa"/>
            <w:gridSpan w:val="4"/>
            <w:shd w:val="clear" w:color="auto" w:fill="FFFFFF"/>
            <w:tcMar>
              <w:top w:w="15" w:type="dxa"/>
              <w:left w:w="15" w:type="dxa"/>
              <w:bottom w:w="0" w:type="dxa"/>
              <w:right w:w="15" w:type="dxa"/>
            </w:tcMar>
            <w:vAlign w:val="top"/>
          </w:tcPr>
          <w:p w14:paraId="4CB9C2F6">
            <w:pPr>
              <w:pStyle w:val="5"/>
              <w:jc w:val="center"/>
              <w:rPr>
                <w:rFonts w:hint="eastAsia" w:ascii="宋体" w:hAnsi="宋体" w:eastAsia="宋体" w:cs="宋体"/>
                <w:highlight w:val="none"/>
              </w:rPr>
            </w:pPr>
            <w:r>
              <w:rPr>
                <w:rFonts w:hint="eastAsia" w:ascii="宋体" w:hAnsi="宋体" w:eastAsia="宋体" w:cs="宋体"/>
                <w:color w:val="000000"/>
                <w:sz w:val="21"/>
                <w:highlight w:val="none"/>
              </w:rPr>
              <w:t>总得分=财政单个项目评分得分×80%+建设单个项目服务评价考核得分×20%</w:t>
            </w:r>
          </w:p>
        </w:tc>
        <w:tc>
          <w:tcPr>
            <w:tcW w:w="738" w:type="dxa"/>
            <w:shd w:val="clear" w:color="auto" w:fill="FFFFFF"/>
            <w:tcMar>
              <w:top w:w="15" w:type="dxa"/>
              <w:left w:w="15" w:type="dxa"/>
              <w:bottom w:w="0" w:type="dxa"/>
              <w:right w:w="15" w:type="dxa"/>
            </w:tcMar>
            <w:vAlign w:val="top"/>
          </w:tcPr>
          <w:p w14:paraId="141E3806">
            <w:pPr>
              <w:pStyle w:val="5"/>
              <w:jc w:val="both"/>
              <w:rPr>
                <w:rFonts w:hint="eastAsia" w:ascii="宋体" w:hAnsi="宋体" w:eastAsia="宋体" w:cs="宋体"/>
                <w:highlight w:val="none"/>
              </w:rPr>
            </w:pPr>
          </w:p>
        </w:tc>
      </w:tr>
    </w:tbl>
    <w:p w14:paraId="7905CCD1">
      <w:pPr>
        <w:rPr>
          <w:rFonts w:hint="eastAsia" w:ascii="宋体" w:hAnsi="宋体" w:eastAsia="宋体" w:cs="宋体"/>
          <w:highlight w:val="none"/>
          <w:lang w:val="en-US" w:eastAsia="zh-CN"/>
        </w:rPr>
      </w:pPr>
      <w:r>
        <w:rPr>
          <w:rFonts w:hint="eastAsia" w:ascii="宋体" w:hAnsi="宋体" w:eastAsia="宋体" w:cs="宋体"/>
          <w:highlight w:val="none"/>
          <w:lang w:val="en-US" w:eastAsia="zh-CN"/>
        </w:rPr>
        <w:t>4.考核评分扣减服务费</w:t>
      </w:r>
    </w:p>
    <w:p w14:paraId="30F6BCFA">
      <w:pPr>
        <w:rPr>
          <w:rFonts w:hint="eastAsia" w:ascii="宋体" w:hAnsi="宋体" w:eastAsia="宋体" w:cs="宋体"/>
          <w:highlight w:val="none"/>
          <w:lang w:val="en-US" w:eastAsia="zh-CN"/>
        </w:rPr>
      </w:pPr>
      <w:r>
        <w:rPr>
          <w:rFonts w:hint="eastAsia" w:ascii="宋体" w:hAnsi="宋体" w:eastAsia="宋体" w:cs="宋体"/>
          <w:highlight w:val="none"/>
          <w:lang w:val="en-US" w:eastAsia="zh-CN"/>
        </w:rPr>
        <w:t>1)70分＜考核分数≤80分，扣减服务费10%。</w:t>
      </w:r>
    </w:p>
    <w:p w14:paraId="66074EDA">
      <w:pPr>
        <w:rPr>
          <w:rFonts w:hint="eastAsia" w:ascii="宋体" w:hAnsi="宋体" w:eastAsia="宋体" w:cs="宋体"/>
          <w:highlight w:val="none"/>
          <w:lang w:val="en-US" w:eastAsia="zh-CN"/>
        </w:rPr>
      </w:pPr>
      <w:r>
        <w:rPr>
          <w:rFonts w:hint="eastAsia" w:ascii="宋体" w:hAnsi="宋体" w:eastAsia="宋体" w:cs="宋体"/>
          <w:highlight w:val="none"/>
          <w:lang w:val="en-US" w:eastAsia="zh-CN"/>
        </w:rPr>
        <w:t>2)60分＜考核分数≤70分，扣减服务费30%。</w:t>
      </w:r>
    </w:p>
    <w:p w14:paraId="670D2BBF">
      <w:pPr>
        <w:rPr>
          <w:rFonts w:hint="eastAsia" w:ascii="宋体" w:hAnsi="宋体" w:eastAsia="宋体" w:cs="宋体"/>
          <w:highlight w:val="none"/>
          <w:lang w:val="en-US" w:eastAsia="zh-CN"/>
        </w:rPr>
      </w:pPr>
      <w:r>
        <w:rPr>
          <w:rFonts w:hint="eastAsia" w:ascii="宋体" w:hAnsi="宋体" w:eastAsia="宋体" w:cs="宋体"/>
          <w:highlight w:val="none"/>
          <w:lang w:val="en-US" w:eastAsia="zh-CN"/>
        </w:rPr>
        <w:t>3)考核分数≤60分，扣减服务费50%。</w:t>
      </w:r>
    </w:p>
    <w:p w14:paraId="56890F6B">
      <w:pPr>
        <w:rPr>
          <w:rFonts w:hint="default" w:ascii="宋体" w:hAnsi="宋体" w:eastAsia="宋体" w:cs="宋体"/>
          <w:highlight w:val="none"/>
          <w:lang w:val="en-US" w:eastAsia="zh-CN"/>
        </w:rPr>
      </w:pPr>
      <w:r>
        <w:rPr>
          <w:rFonts w:hint="eastAsia" w:ascii="宋体" w:hAnsi="宋体" w:eastAsia="宋体" w:cs="宋体"/>
          <w:highlight w:val="none"/>
          <w:lang w:val="en-US" w:eastAsia="zh-CN"/>
        </w:rPr>
        <w:t>4）同一自然年度内，若出现以下情况，采购人有权单方面终止合同：累计有2个评审项目出现低于60分或累计有3个评审项目出现低于80分的情况、累计有5个评审项目出现逾期情况、累计3次无正当理由响应采购人时间超过24小时。采购人拟行使前述解约权的，应提前书面通知中标人并说明理由及依据，中标人有5个工作日提出书面申辩的权利。中标人在收到预警通知后10个工作日内完成整改的，可不予解约。</w:t>
      </w:r>
    </w:p>
    <w:p w14:paraId="7ABB3041">
      <w:pPr>
        <w:rPr>
          <w:rFonts w:hint="eastAsia" w:ascii="宋体" w:hAnsi="宋体" w:eastAsia="宋体" w:cs="宋体"/>
          <w:highlight w:val="none"/>
          <w:lang w:val="en-US" w:eastAsia="zh-CN"/>
        </w:rPr>
      </w:pPr>
      <w:r>
        <w:rPr>
          <w:rFonts w:hint="eastAsia" w:ascii="宋体" w:hAnsi="宋体" w:eastAsia="宋体" w:cs="宋体"/>
          <w:highlight w:val="none"/>
          <w:lang w:val="en-US" w:eastAsia="zh-CN"/>
        </w:rPr>
        <w:t>5. 佛山市三水区乐平镇财政和公有资产管理办公室2026-2029年度工程造价咨询服务项目中介机构年度考核表（详见下表）</w:t>
      </w:r>
    </w:p>
    <w:p w14:paraId="1163B4D0">
      <w:pPr>
        <w:rPr>
          <w:rFonts w:hint="eastAsia" w:ascii="宋体" w:hAnsi="宋体" w:eastAsia="宋体" w:cs="宋体"/>
          <w:highlight w:val="none"/>
          <w:lang w:val="en-US" w:eastAsia="zh-CN"/>
        </w:rPr>
      </w:pPr>
      <w:r>
        <w:rPr>
          <w:rFonts w:hint="eastAsia" w:ascii="宋体" w:hAnsi="宋体" w:eastAsia="宋体" w:cs="宋体"/>
          <w:highlight w:val="none"/>
          <w:lang w:val="en-US" w:eastAsia="zh-CN"/>
        </w:rPr>
        <w:t>佛山市三水区乐平镇财政和公有资产管理办公室2026-2029年度工程造价咨询服务项目中介机构年度考核根据采购人每年实地走访的检查情况和中介机构自然年度内单个评审工作考核评分情况加权所得，具体详见下表。</w:t>
      </w:r>
    </w:p>
    <w:tbl>
      <w:tblPr>
        <w:tblStyle w:val="3"/>
        <w:tblW w:w="5000" w:type="pct"/>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633"/>
        <w:gridCol w:w="1073"/>
        <w:gridCol w:w="770"/>
        <w:gridCol w:w="816"/>
        <w:gridCol w:w="5224"/>
      </w:tblGrid>
      <w:tr w14:paraId="6EEBBB3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5000" w:type="pct"/>
            <w:gridSpan w:val="5"/>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1DFBD88F">
            <w:pPr>
              <w:pStyle w:val="5"/>
              <w:jc w:val="center"/>
              <w:rPr>
                <w:rFonts w:hint="eastAsia" w:ascii="宋体" w:hAnsi="宋体" w:eastAsia="宋体" w:cs="宋体"/>
                <w:highlight w:val="none"/>
              </w:rPr>
            </w:pPr>
            <w:r>
              <w:rPr>
                <w:rFonts w:hint="eastAsia" w:ascii="宋体" w:hAnsi="宋体" w:eastAsia="宋体" w:cs="宋体"/>
                <w:b/>
                <w:sz w:val="21"/>
                <w:highlight w:val="none"/>
                <w:lang w:eastAsia="zh-CN"/>
              </w:rPr>
              <w:t>佛山市三水区乐平镇财政和公有资产管理办公室2026-2029年度工程造价咨询服务项目</w:t>
            </w:r>
            <w:r>
              <w:rPr>
                <w:rFonts w:hint="eastAsia" w:ascii="宋体" w:hAnsi="宋体" w:eastAsia="宋体" w:cs="宋体"/>
                <w:b/>
                <w:sz w:val="21"/>
                <w:highlight w:val="none"/>
              </w:rPr>
              <w:t>中介机构年度考核表（    年度）</w:t>
            </w:r>
          </w:p>
        </w:tc>
      </w:tr>
      <w:tr w14:paraId="0267100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002" w:type="pct"/>
            <w:gridSpan w:val="2"/>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7CC529F">
            <w:pPr>
              <w:pStyle w:val="5"/>
              <w:jc w:val="center"/>
              <w:rPr>
                <w:rFonts w:hint="eastAsia" w:ascii="宋体" w:hAnsi="宋体" w:eastAsia="宋体" w:cs="宋体"/>
                <w:highlight w:val="none"/>
              </w:rPr>
            </w:pPr>
            <w:r>
              <w:rPr>
                <w:rFonts w:hint="eastAsia" w:ascii="宋体" w:hAnsi="宋体" w:eastAsia="宋体" w:cs="宋体"/>
                <w:b/>
                <w:sz w:val="21"/>
                <w:highlight w:val="none"/>
              </w:rPr>
              <w:t>中介机构名称</w:t>
            </w:r>
          </w:p>
        </w:tc>
        <w:tc>
          <w:tcPr>
            <w:tcW w:w="3997" w:type="pct"/>
            <w:gridSpan w:val="3"/>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7FC1EFF6">
            <w:pPr>
              <w:pStyle w:val="5"/>
              <w:jc w:val="center"/>
              <w:rPr>
                <w:rFonts w:hint="eastAsia" w:ascii="宋体" w:hAnsi="宋体" w:eastAsia="宋体" w:cs="宋体"/>
                <w:highlight w:val="none"/>
              </w:rPr>
            </w:pPr>
          </w:p>
        </w:tc>
      </w:tr>
      <w:tr w14:paraId="0EC7E2C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002" w:type="pct"/>
            <w:gridSpan w:val="2"/>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FCA6476">
            <w:pPr>
              <w:pStyle w:val="5"/>
              <w:jc w:val="center"/>
              <w:rPr>
                <w:rFonts w:hint="eastAsia" w:ascii="宋体" w:hAnsi="宋体" w:eastAsia="宋体" w:cs="宋体"/>
                <w:highlight w:val="none"/>
              </w:rPr>
            </w:pPr>
            <w:r>
              <w:rPr>
                <w:rFonts w:hint="eastAsia" w:ascii="宋体" w:hAnsi="宋体" w:eastAsia="宋体" w:cs="宋体"/>
                <w:b/>
                <w:sz w:val="21"/>
                <w:highlight w:val="none"/>
              </w:rPr>
              <w:t>考核内容</w:t>
            </w:r>
          </w:p>
        </w:tc>
        <w:tc>
          <w:tcPr>
            <w:tcW w:w="452"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82DE459">
            <w:pPr>
              <w:pStyle w:val="5"/>
              <w:jc w:val="center"/>
              <w:rPr>
                <w:rFonts w:hint="eastAsia" w:ascii="宋体" w:hAnsi="宋体" w:eastAsia="宋体" w:cs="宋体"/>
                <w:highlight w:val="none"/>
              </w:rPr>
            </w:pPr>
            <w:r>
              <w:rPr>
                <w:rFonts w:hint="eastAsia" w:ascii="宋体" w:hAnsi="宋体" w:eastAsia="宋体" w:cs="宋体"/>
                <w:b/>
                <w:sz w:val="21"/>
                <w:highlight w:val="none"/>
              </w:rPr>
              <w:t>满分</w:t>
            </w:r>
          </w:p>
        </w:tc>
        <w:tc>
          <w:tcPr>
            <w:tcW w:w="479" w:type="pct"/>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60CEC7E5">
            <w:pPr>
              <w:pStyle w:val="5"/>
              <w:jc w:val="center"/>
              <w:rPr>
                <w:rFonts w:hint="eastAsia" w:ascii="宋体" w:hAnsi="宋体" w:eastAsia="宋体" w:cs="宋体"/>
                <w:highlight w:val="none"/>
              </w:rPr>
            </w:pPr>
            <w:r>
              <w:rPr>
                <w:rFonts w:hint="eastAsia" w:ascii="宋体" w:hAnsi="宋体" w:eastAsia="宋体" w:cs="宋体"/>
                <w:b/>
                <w:sz w:val="21"/>
                <w:highlight w:val="none"/>
              </w:rPr>
              <w:t>得分</w:t>
            </w:r>
          </w:p>
        </w:tc>
        <w:tc>
          <w:tcPr>
            <w:tcW w:w="3065" w:type="pct"/>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0617826F">
            <w:pPr>
              <w:pStyle w:val="5"/>
              <w:jc w:val="center"/>
              <w:rPr>
                <w:rFonts w:hint="eastAsia" w:ascii="宋体" w:hAnsi="宋体" w:eastAsia="宋体" w:cs="宋体"/>
                <w:highlight w:val="none"/>
              </w:rPr>
            </w:pPr>
            <w:r>
              <w:rPr>
                <w:rFonts w:hint="eastAsia" w:ascii="宋体" w:hAnsi="宋体" w:eastAsia="宋体" w:cs="宋体"/>
                <w:b/>
                <w:sz w:val="21"/>
                <w:highlight w:val="none"/>
              </w:rPr>
              <w:t>评分标准</w:t>
            </w:r>
          </w:p>
        </w:tc>
      </w:tr>
      <w:tr w14:paraId="5830042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72"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0ACC458">
            <w:pPr>
              <w:pStyle w:val="5"/>
              <w:jc w:val="center"/>
              <w:rPr>
                <w:rFonts w:hint="eastAsia" w:ascii="宋体" w:hAnsi="宋体" w:eastAsia="宋体" w:cs="宋体"/>
                <w:highlight w:val="none"/>
              </w:rPr>
            </w:pPr>
            <w:r>
              <w:rPr>
                <w:rFonts w:hint="eastAsia" w:ascii="宋体" w:hAnsi="宋体" w:eastAsia="宋体" w:cs="宋体"/>
                <w:sz w:val="21"/>
                <w:highlight w:val="none"/>
              </w:rPr>
              <w:t>评审</w:t>
            </w:r>
          </w:p>
          <w:p w14:paraId="631EE17C">
            <w:pPr>
              <w:pStyle w:val="5"/>
              <w:jc w:val="center"/>
              <w:rPr>
                <w:rFonts w:hint="eastAsia" w:ascii="宋体" w:hAnsi="宋体" w:eastAsia="宋体" w:cs="宋体"/>
                <w:highlight w:val="none"/>
              </w:rPr>
            </w:pPr>
            <w:r>
              <w:rPr>
                <w:rFonts w:hint="eastAsia" w:ascii="宋体" w:hAnsi="宋体" w:eastAsia="宋体" w:cs="宋体"/>
                <w:sz w:val="21"/>
                <w:highlight w:val="none"/>
              </w:rPr>
              <w:t>质量</w:t>
            </w:r>
          </w:p>
        </w:tc>
        <w:tc>
          <w:tcPr>
            <w:tcW w:w="629"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954637C">
            <w:pPr>
              <w:pStyle w:val="5"/>
              <w:jc w:val="center"/>
              <w:rPr>
                <w:rFonts w:hint="eastAsia" w:ascii="宋体" w:hAnsi="宋体" w:eastAsia="宋体" w:cs="宋体"/>
                <w:highlight w:val="none"/>
              </w:rPr>
            </w:pPr>
            <w:r>
              <w:rPr>
                <w:rFonts w:hint="eastAsia" w:ascii="宋体" w:hAnsi="宋体" w:eastAsia="宋体" w:cs="宋体"/>
                <w:sz w:val="21"/>
                <w:highlight w:val="none"/>
              </w:rPr>
              <w:t>评审项目加权评分</w:t>
            </w:r>
          </w:p>
        </w:tc>
        <w:tc>
          <w:tcPr>
            <w:tcW w:w="452"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4C513C8">
            <w:pPr>
              <w:pStyle w:val="5"/>
              <w:jc w:val="center"/>
              <w:rPr>
                <w:rFonts w:hint="eastAsia" w:ascii="宋体" w:hAnsi="宋体" w:eastAsia="宋体" w:cs="宋体"/>
                <w:highlight w:val="none"/>
              </w:rPr>
            </w:pPr>
            <w:r>
              <w:rPr>
                <w:rFonts w:hint="eastAsia" w:ascii="宋体" w:hAnsi="宋体" w:eastAsia="宋体" w:cs="宋体"/>
                <w:sz w:val="21"/>
                <w:highlight w:val="none"/>
              </w:rPr>
              <w:t>70</w:t>
            </w:r>
          </w:p>
        </w:tc>
        <w:tc>
          <w:tcPr>
            <w:tcW w:w="479"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90BE777">
            <w:pPr>
              <w:pStyle w:val="5"/>
              <w:jc w:val="center"/>
              <w:rPr>
                <w:rFonts w:hint="eastAsia" w:ascii="宋体" w:hAnsi="宋体" w:eastAsia="宋体" w:cs="宋体"/>
                <w:highlight w:val="none"/>
              </w:rPr>
            </w:pPr>
          </w:p>
        </w:tc>
        <w:tc>
          <w:tcPr>
            <w:tcW w:w="3065" w:type="pct"/>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102147AF">
            <w:pPr>
              <w:pStyle w:val="5"/>
              <w:jc w:val="left"/>
              <w:rPr>
                <w:rFonts w:hint="eastAsia" w:ascii="宋体" w:hAnsi="宋体" w:eastAsia="宋体" w:cs="宋体"/>
                <w:highlight w:val="none"/>
              </w:rPr>
            </w:pPr>
            <w:r>
              <w:rPr>
                <w:rFonts w:hint="eastAsia" w:ascii="宋体" w:hAnsi="宋体" w:eastAsia="宋体" w:cs="宋体"/>
                <w:sz w:val="21"/>
                <w:highlight w:val="none"/>
              </w:rPr>
              <w:t>根据中介机构自然年度内单个评审工作考核评分加权分数*70%。</w:t>
            </w:r>
          </w:p>
        </w:tc>
      </w:tr>
      <w:tr w14:paraId="3D9E3C8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72" w:type="pct"/>
            <w:vMerge w:val="restar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5C34C0E">
            <w:pPr>
              <w:pStyle w:val="5"/>
              <w:jc w:val="center"/>
              <w:rPr>
                <w:rFonts w:hint="eastAsia" w:ascii="宋体" w:hAnsi="宋体" w:eastAsia="宋体" w:cs="宋体"/>
                <w:highlight w:val="none"/>
              </w:rPr>
            </w:pPr>
            <w:r>
              <w:rPr>
                <w:rFonts w:hint="eastAsia" w:ascii="宋体" w:hAnsi="宋体" w:eastAsia="宋体" w:cs="宋体"/>
                <w:sz w:val="21"/>
                <w:highlight w:val="none"/>
              </w:rPr>
              <w:t>走</w:t>
            </w:r>
          </w:p>
          <w:p w14:paraId="09C50435">
            <w:pPr>
              <w:pStyle w:val="5"/>
              <w:jc w:val="left"/>
              <w:rPr>
                <w:rFonts w:hint="eastAsia" w:ascii="宋体" w:hAnsi="宋体" w:eastAsia="宋体" w:cs="宋体"/>
                <w:highlight w:val="none"/>
              </w:rPr>
            </w:pPr>
            <w:r>
              <w:rPr>
                <w:rFonts w:hint="eastAsia" w:ascii="宋体" w:hAnsi="宋体" w:eastAsia="宋体" w:cs="宋体"/>
                <w:sz w:val="21"/>
                <w:highlight w:val="none"/>
              </w:rPr>
              <w:t>访</w:t>
            </w:r>
          </w:p>
          <w:p w14:paraId="6928B4F3">
            <w:pPr>
              <w:pStyle w:val="5"/>
              <w:jc w:val="left"/>
              <w:rPr>
                <w:rFonts w:hint="eastAsia" w:ascii="宋体" w:hAnsi="宋体" w:eastAsia="宋体" w:cs="宋体"/>
                <w:highlight w:val="none"/>
              </w:rPr>
            </w:pPr>
            <w:r>
              <w:rPr>
                <w:rFonts w:hint="eastAsia" w:ascii="宋体" w:hAnsi="宋体" w:eastAsia="宋体" w:cs="宋体"/>
                <w:sz w:val="21"/>
                <w:highlight w:val="none"/>
              </w:rPr>
              <w:t>评</w:t>
            </w:r>
          </w:p>
          <w:p w14:paraId="495C2B7D">
            <w:pPr>
              <w:pStyle w:val="5"/>
              <w:jc w:val="left"/>
              <w:rPr>
                <w:rFonts w:hint="eastAsia" w:ascii="宋体" w:hAnsi="宋体" w:eastAsia="宋体" w:cs="宋体"/>
                <w:highlight w:val="none"/>
              </w:rPr>
            </w:pPr>
            <w:r>
              <w:rPr>
                <w:rFonts w:hint="eastAsia" w:ascii="宋体" w:hAnsi="宋体" w:eastAsia="宋体" w:cs="宋体"/>
                <w:sz w:val="21"/>
                <w:highlight w:val="none"/>
              </w:rPr>
              <w:t>分</w:t>
            </w:r>
          </w:p>
        </w:tc>
        <w:tc>
          <w:tcPr>
            <w:tcW w:w="629"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9FC1360">
            <w:pPr>
              <w:pStyle w:val="5"/>
              <w:jc w:val="center"/>
              <w:rPr>
                <w:rFonts w:hint="eastAsia" w:ascii="宋体" w:hAnsi="宋体" w:eastAsia="宋体" w:cs="宋体"/>
                <w:highlight w:val="none"/>
              </w:rPr>
            </w:pPr>
            <w:r>
              <w:rPr>
                <w:rFonts w:hint="eastAsia" w:ascii="宋体" w:hAnsi="宋体" w:eastAsia="宋体" w:cs="宋体"/>
                <w:sz w:val="21"/>
                <w:highlight w:val="none"/>
              </w:rPr>
              <w:t>服务团队人员情况</w:t>
            </w:r>
          </w:p>
        </w:tc>
        <w:tc>
          <w:tcPr>
            <w:tcW w:w="452"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71A2782">
            <w:pPr>
              <w:pStyle w:val="5"/>
              <w:jc w:val="center"/>
              <w:rPr>
                <w:rFonts w:hint="eastAsia" w:ascii="宋体" w:hAnsi="宋体" w:eastAsia="宋体" w:cs="宋体"/>
                <w:highlight w:val="none"/>
              </w:rPr>
            </w:pPr>
            <w:r>
              <w:rPr>
                <w:rFonts w:hint="eastAsia" w:ascii="宋体" w:hAnsi="宋体" w:eastAsia="宋体" w:cs="宋体"/>
                <w:sz w:val="21"/>
                <w:highlight w:val="none"/>
              </w:rPr>
              <w:t>10</w:t>
            </w:r>
          </w:p>
        </w:tc>
        <w:tc>
          <w:tcPr>
            <w:tcW w:w="479"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B2F4837">
            <w:pPr>
              <w:pStyle w:val="5"/>
              <w:jc w:val="center"/>
              <w:rPr>
                <w:rFonts w:hint="eastAsia" w:ascii="宋体" w:hAnsi="宋体" w:eastAsia="宋体" w:cs="宋体"/>
                <w:highlight w:val="none"/>
              </w:rPr>
            </w:pPr>
          </w:p>
        </w:tc>
        <w:tc>
          <w:tcPr>
            <w:tcW w:w="3065"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57849C1">
            <w:pPr>
              <w:pStyle w:val="5"/>
              <w:jc w:val="both"/>
              <w:rPr>
                <w:rFonts w:hint="eastAsia" w:ascii="宋体" w:hAnsi="宋体" w:eastAsia="宋体" w:cs="宋体"/>
                <w:highlight w:val="none"/>
              </w:rPr>
            </w:pPr>
            <w:r>
              <w:rPr>
                <w:rFonts w:hint="eastAsia" w:ascii="宋体" w:hAnsi="宋体" w:eastAsia="宋体" w:cs="宋体"/>
                <w:sz w:val="21"/>
                <w:highlight w:val="none"/>
              </w:rPr>
              <w:t>1、服务团队至少有8名一级造价工程师，且满足土建、安装、公路、水利四个专业，得8分；</w:t>
            </w:r>
          </w:p>
          <w:p w14:paraId="6AB456B3">
            <w:pPr>
              <w:pStyle w:val="5"/>
              <w:jc w:val="left"/>
              <w:rPr>
                <w:rFonts w:hint="eastAsia" w:ascii="宋体" w:hAnsi="宋体" w:eastAsia="宋体" w:cs="宋体"/>
                <w:highlight w:val="none"/>
              </w:rPr>
            </w:pPr>
            <w:r>
              <w:rPr>
                <w:rFonts w:hint="eastAsia" w:ascii="宋体" w:hAnsi="宋体" w:eastAsia="宋体" w:cs="宋体"/>
                <w:sz w:val="21"/>
                <w:highlight w:val="none"/>
              </w:rPr>
              <w:t>2、具备中级及以上职称技术资格得1分，注册会计师得2分，本小项最高得2分；</w:t>
            </w:r>
          </w:p>
          <w:p w14:paraId="10BEA631">
            <w:pPr>
              <w:pStyle w:val="5"/>
              <w:jc w:val="left"/>
              <w:rPr>
                <w:rFonts w:hint="eastAsia" w:ascii="宋体" w:hAnsi="宋体" w:eastAsia="宋体" w:cs="宋体"/>
                <w:highlight w:val="none"/>
              </w:rPr>
            </w:pPr>
            <w:r>
              <w:rPr>
                <w:rFonts w:hint="eastAsia" w:ascii="宋体" w:hAnsi="宋体" w:eastAsia="宋体" w:cs="宋体"/>
                <w:sz w:val="21"/>
                <w:highlight w:val="none"/>
              </w:rPr>
              <w:t>3、未按要求配置的，不得分。</w:t>
            </w:r>
          </w:p>
        </w:tc>
      </w:tr>
      <w:tr w14:paraId="4C804D2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72" w:type="pct"/>
            <w:vMerge w:val="continue"/>
            <w:tcBorders>
              <w:top w:val="nil"/>
              <w:left w:val="single" w:color="000000" w:sz="4" w:space="0"/>
              <w:bottom w:val="single" w:color="000000" w:sz="4" w:space="0"/>
              <w:right w:val="single" w:color="000000" w:sz="4" w:space="0"/>
            </w:tcBorders>
          </w:tcPr>
          <w:p w14:paraId="5E2608A2">
            <w:pPr>
              <w:rPr>
                <w:rFonts w:hint="eastAsia" w:ascii="宋体" w:hAnsi="宋体" w:eastAsia="宋体" w:cs="宋体"/>
                <w:highlight w:val="none"/>
              </w:rPr>
            </w:pPr>
          </w:p>
        </w:tc>
        <w:tc>
          <w:tcPr>
            <w:tcW w:w="629"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2126F54">
            <w:pPr>
              <w:pStyle w:val="5"/>
              <w:jc w:val="center"/>
              <w:rPr>
                <w:rFonts w:hint="eastAsia" w:ascii="宋体" w:hAnsi="宋体" w:eastAsia="宋体" w:cs="宋体"/>
                <w:highlight w:val="none"/>
              </w:rPr>
            </w:pPr>
            <w:r>
              <w:rPr>
                <w:rFonts w:hint="eastAsia" w:ascii="宋体" w:hAnsi="宋体" w:eastAsia="宋体" w:cs="宋体"/>
                <w:sz w:val="21"/>
                <w:highlight w:val="none"/>
              </w:rPr>
              <w:t>本地化服务情况</w:t>
            </w:r>
          </w:p>
        </w:tc>
        <w:tc>
          <w:tcPr>
            <w:tcW w:w="452"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8B699CA">
            <w:pPr>
              <w:pStyle w:val="5"/>
              <w:jc w:val="center"/>
              <w:rPr>
                <w:rFonts w:hint="eastAsia" w:ascii="宋体" w:hAnsi="宋体" w:eastAsia="宋体" w:cs="宋体"/>
                <w:highlight w:val="none"/>
              </w:rPr>
            </w:pPr>
            <w:r>
              <w:rPr>
                <w:rFonts w:hint="eastAsia" w:ascii="宋体" w:hAnsi="宋体" w:eastAsia="宋体" w:cs="宋体"/>
                <w:sz w:val="21"/>
                <w:highlight w:val="none"/>
              </w:rPr>
              <w:t>5</w:t>
            </w:r>
          </w:p>
        </w:tc>
        <w:tc>
          <w:tcPr>
            <w:tcW w:w="479"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CA8E183">
            <w:pPr>
              <w:pStyle w:val="5"/>
              <w:jc w:val="center"/>
              <w:rPr>
                <w:rFonts w:hint="eastAsia" w:ascii="宋体" w:hAnsi="宋体" w:eastAsia="宋体" w:cs="宋体"/>
                <w:highlight w:val="none"/>
              </w:rPr>
            </w:pPr>
          </w:p>
        </w:tc>
        <w:tc>
          <w:tcPr>
            <w:tcW w:w="3065"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0A1A233">
            <w:pPr>
              <w:pStyle w:val="5"/>
              <w:jc w:val="left"/>
              <w:rPr>
                <w:rFonts w:hint="eastAsia" w:ascii="宋体" w:hAnsi="宋体" w:eastAsia="宋体" w:cs="宋体"/>
                <w:highlight w:val="none"/>
              </w:rPr>
            </w:pPr>
            <w:r>
              <w:rPr>
                <w:rFonts w:hint="eastAsia" w:ascii="宋体" w:hAnsi="宋体" w:eastAsia="宋体" w:cs="宋体"/>
                <w:sz w:val="21"/>
                <w:highlight w:val="none"/>
              </w:rPr>
              <w:t>1、本地化服务优势明显，服务响应快速方便有保障，得5分；</w:t>
            </w:r>
          </w:p>
          <w:p w14:paraId="21A6A2C7">
            <w:pPr>
              <w:pStyle w:val="5"/>
              <w:jc w:val="left"/>
              <w:rPr>
                <w:rFonts w:hint="eastAsia" w:ascii="宋体" w:hAnsi="宋体" w:eastAsia="宋体" w:cs="宋体"/>
                <w:highlight w:val="none"/>
              </w:rPr>
            </w:pPr>
            <w:r>
              <w:rPr>
                <w:rFonts w:hint="eastAsia" w:ascii="宋体" w:hAnsi="宋体" w:eastAsia="宋体" w:cs="宋体"/>
                <w:sz w:val="21"/>
                <w:highlight w:val="none"/>
              </w:rPr>
              <w:t>2、本地化服务优势较明显，服务响应比较快速方便，得3分；</w:t>
            </w:r>
          </w:p>
          <w:p w14:paraId="1A386B3E">
            <w:pPr>
              <w:pStyle w:val="5"/>
              <w:jc w:val="left"/>
              <w:rPr>
                <w:rFonts w:hint="eastAsia" w:ascii="宋体" w:hAnsi="宋体" w:eastAsia="宋体" w:cs="宋体"/>
                <w:highlight w:val="none"/>
              </w:rPr>
            </w:pPr>
            <w:r>
              <w:rPr>
                <w:rFonts w:hint="eastAsia" w:ascii="宋体" w:hAnsi="宋体" w:eastAsia="宋体" w:cs="宋体"/>
                <w:sz w:val="21"/>
                <w:highlight w:val="none"/>
              </w:rPr>
              <w:t>3、本地化服务优势一般，服务响应速度较慢，得1分；</w:t>
            </w:r>
          </w:p>
          <w:p w14:paraId="479BB3F6">
            <w:pPr>
              <w:pStyle w:val="5"/>
              <w:jc w:val="left"/>
              <w:rPr>
                <w:rFonts w:hint="eastAsia" w:ascii="宋体" w:hAnsi="宋体" w:eastAsia="宋体" w:cs="宋体"/>
                <w:highlight w:val="none"/>
              </w:rPr>
            </w:pPr>
            <w:r>
              <w:rPr>
                <w:rFonts w:hint="eastAsia" w:ascii="宋体" w:hAnsi="宋体" w:eastAsia="宋体" w:cs="宋体"/>
                <w:sz w:val="21"/>
                <w:highlight w:val="none"/>
              </w:rPr>
              <w:t>4、本地化服务优势差，服务响应速度慢，不得分。</w:t>
            </w:r>
          </w:p>
        </w:tc>
      </w:tr>
      <w:tr w14:paraId="6DFD460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72" w:type="pct"/>
            <w:vMerge w:val="continue"/>
            <w:tcBorders>
              <w:top w:val="nil"/>
              <w:left w:val="single" w:color="000000" w:sz="4" w:space="0"/>
              <w:bottom w:val="single" w:color="000000" w:sz="4" w:space="0"/>
              <w:right w:val="single" w:color="000000" w:sz="4" w:space="0"/>
            </w:tcBorders>
          </w:tcPr>
          <w:p w14:paraId="6D3AC330">
            <w:pPr>
              <w:rPr>
                <w:rFonts w:hint="eastAsia" w:ascii="宋体" w:hAnsi="宋体" w:eastAsia="宋体" w:cs="宋体"/>
                <w:highlight w:val="none"/>
              </w:rPr>
            </w:pPr>
          </w:p>
        </w:tc>
        <w:tc>
          <w:tcPr>
            <w:tcW w:w="629"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07E3E8D">
            <w:pPr>
              <w:pStyle w:val="5"/>
              <w:jc w:val="center"/>
              <w:rPr>
                <w:rFonts w:hint="eastAsia" w:ascii="宋体" w:hAnsi="宋体" w:eastAsia="宋体" w:cs="宋体"/>
                <w:highlight w:val="none"/>
              </w:rPr>
            </w:pPr>
            <w:r>
              <w:rPr>
                <w:rFonts w:hint="eastAsia" w:ascii="宋体" w:hAnsi="宋体" w:eastAsia="宋体" w:cs="宋体"/>
                <w:sz w:val="21"/>
                <w:highlight w:val="none"/>
              </w:rPr>
              <w:t>服务保障能力</w:t>
            </w:r>
          </w:p>
        </w:tc>
        <w:tc>
          <w:tcPr>
            <w:tcW w:w="452"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C01EE78">
            <w:pPr>
              <w:pStyle w:val="5"/>
              <w:jc w:val="center"/>
              <w:rPr>
                <w:rFonts w:hint="eastAsia" w:ascii="宋体" w:hAnsi="宋体" w:eastAsia="宋体" w:cs="宋体"/>
                <w:highlight w:val="none"/>
              </w:rPr>
            </w:pPr>
            <w:r>
              <w:rPr>
                <w:rFonts w:hint="eastAsia" w:ascii="宋体" w:hAnsi="宋体" w:eastAsia="宋体" w:cs="宋体"/>
                <w:sz w:val="21"/>
                <w:highlight w:val="none"/>
              </w:rPr>
              <w:t>5</w:t>
            </w:r>
          </w:p>
        </w:tc>
        <w:tc>
          <w:tcPr>
            <w:tcW w:w="479"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19D14AA">
            <w:pPr>
              <w:pStyle w:val="5"/>
              <w:jc w:val="center"/>
              <w:rPr>
                <w:rFonts w:hint="eastAsia" w:ascii="宋体" w:hAnsi="宋体" w:eastAsia="宋体" w:cs="宋体"/>
                <w:highlight w:val="none"/>
              </w:rPr>
            </w:pPr>
          </w:p>
        </w:tc>
        <w:tc>
          <w:tcPr>
            <w:tcW w:w="3065"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8115B4A">
            <w:pPr>
              <w:pStyle w:val="5"/>
              <w:jc w:val="both"/>
              <w:rPr>
                <w:rFonts w:hint="eastAsia" w:ascii="宋体" w:hAnsi="宋体" w:eastAsia="宋体" w:cs="宋体"/>
                <w:highlight w:val="none"/>
              </w:rPr>
            </w:pPr>
            <w:r>
              <w:rPr>
                <w:rFonts w:hint="eastAsia" w:ascii="宋体" w:hAnsi="宋体" w:eastAsia="宋体" w:cs="宋体"/>
                <w:sz w:val="21"/>
                <w:highlight w:val="none"/>
              </w:rPr>
              <w:t>根据配套设施软硬件资源（现代化办公设备、</w:t>
            </w:r>
          </w:p>
          <w:p w14:paraId="4A3362B0">
            <w:pPr>
              <w:pStyle w:val="5"/>
              <w:ind w:right="150"/>
              <w:jc w:val="both"/>
              <w:rPr>
                <w:rFonts w:hint="eastAsia" w:ascii="宋体" w:hAnsi="宋体" w:eastAsia="宋体" w:cs="宋体"/>
                <w:highlight w:val="none"/>
              </w:rPr>
            </w:pPr>
            <w:r>
              <w:rPr>
                <w:rFonts w:hint="eastAsia" w:ascii="宋体" w:hAnsi="宋体" w:eastAsia="宋体" w:cs="宋体"/>
                <w:sz w:val="21"/>
                <w:highlight w:val="none"/>
              </w:rPr>
              <w:t>评审对数室、计价软件等）进行评分：</w:t>
            </w:r>
          </w:p>
          <w:p w14:paraId="4FBB58AA">
            <w:pPr>
              <w:pStyle w:val="5"/>
              <w:ind w:right="150"/>
              <w:jc w:val="both"/>
              <w:rPr>
                <w:rFonts w:hint="eastAsia" w:ascii="宋体" w:hAnsi="宋体" w:eastAsia="宋体" w:cs="宋体"/>
                <w:highlight w:val="none"/>
              </w:rPr>
            </w:pPr>
            <w:r>
              <w:rPr>
                <w:rFonts w:hint="eastAsia" w:ascii="宋体" w:hAnsi="宋体" w:eastAsia="宋体" w:cs="宋体"/>
                <w:sz w:val="21"/>
                <w:highlight w:val="none"/>
              </w:rPr>
              <w:t>1、配备办公设备、评审对数室、计价软件的，得5分；</w:t>
            </w:r>
          </w:p>
          <w:p w14:paraId="3169C219">
            <w:pPr>
              <w:pStyle w:val="5"/>
              <w:ind w:right="150"/>
              <w:jc w:val="both"/>
              <w:rPr>
                <w:rFonts w:hint="eastAsia" w:ascii="宋体" w:hAnsi="宋体" w:eastAsia="宋体" w:cs="宋体"/>
                <w:highlight w:val="none"/>
              </w:rPr>
            </w:pPr>
            <w:r>
              <w:rPr>
                <w:rFonts w:hint="eastAsia" w:ascii="宋体" w:hAnsi="宋体" w:eastAsia="宋体" w:cs="宋体"/>
                <w:sz w:val="21"/>
                <w:highlight w:val="none"/>
              </w:rPr>
              <w:t>2、办公设备、评审对数室、计价软件的，其中一项不齐的，得3分；</w:t>
            </w:r>
          </w:p>
          <w:p w14:paraId="42EFA06C">
            <w:pPr>
              <w:pStyle w:val="5"/>
              <w:ind w:right="150"/>
              <w:jc w:val="both"/>
              <w:rPr>
                <w:rFonts w:hint="eastAsia" w:ascii="宋体" w:hAnsi="宋体" w:eastAsia="宋体" w:cs="宋体"/>
                <w:highlight w:val="none"/>
              </w:rPr>
            </w:pPr>
            <w:r>
              <w:rPr>
                <w:rFonts w:hint="eastAsia" w:ascii="宋体" w:hAnsi="宋体" w:eastAsia="宋体" w:cs="宋体"/>
                <w:sz w:val="21"/>
                <w:highlight w:val="none"/>
              </w:rPr>
              <w:t>3、办公设备、评审对数室、计价软件的，其中两项不齐的，得1分；</w:t>
            </w:r>
          </w:p>
          <w:p w14:paraId="57993C8C">
            <w:pPr>
              <w:pStyle w:val="5"/>
              <w:ind w:right="150"/>
              <w:jc w:val="both"/>
              <w:rPr>
                <w:rFonts w:hint="eastAsia" w:ascii="宋体" w:hAnsi="宋体" w:eastAsia="宋体" w:cs="宋体"/>
                <w:highlight w:val="none"/>
              </w:rPr>
            </w:pPr>
            <w:r>
              <w:rPr>
                <w:rFonts w:hint="eastAsia" w:ascii="宋体" w:hAnsi="宋体" w:eastAsia="宋体" w:cs="宋体"/>
                <w:sz w:val="21"/>
                <w:highlight w:val="none"/>
              </w:rPr>
              <w:t>4、未配备办公设备、评审对数室、计价软件的，不得分。</w:t>
            </w:r>
          </w:p>
        </w:tc>
      </w:tr>
      <w:tr w14:paraId="0F8AC59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72" w:type="pct"/>
            <w:vMerge w:val="continue"/>
            <w:tcBorders>
              <w:top w:val="nil"/>
              <w:left w:val="single" w:color="000000" w:sz="4" w:space="0"/>
              <w:bottom w:val="single" w:color="000000" w:sz="4" w:space="0"/>
              <w:right w:val="single" w:color="000000" w:sz="4" w:space="0"/>
            </w:tcBorders>
          </w:tcPr>
          <w:p w14:paraId="6D9445E4">
            <w:pPr>
              <w:rPr>
                <w:rFonts w:hint="eastAsia" w:ascii="宋体" w:hAnsi="宋体" w:eastAsia="宋体" w:cs="宋体"/>
                <w:highlight w:val="none"/>
              </w:rPr>
            </w:pPr>
          </w:p>
        </w:tc>
        <w:tc>
          <w:tcPr>
            <w:tcW w:w="629"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492A60A">
            <w:pPr>
              <w:pStyle w:val="5"/>
              <w:jc w:val="center"/>
              <w:rPr>
                <w:rFonts w:hint="eastAsia" w:ascii="宋体" w:hAnsi="宋体" w:eastAsia="宋体" w:cs="宋体"/>
                <w:highlight w:val="none"/>
              </w:rPr>
            </w:pPr>
            <w:r>
              <w:rPr>
                <w:rFonts w:hint="eastAsia" w:ascii="宋体" w:hAnsi="宋体" w:eastAsia="宋体" w:cs="宋体"/>
                <w:sz w:val="21"/>
                <w:highlight w:val="none"/>
              </w:rPr>
              <w:t>制度文件</w:t>
            </w:r>
          </w:p>
        </w:tc>
        <w:tc>
          <w:tcPr>
            <w:tcW w:w="452"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A94E743">
            <w:pPr>
              <w:pStyle w:val="5"/>
              <w:jc w:val="center"/>
              <w:rPr>
                <w:rFonts w:hint="eastAsia" w:ascii="宋体" w:hAnsi="宋体" w:eastAsia="宋体" w:cs="宋体"/>
                <w:highlight w:val="none"/>
              </w:rPr>
            </w:pPr>
            <w:r>
              <w:rPr>
                <w:rFonts w:hint="eastAsia" w:ascii="宋体" w:hAnsi="宋体" w:eastAsia="宋体" w:cs="宋体"/>
                <w:sz w:val="21"/>
                <w:highlight w:val="none"/>
              </w:rPr>
              <w:t>2</w:t>
            </w:r>
          </w:p>
        </w:tc>
        <w:tc>
          <w:tcPr>
            <w:tcW w:w="479"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D3A9EE7">
            <w:pPr>
              <w:pStyle w:val="5"/>
              <w:jc w:val="center"/>
              <w:rPr>
                <w:rFonts w:hint="eastAsia" w:ascii="宋体" w:hAnsi="宋体" w:eastAsia="宋体" w:cs="宋体"/>
                <w:highlight w:val="none"/>
              </w:rPr>
            </w:pPr>
          </w:p>
        </w:tc>
        <w:tc>
          <w:tcPr>
            <w:tcW w:w="3065"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B2D7800">
            <w:pPr>
              <w:pStyle w:val="5"/>
              <w:jc w:val="both"/>
              <w:rPr>
                <w:rFonts w:hint="eastAsia" w:ascii="宋体" w:hAnsi="宋体" w:eastAsia="宋体" w:cs="宋体"/>
                <w:highlight w:val="none"/>
              </w:rPr>
            </w:pPr>
            <w:r>
              <w:rPr>
                <w:rFonts w:hint="eastAsia" w:ascii="宋体" w:hAnsi="宋体" w:eastAsia="宋体" w:cs="宋体"/>
                <w:sz w:val="21"/>
                <w:highlight w:val="none"/>
              </w:rPr>
              <w:t>根据制度文件进行综合评审：</w:t>
            </w:r>
          </w:p>
          <w:p w14:paraId="0F8E11A4">
            <w:pPr>
              <w:pStyle w:val="5"/>
              <w:jc w:val="both"/>
              <w:rPr>
                <w:rFonts w:hint="eastAsia" w:ascii="宋体" w:hAnsi="宋体" w:eastAsia="宋体" w:cs="宋体"/>
                <w:highlight w:val="none"/>
              </w:rPr>
            </w:pPr>
            <w:r>
              <w:rPr>
                <w:rFonts w:hint="eastAsia" w:ascii="宋体" w:hAnsi="宋体" w:eastAsia="宋体" w:cs="宋体"/>
                <w:sz w:val="21"/>
                <w:highlight w:val="none"/>
              </w:rPr>
              <w:t>1、建立了保密制度及廉政风险管控制度的，得2分；</w:t>
            </w:r>
          </w:p>
          <w:p w14:paraId="4F90D742">
            <w:pPr>
              <w:pStyle w:val="5"/>
              <w:jc w:val="left"/>
              <w:rPr>
                <w:rFonts w:hint="eastAsia" w:ascii="宋体" w:hAnsi="宋体" w:eastAsia="宋体" w:cs="宋体"/>
                <w:highlight w:val="none"/>
              </w:rPr>
            </w:pPr>
            <w:r>
              <w:rPr>
                <w:rFonts w:hint="eastAsia" w:ascii="宋体" w:hAnsi="宋体" w:eastAsia="宋体" w:cs="宋体"/>
                <w:sz w:val="21"/>
                <w:highlight w:val="none"/>
              </w:rPr>
              <w:t>2、未建立的不得分。</w:t>
            </w:r>
          </w:p>
        </w:tc>
      </w:tr>
      <w:tr w14:paraId="37D99DE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72" w:type="pct"/>
            <w:vMerge w:val="continue"/>
            <w:tcBorders>
              <w:top w:val="nil"/>
              <w:left w:val="single" w:color="000000" w:sz="4" w:space="0"/>
              <w:bottom w:val="single" w:color="000000" w:sz="4" w:space="0"/>
              <w:right w:val="single" w:color="000000" w:sz="4" w:space="0"/>
            </w:tcBorders>
          </w:tcPr>
          <w:p w14:paraId="5CE500BD">
            <w:pPr>
              <w:rPr>
                <w:rFonts w:hint="eastAsia" w:ascii="宋体" w:hAnsi="宋体" w:eastAsia="宋体" w:cs="宋体"/>
                <w:highlight w:val="none"/>
              </w:rPr>
            </w:pPr>
          </w:p>
        </w:tc>
        <w:tc>
          <w:tcPr>
            <w:tcW w:w="629"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FA1D4E1">
            <w:pPr>
              <w:pStyle w:val="5"/>
              <w:jc w:val="center"/>
              <w:rPr>
                <w:rFonts w:hint="eastAsia" w:ascii="宋体" w:hAnsi="宋体" w:eastAsia="宋体" w:cs="宋体"/>
                <w:highlight w:val="none"/>
              </w:rPr>
            </w:pPr>
            <w:r>
              <w:rPr>
                <w:rFonts w:hint="eastAsia" w:ascii="宋体" w:hAnsi="宋体" w:eastAsia="宋体" w:cs="宋体"/>
                <w:sz w:val="21"/>
                <w:highlight w:val="none"/>
              </w:rPr>
              <w:t>办公场所面积</w:t>
            </w:r>
          </w:p>
        </w:tc>
        <w:tc>
          <w:tcPr>
            <w:tcW w:w="452"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38876EE">
            <w:pPr>
              <w:pStyle w:val="5"/>
              <w:jc w:val="center"/>
              <w:rPr>
                <w:rFonts w:hint="eastAsia" w:ascii="宋体" w:hAnsi="宋体" w:eastAsia="宋体" w:cs="宋体"/>
                <w:highlight w:val="none"/>
              </w:rPr>
            </w:pPr>
            <w:r>
              <w:rPr>
                <w:rFonts w:hint="eastAsia" w:ascii="宋体" w:hAnsi="宋体" w:eastAsia="宋体" w:cs="宋体"/>
                <w:sz w:val="21"/>
                <w:highlight w:val="none"/>
              </w:rPr>
              <w:t>3</w:t>
            </w:r>
          </w:p>
        </w:tc>
        <w:tc>
          <w:tcPr>
            <w:tcW w:w="479"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1B780BB">
            <w:pPr>
              <w:pStyle w:val="5"/>
              <w:jc w:val="center"/>
              <w:rPr>
                <w:rFonts w:hint="eastAsia" w:ascii="宋体" w:hAnsi="宋体" w:eastAsia="宋体" w:cs="宋体"/>
                <w:highlight w:val="none"/>
              </w:rPr>
            </w:pPr>
          </w:p>
        </w:tc>
        <w:tc>
          <w:tcPr>
            <w:tcW w:w="3065"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7FC898F">
            <w:pPr>
              <w:pStyle w:val="5"/>
              <w:jc w:val="left"/>
              <w:rPr>
                <w:rFonts w:hint="eastAsia" w:ascii="宋体" w:hAnsi="宋体" w:eastAsia="宋体" w:cs="宋体"/>
                <w:highlight w:val="none"/>
              </w:rPr>
            </w:pPr>
            <w:r>
              <w:rPr>
                <w:rFonts w:hint="eastAsia" w:ascii="宋体" w:hAnsi="宋体" w:eastAsia="宋体" w:cs="宋体"/>
                <w:sz w:val="21"/>
                <w:highlight w:val="none"/>
              </w:rPr>
              <w:t>1、有固定办公场所，且面积≥81平方米，得3分；</w:t>
            </w:r>
          </w:p>
          <w:p w14:paraId="3C15E5F5">
            <w:pPr>
              <w:pStyle w:val="5"/>
              <w:jc w:val="left"/>
              <w:rPr>
                <w:rFonts w:hint="eastAsia" w:ascii="宋体" w:hAnsi="宋体" w:eastAsia="宋体" w:cs="宋体"/>
                <w:highlight w:val="none"/>
              </w:rPr>
            </w:pPr>
            <w:r>
              <w:rPr>
                <w:rFonts w:hint="eastAsia" w:ascii="宋体" w:hAnsi="宋体" w:eastAsia="宋体" w:cs="宋体"/>
                <w:sz w:val="21"/>
                <w:highlight w:val="none"/>
              </w:rPr>
              <w:t>2、81平方米＞面积≥50平方米，得2分；</w:t>
            </w:r>
          </w:p>
          <w:p w14:paraId="65CFD1B6">
            <w:pPr>
              <w:pStyle w:val="5"/>
              <w:jc w:val="left"/>
              <w:rPr>
                <w:rFonts w:hint="eastAsia" w:ascii="宋体" w:hAnsi="宋体" w:eastAsia="宋体" w:cs="宋体"/>
                <w:highlight w:val="none"/>
              </w:rPr>
            </w:pPr>
            <w:r>
              <w:rPr>
                <w:rFonts w:hint="eastAsia" w:ascii="宋体" w:hAnsi="宋体" w:eastAsia="宋体" w:cs="宋体"/>
                <w:sz w:val="21"/>
                <w:highlight w:val="none"/>
              </w:rPr>
              <w:t>3、面积＜50平方米，得1分；</w:t>
            </w:r>
          </w:p>
          <w:p w14:paraId="1E4E6640">
            <w:pPr>
              <w:pStyle w:val="5"/>
              <w:jc w:val="left"/>
              <w:rPr>
                <w:rFonts w:hint="eastAsia" w:ascii="宋体" w:hAnsi="宋体" w:eastAsia="宋体" w:cs="宋体"/>
                <w:highlight w:val="none"/>
              </w:rPr>
            </w:pPr>
            <w:r>
              <w:rPr>
                <w:rFonts w:hint="eastAsia" w:ascii="宋体" w:hAnsi="宋体" w:eastAsia="宋体" w:cs="宋体"/>
                <w:sz w:val="21"/>
                <w:highlight w:val="none"/>
              </w:rPr>
              <w:t>4、无固定场所不得分。</w:t>
            </w:r>
          </w:p>
        </w:tc>
      </w:tr>
      <w:tr w14:paraId="5C3B8E1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72" w:type="pct"/>
            <w:vMerge w:val="continue"/>
            <w:tcBorders>
              <w:top w:val="nil"/>
              <w:left w:val="single" w:color="000000" w:sz="4" w:space="0"/>
              <w:bottom w:val="single" w:color="000000" w:sz="4" w:space="0"/>
              <w:right w:val="single" w:color="000000" w:sz="4" w:space="0"/>
            </w:tcBorders>
          </w:tcPr>
          <w:p w14:paraId="3807BBED">
            <w:pPr>
              <w:rPr>
                <w:rFonts w:hint="eastAsia" w:ascii="宋体" w:hAnsi="宋体" w:eastAsia="宋体" w:cs="宋体"/>
                <w:highlight w:val="none"/>
              </w:rPr>
            </w:pPr>
          </w:p>
        </w:tc>
        <w:tc>
          <w:tcPr>
            <w:tcW w:w="629"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78E9ACC">
            <w:pPr>
              <w:pStyle w:val="5"/>
              <w:jc w:val="center"/>
              <w:rPr>
                <w:rFonts w:hint="eastAsia" w:ascii="宋体" w:hAnsi="宋体" w:eastAsia="宋体" w:cs="宋体"/>
                <w:highlight w:val="none"/>
              </w:rPr>
            </w:pPr>
            <w:r>
              <w:rPr>
                <w:rFonts w:hint="eastAsia" w:ascii="宋体" w:hAnsi="宋体" w:eastAsia="宋体" w:cs="宋体"/>
                <w:sz w:val="21"/>
                <w:highlight w:val="none"/>
              </w:rPr>
              <w:t>档案管理</w:t>
            </w:r>
          </w:p>
        </w:tc>
        <w:tc>
          <w:tcPr>
            <w:tcW w:w="452"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37D8A2B">
            <w:pPr>
              <w:pStyle w:val="5"/>
              <w:jc w:val="center"/>
              <w:rPr>
                <w:rFonts w:hint="eastAsia" w:ascii="宋体" w:hAnsi="宋体" w:eastAsia="宋体" w:cs="宋体"/>
                <w:highlight w:val="none"/>
              </w:rPr>
            </w:pPr>
            <w:r>
              <w:rPr>
                <w:rFonts w:hint="eastAsia" w:ascii="宋体" w:hAnsi="宋体" w:eastAsia="宋体" w:cs="宋体"/>
                <w:sz w:val="21"/>
                <w:highlight w:val="none"/>
              </w:rPr>
              <w:t>3</w:t>
            </w:r>
          </w:p>
        </w:tc>
        <w:tc>
          <w:tcPr>
            <w:tcW w:w="479"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008B7C5">
            <w:pPr>
              <w:pStyle w:val="5"/>
              <w:jc w:val="left"/>
              <w:rPr>
                <w:rFonts w:hint="eastAsia" w:ascii="宋体" w:hAnsi="宋体" w:eastAsia="宋体" w:cs="宋体"/>
                <w:highlight w:val="none"/>
              </w:rPr>
            </w:pPr>
          </w:p>
        </w:tc>
        <w:tc>
          <w:tcPr>
            <w:tcW w:w="3065"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9883815">
            <w:pPr>
              <w:pStyle w:val="5"/>
              <w:jc w:val="left"/>
              <w:rPr>
                <w:rFonts w:hint="eastAsia" w:ascii="宋体" w:hAnsi="宋体" w:eastAsia="宋体" w:cs="宋体"/>
                <w:highlight w:val="none"/>
              </w:rPr>
            </w:pPr>
            <w:r>
              <w:rPr>
                <w:rFonts w:hint="eastAsia" w:ascii="宋体" w:hAnsi="宋体" w:eastAsia="宋体" w:cs="宋体"/>
                <w:sz w:val="21"/>
                <w:highlight w:val="none"/>
              </w:rPr>
              <w:t>1、在三水区设立独立档案室的，得3分；</w:t>
            </w:r>
          </w:p>
          <w:p w14:paraId="224A9955">
            <w:pPr>
              <w:pStyle w:val="5"/>
              <w:jc w:val="left"/>
              <w:rPr>
                <w:rFonts w:hint="eastAsia" w:ascii="宋体" w:hAnsi="宋体" w:eastAsia="宋体" w:cs="宋体"/>
                <w:highlight w:val="none"/>
              </w:rPr>
            </w:pPr>
            <w:r>
              <w:rPr>
                <w:rFonts w:hint="eastAsia" w:ascii="宋体" w:hAnsi="宋体" w:eastAsia="宋体" w:cs="宋体"/>
                <w:sz w:val="21"/>
                <w:highlight w:val="none"/>
              </w:rPr>
              <w:t>2、在三水区外设立档案室的，得1.5分；</w:t>
            </w:r>
          </w:p>
          <w:p w14:paraId="5CF414FE">
            <w:pPr>
              <w:pStyle w:val="5"/>
              <w:jc w:val="left"/>
              <w:rPr>
                <w:rFonts w:hint="eastAsia" w:ascii="宋体" w:hAnsi="宋体" w:eastAsia="宋体" w:cs="宋体"/>
                <w:highlight w:val="none"/>
              </w:rPr>
            </w:pPr>
            <w:r>
              <w:rPr>
                <w:rFonts w:hint="eastAsia" w:ascii="宋体" w:hAnsi="宋体" w:eastAsia="宋体" w:cs="宋体"/>
                <w:sz w:val="21"/>
                <w:highlight w:val="none"/>
              </w:rPr>
              <w:t>3、未设立档案室的不得分。</w:t>
            </w:r>
          </w:p>
        </w:tc>
      </w:tr>
      <w:tr w14:paraId="50704EC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72" w:type="pct"/>
            <w:vMerge w:val="continue"/>
            <w:tcBorders>
              <w:top w:val="nil"/>
              <w:left w:val="single" w:color="000000" w:sz="4" w:space="0"/>
              <w:bottom w:val="single" w:color="000000" w:sz="4" w:space="0"/>
              <w:right w:val="single" w:color="000000" w:sz="4" w:space="0"/>
            </w:tcBorders>
          </w:tcPr>
          <w:p w14:paraId="0CE9B5F2">
            <w:pPr>
              <w:rPr>
                <w:rFonts w:hint="eastAsia" w:ascii="宋体" w:hAnsi="宋体" w:eastAsia="宋体" w:cs="宋体"/>
                <w:highlight w:val="none"/>
              </w:rPr>
            </w:pPr>
          </w:p>
        </w:tc>
        <w:tc>
          <w:tcPr>
            <w:tcW w:w="629"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BFEC203">
            <w:pPr>
              <w:pStyle w:val="5"/>
              <w:jc w:val="center"/>
              <w:rPr>
                <w:rFonts w:hint="eastAsia" w:ascii="宋体" w:hAnsi="宋体" w:eastAsia="宋体" w:cs="宋体"/>
                <w:highlight w:val="none"/>
              </w:rPr>
            </w:pPr>
            <w:r>
              <w:rPr>
                <w:rFonts w:hint="eastAsia" w:ascii="宋体" w:hAnsi="宋体" w:eastAsia="宋体" w:cs="宋体"/>
                <w:sz w:val="21"/>
                <w:highlight w:val="none"/>
              </w:rPr>
              <w:t>质量保证文件</w:t>
            </w:r>
          </w:p>
        </w:tc>
        <w:tc>
          <w:tcPr>
            <w:tcW w:w="452"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4F79D3E">
            <w:pPr>
              <w:pStyle w:val="5"/>
              <w:jc w:val="center"/>
              <w:rPr>
                <w:rFonts w:hint="eastAsia" w:ascii="宋体" w:hAnsi="宋体" w:eastAsia="宋体" w:cs="宋体"/>
                <w:highlight w:val="none"/>
              </w:rPr>
            </w:pPr>
            <w:r>
              <w:rPr>
                <w:rFonts w:hint="eastAsia" w:ascii="宋体" w:hAnsi="宋体" w:eastAsia="宋体" w:cs="宋体"/>
                <w:sz w:val="21"/>
                <w:highlight w:val="none"/>
              </w:rPr>
              <w:t>2</w:t>
            </w:r>
          </w:p>
        </w:tc>
        <w:tc>
          <w:tcPr>
            <w:tcW w:w="479"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300B14D">
            <w:pPr>
              <w:pStyle w:val="5"/>
              <w:jc w:val="left"/>
              <w:rPr>
                <w:rFonts w:hint="eastAsia" w:ascii="宋体" w:hAnsi="宋体" w:eastAsia="宋体" w:cs="宋体"/>
                <w:highlight w:val="none"/>
              </w:rPr>
            </w:pPr>
          </w:p>
        </w:tc>
        <w:tc>
          <w:tcPr>
            <w:tcW w:w="3065"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EC9571D">
            <w:pPr>
              <w:pStyle w:val="5"/>
              <w:jc w:val="left"/>
              <w:rPr>
                <w:rFonts w:hint="eastAsia" w:ascii="宋体" w:hAnsi="宋体" w:eastAsia="宋体" w:cs="宋体"/>
                <w:highlight w:val="none"/>
              </w:rPr>
            </w:pPr>
            <w:r>
              <w:rPr>
                <w:rFonts w:hint="eastAsia" w:ascii="宋体" w:hAnsi="宋体" w:eastAsia="宋体" w:cs="宋体"/>
                <w:sz w:val="21"/>
                <w:highlight w:val="none"/>
              </w:rPr>
              <w:t>具有有效的质量管理体系认证证书的，得2分；</w:t>
            </w:r>
          </w:p>
          <w:p w14:paraId="10B7F6E7">
            <w:pPr>
              <w:pStyle w:val="5"/>
              <w:jc w:val="left"/>
              <w:rPr>
                <w:rFonts w:hint="eastAsia" w:ascii="宋体" w:hAnsi="宋体" w:eastAsia="宋体" w:cs="宋体"/>
                <w:highlight w:val="none"/>
              </w:rPr>
            </w:pPr>
            <w:r>
              <w:rPr>
                <w:rFonts w:hint="eastAsia" w:ascii="宋体" w:hAnsi="宋体" w:eastAsia="宋体" w:cs="宋体"/>
                <w:sz w:val="21"/>
                <w:highlight w:val="none"/>
              </w:rPr>
              <w:t>不具备的不得分。</w:t>
            </w:r>
          </w:p>
        </w:tc>
      </w:tr>
    </w:tbl>
    <w:p w14:paraId="69EE4208">
      <w:pPr>
        <w:numPr>
          <w:ilvl w:val="0"/>
          <w:numId w:val="1"/>
        </w:numPr>
        <w:ind w:left="0" w:leftChars="0" w:firstLine="422" w:firstLineChars="200"/>
        <w:rPr>
          <w:rFonts w:hint="eastAsia" w:ascii="宋体" w:hAnsi="宋体" w:eastAsia="宋体" w:cs="宋体"/>
          <w:b/>
          <w:bCs/>
          <w:highlight w:val="none"/>
          <w:lang w:val="en-US" w:eastAsia="zh-CN"/>
        </w:rPr>
      </w:pPr>
      <w:r>
        <w:rPr>
          <w:rFonts w:hint="eastAsia" w:ascii="宋体" w:hAnsi="宋体" w:eastAsia="宋体" w:cs="宋体"/>
          <w:b/>
          <w:bCs/>
          <w:highlight w:val="none"/>
          <w:lang w:val="en-US" w:eastAsia="zh-CN"/>
        </w:rPr>
        <w:t>评审委托费用的计费标准、计费方法及拨付</w:t>
      </w:r>
    </w:p>
    <w:p w14:paraId="04241921">
      <w:pPr>
        <w:numPr>
          <w:ilvl w:val="0"/>
          <w:numId w:val="3"/>
        </w:numPr>
        <w:ind w:left="0" w:leftChars="0" w:firstLine="420" w:firstLineChars="200"/>
        <w:rPr>
          <w:rFonts w:hint="eastAsia" w:ascii="宋体" w:hAnsi="宋体" w:eastAsia="宋体" w:cs="宋体"/>
          <w:highlight w:val="none"/>
          <w:lang w:val="en-US" w:eastAsia="zh-CN"/>
        </w:rPr>
      </w:pPr>
      <w:r>
        <w:rPr>
          <w:rFonts w:hint="eastAsia" w:ascii="宋体" w:hAnsi="宋体" w:eastAsia="宋体" w:cs="宋体"/>
          <w:highlight w:val="none"/>
          <w:lang w:val="en-US" w:eastAsia="zh-CN"/>
        </w:rPr>
        <w:t>费用标准：委托费用＝标准收费×中标折扣率-扣罚费用（若有）。</w:t>
      </w:r>
    </w:p>
    <w:p w14:paraId="230F1FE8">
      <w:pPr>
        <w:numPr>
          <w:ilvl w:val="0"/>
          <w:numId w:val="3"/>
        </w:numPr>
        <w:ind w:left="0" w:leftChars="0" w:firstLine="420" w:firstLineChars="200"/>
        <w:rPr>
          <w:rFonts w:hint="eastAsia" w:ascii="宋体" w:hAnsi="宋体" w:eastAsia="宋体" w:cs="宋体"/>
          <w:highlight w:val="none"/>
          <w:lang w:val="en-US" w:eastAsia="zh-CN"/>
        </w:rPr>
      </w:pPr>
      <w:r>
        <w:rPr>
          <w:rFonts w:hint="eastAsia" w:ascii="宋体" w:hAnsi="宋体" w:eastAsia="宋体" w:cs="宋体"/>
          <w:highlight w:val="none"/>
          <w:lang w:val="en-US" w:eastAsia="zh-CN"/>
        </w:rPr>
        <w:t>计费标准见附件《</w:t>
      </w:r>
      <w:r>
        <w:rPr>
          <w:rFonts w:hint="eastAsia" w:ascii="宋体" w:hAnsi="宋体" w:eastAsia="宋体" w:cs="宋体"/>
          <w:highlight w:val="none"/>
        </w:rPr>
        <w:t>佛山市三水区财政局工程造价咨询服务收费标准表</w:t>
      </w:r>
      <w:r>
        <w:rPr>
          <w:rFonts w:hint="eastAsia" w:ascii="宋体" w:hAnsi="宋体" w:eastAsia="宋体" w:cs="宋体"/>
          <w:highlight w:val="none"/>
          <w:lang w:val="en-US" w:eastAsia="zh-CN"/>
        </w:rPr>
        <w:t>》，具体计法按招标文件和协议书的约定执行。</w:t>
      </w:r>
    </w:p>
    <w:p w14:paraId="5BC3E918">
      <w:pPr>
        <w:numPr>
          <w:ilvl w:val="0"/>
          <w:numId w:val="3"/>
        </w:numPr>
        <w:ind w:left="0" w:leftChars="0" w:firstLine="420" w:firstLineChars="200"/>
        <w:rPr>
          <w:rFonts w:hint="eastAsia" w:ascii="宋体" w:hAnsi="宋体" w:eastAsia="宋体" w:cs="宋体"/>
          <w:highlight w:val="none"/>
          <w:lang w:val="en-US" w:eastAsia="zh-CN"/>
        </w:rPr>
      </w:pPr>
      <w:r>
        <w:rPr>
          <w:rFonts w:hint="eastAsia" w:ascii="宋体" w:hAnsi="宋体" w:eastAsia="宋体" w:cs="宋体"/>
          <w:highlight w:val="none"/>
          <w:lang w:val="en-US" w:eastAsia="zh-CN"/>
        </w:rPr>
        <w:t>项目审核完毕后，评审费用由采购人直接支付。</w:t>
      </w:r>
    </w:p>
    <w:p w14:paraId="5295D414">
      <w:pPr>
        <w:numPr>
          <w:ilvl w:val="0"/>
          <w:numId w:val="3"/>
        </w:numPr>
        <w:ind w:left="0" w:leftChars="0" w:firstLine="420" w:firstLineChars="200"/>
        <w:rPr>
          <w:rFonts w:hint="eastAsia" w:ascii="宋体" w:hAnsi="宋体" w:eastAsia="宋体" w:cs="宋体"/>
          <w:highlight w:val="none"/>
          <w:lang w:val="en-US" w:eastAsia="zh-CN"/>
        </w:rPr>
      </w:pPr>
      <w:r>
        <w:rPr>
          <w:rFonts w:hint="eastAsia" w:ascii="宋体" w:hAnsi="宋体" w:eastAsia="宋体" w:cs="宋体"/>
          <w:highlight w:val="none"/>
          <w:lang w:val="en-US" w:eastAsia="zh-CN"/>
        </w:rPr>
        <w:t>合同执行过程中，如采购人根据上级文件精神或工作实际，对计费标准及付费方式进行调整，中标人有权根据自身企业情况作出继续接受委托或退出委托的选择，此时如中标人选择退出，采购人将不作任何补偿。</w:t>
      </w:r>
    </w:p>
    <w:p w14:paraId="747195A6">
      <w:pPr>
        <w:numPr>
          <w:ilvl w:val="0"/>
          <w:numId w:val="1"/>
        </w:numPr>
        <w:ind w:left="0" w:leftChars="0" w:firstLine="422" w:firstLineChars="200"/>
        <w:rPr>
          <w:rFonts w:hint="eastAsia" w:ascii="宋体" w:hAnsi="宋体" w:eastAsia="宋体" w:cs="宋体"/>
          <w:b/>
          <w:bCs/>
          <w:highlight w:val="none"/>
          <w:lang w:val="en-US" w:eastAsia="zh-CN"/>
        </w:rPr>
      </w:pPr>
      <w:r>
        <w:rPr>
          <w:rFonts w:hint="eastAsia" w:ascii="宋体" w:hAnsi="宋体" w:eastAsia="宋体" w:cs="宋体"/>
          <w:b/>
          <w:bCs/>
          <w:highlight w:val="none"/>
          <w:lang w:val="en-US" w:eastAsia="zh-CN"/>
        </w:rPr>
        <w:t>中标人及服务期</w:t>
      </w:r>
    </w:p>
    <w:p w14:paraId="032322CC">
      <w:pPr>
        <w:numPr>
          <w:ilvl w:val="0"/>
          <w:numId w:val="4"/>
        </w:numPr>
        <w:ind w:left="0" w:leftChars="0" w:firstLine="420" w:firstLineChars="200"/>
        <w:rPr>
          <w:rFonts w:hint="eastAsia" w:ascii="宋体" w:hAnsi="宋体" w:eastAsia="宋体" w:cs="宋体"/>
          <w:highlight w:val="none"/>
          <w:lang w:val="en-US" w:eastAsia="zh-CN"/>
        </w:rPr>
      </w:pPr>
      <w:r>
        <w:rPr>
          <w:rFonts w:hint="eastAsia" w:ascii="宋体" w:hAnsi="宋体" w:eastAsia="宋体" w:cs="宋体"/>
          <w:highlight w:val="none"/>
          <w:lang w:val="en-US" w:eastAsia="zh-CN"/>
        </w:rPr>
        <w:t>中标人一旦放弃其服务资格，在本项目服务期内不能再从事采购人委托的编审工作。</w:t>
      </w:r>
    </w:p>
    <w:p w14:paraId="6B48057D">
      <w:pPr>
        <w:numPr>
          <w:ilvl w:val="0"/>
          <w:numId w:val="4"/>
        </w:numPr>
        <w:ind w:left="0" w:leftChars="0" w:firstLine="420" w:firstLineChars="200"/>
        <w:rPr>
          <w:rFonts w:hint="eastAsia" w:ascii="宋体" w:hAnsi="宋体" w:eastAsia="宋体" w:cs="宋体"/>
          <w:highlight w:val="none"/>
          <w:lang w:val="en-US" w:eastAsia="zh-CN"/>
        </w:rPr>
      </w:pPr>
      <w:r>
        <w:rPr>
          <w:rFonts w:hint="eastAsia" w:ascii="宋体" w:hAnsi="宋体" w:eastAsia="宋体" w:cs="宋体"/>
          <w:highlight w:val="none"/>
          <w:lang w:val="en-US" w:eastAsia="zh-CN"/>
        </w:rPr>
        <w:t>自合同签订生效之日起三年（服务期内，中标人承接采购人委托的业务直至本项目各子包的服务合同结算金额达到对应子包合同上限或服务期到期或因中标人违约被终止合同）。在服务期间，采购人不保证中标人具体承担的项目数量。服务期结束或合同终止后，如中标人负责的项目尚未完成的，采购人有权要求其服务延续至项目完成为止。</w:t>
      </w:r>
    </w:p>
    <w:p w14:paraId="4F827BCB">
      <w:pPr>
        <w:rPr>
          <w:rFonts w:hint="eastAsia" w:ascii="宋体" w:hAnsi="宋体" w:eastAsia="宋体" w:cs="宋体"/>
          <w:highlight w:val="none"/>
          <w:lang w:val="en-US" w:eastAsia="zh-CN"/>
        </w:rPr>
      </w:pPr>
    </w:p>
    <w:p w14:paraId="379BE482">
      <w:pPr>
        <w:rPr>
          <w:rFonts w:hint="eastAsia" w:ascii="宋体" w:hAnsi="宋体" w:eastAsia="宋体" w:cs="宋体"/>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1350F73"/>
    <w:multiLevelType w:val="singleLevel"/>
    <w:tmpl w:val="91350F73"/>
    <w:lvl w:ilvl="0" w:tentative="0">
      <w:start w:val="1"/>
      <w:numFmt w:val="decimal"/>
      <w:suff w:val="nothing"/>
      <w:lvlText w:val="%1．"/>
      <w:lvlJc w:val="left"/>
      <w:pPr>
        <w:ind w:left="0" w:firstLine="400"/>
      </w:pPr>
      <w:rPr>
        <w:rFonts w:hint="default"/>
      </w:rPr>
    </w:lvl>
  </w:abstractNum>
  <w:abstractNum w:abstractNumId="1">
    <w:nsid w:val="9CA55E2A"/>
    <w:multiLevelType w:val="singleLevel"/>
    <w:tmpl w:val="9CA55E2A"/>
    <w:lvl w:ilvl="0" w:tentative="0">
      <w:start w:val="1"/>
      <w:numFmt w:val="decimal"/>
      <w:suff w:val="nothing"/>
      <w:lvlText w:val="%1．"/>
      <w:lvlJc w:val="left"/>
      <w:pPr>
        <w:ind w:left="0" w:firstLine="400"/>
      </w:pPr>
      <w:rPr>
        <w:rFonts w:hint="default"/>
      </w:rPr>
    </w:lvl>
  </w:abstractNum>
  <w:abstractNum w:abstractNumId="2">
    <w:nsid w:val="59B470D2"/>
    <w:multiLevelType w:val="singleLevel"/>
    <w:tmpl w:val="59B470D2"/>
    <w:lvl w:ilvl="0" w:tentative="0">
      <w:start w:val="1"/>
      <w:numFmt w:val="chineseCounting"/>
      <w:suff w:val="nothing"/>
      <w:lvlText w:val="%1、"/>
      <w:lvlJc w:val="left"/>
      <w:pPr>
        <w:ind w:left="0" w:firstLine="420"/>
      </w:pPr>
      <w:rPr>
        <w:rFonts w:hint="eastAsia"/>
      </w:rPr>
    </w:lvl>
  </w:abstractNum>
  <w:abstractNum w:abstractNumId="3">
    <w:nsid w:val="70A8CC2F"/>
    <w:multiLevelType w:val="singleLevel"/>
    <w:tmpl w:val="70A8CC2F"/>
    <w:lvl w:ilvl="0" w:tentative="0">
      <w:start w:val="1"/>
      <w:numFmt w:val="decimal"/>
      <w:suff w:val="nothing"/>
      <w:lvlText w:val="%1．"/>
      <w:lvlJc w:val="left"/>
      <w:pPr>
        <w:ind w:left="0" w:firstLine="400"/>
      </w:pPr>
      <w:rPr>
        <w:rFonts w:hint="default"/>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86F76F9"/>
    <w:rsid w:val="086F76F9"/>
    <w:rsid w:val="0D6D3F06"/>
    <w:rsid w:val="0F7C1753"/>
    <w:rsid w:val="162F053A"/>
    <w:rsid w:val="1B4B7C34"/>
    <w:rsid w:val="1FE426A0"/>
    <w:rsid w:val="2DF72E1E"/>
    <w:rsid w:val="2FE14CB0"/>
    <w:rsid w:val="348978F7"/>
    <w:rsid w:val="34C21F22"/>
    <w:rsid w:val="3AF307FC"/>
    <w:rsid w:val="3D684A0F"/>
    <w:rsid w:val="4C966D28"/>
    <w:rsid w:val="52D0546B"/>
    <w:rsid w:val="5BF44BF0"/>
    <w:rsid w:val="614E7A33"/>
    <w:rsid w:val="6E0B0D16"/>
    <w:rsid w:val="70E525D9"/>
    <w:rsid w:val="793831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customStyle="1" w:styleId="5">
    <w:name w:val="null3"/>
    <w:hidden/>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4861</Words>
  <Characters>4921</Characters>
  <Lines>0</Lines>
  <Paragraphs>0</Paragraphs>
  <TotalTime>30</TotalTime>
  <ScaleCrop>false</ScaleCrop>
  <LinksUpToDate>false</LinksUpToDate>
  <CharactersWithSpaces>4926</CharactersWithSpaces>
  <Application>WPS Office_12.1.0.26381_F1E327BC-269C-435d-A152-05C5408002CA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2026-07-16T01:29:00Z</dcterms:created>
  <dc:creator>admin</dc:creator>
  <cp:lastModifiedBy>admin</cp:lastModifiedBy>
  <dcterms:modified xsi:type="dcterms:W3CDTF">2026-07-23T07:37:15Z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2052-12.1.0.26381</vt:lpwstr>
  </property>
  <property fmtid="{D5CDD505-2E9C-101B-9397-08002B2CF9AE}" pid="3" name="ICV">
    <vt:lpwstr>2460B4B8DFED4809827B4C140DDF0B3F_13</vt:lpwstr>
  </property>
  <property fmtid="{D5CDD505-2E9C-101B-9397-08002B2CF9AE}" pid="4" name="KSOTemplateDocerSaveRecord">
    <vt:lpwstr>eyJoZGlkIjoiNDVjYmI3NDIwYzlkMjM5ZGQxNTEyOWU4YmQ2MjEwNWYiLCJ1c2VySWQiOiIxNDk3NzU1NjQ3In0=</vt:lpwstr>
  </property>
</Properties>
</file>