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F5223">
      <w:pPr>
        <w:jc w:val="center"/>
        <w:rPr>
          <w:rFonts w:ascii="黑体" w:hAnsi="黑体" w:eastAsia="黑体"/>
          <w:sz w:val="32"/>
          <w:szCs w:val="32"/>
        </w:rPr>
      </w:pPr>
      <w:r>
        <w:rPr>
          <w:rFonts w:hint="eastAsia" w:ascii="黑体" w:hAnsi="黑体" w:eastAsia="黑体"/>
          <w:sz w:val="32"/>
          <w:szCs w:val="32"/>
          <w:lang w:val="en-US" w:eastAsia="zh-CN"/>
        </w:rPr>
        <w:t>季华实验室采购</w:t>
      </w:r>
      <w:bookmarkStart w:id="0" w:name="_GoBack"/>
      <w:bookmarkEnd w:id="0"/>
      <w:r>
        <w:rPr>
          <w:rFonts w:hint="eastAsia" w:ascii="黑体" w:hAnsi="黑体" w:eastAsia="黑体"/>
          <w:sz w:val="32"/>
          <w:szCs w:val="32"/>
          <w:lang w:val="en-US" w:eastAsia="zh-CN"/>
        </w:rPr>
        <w:t>立式车床</w:t>
      </w:r>
      <w:r>
        <w:rPr>
          <w:rFonts w:hint="eastAsia" w:ascii="黑体" w:hAnsi="黑体" w:eastAsia="黑体"/>
          <w:sz w:val="32"/>
          <w:szCs w:val="32"/>
        </w:rPr>
        <w:t>采购需求</w:t>
      </w:r>
    </w:p>
    <w:p w14:paraId="584E9E7C">
      <w:pPr>
        <w:spacing w:before="468" w:beforeLines="150" w:after="156" w:afterLines="50"/>
        <w:outlineLvl w:val="2"/>
        <w:rPr>
          <w:b/>
          <w:sz w:val="21"/>
          <w:szCs w:val="21"/>
        </w:rPr>
      </w:pPr>
      <w:r>
        <w:rPr>
          <w:rFonts w:hint="eastAsia"/>
          <w:b/>
          <w:sz w:val="21"/>
          <w:szCs w:val="21"/>
        </w:rPr>
        <w:t>1．项目概述</w:t>
      </w:r>
    </w:p>
    <w:p w14:paraId="5C5200AF">
      <w:pPr>
        <w:pStyle w:val="33"/>
        <w:widowControl/>
        <w:spacing w:line="360" w:lineRule="auto"/>
        <w:ind w:firstLine="420" w:firstLineChars="200"/>
        <w:jc w:val="left"/>
        <w:rPr>
          <w:rFonts w:hint="eastAsia" w:ascii="宋体" w:hAnsi="宋体" w:eastAsia="宋体" w:cs="Courier New"/>
          <w:color w:val="auto"/>
          <w:sz w:val="21"/>
          <w:szCs w:val="21"/>
          <w:highlight w:val="none"/>
          <w:lang w:val="en-US" w:eastAsia="zh-CN"/>
        </w:rPr>
      </w:pPr>
      <w:r>
        <w:rPr>
          <w:rFonts w:hint="eastAsia" w:ascii="宋体" w:hAnsi="宋体" w:eastAsia="宋体" w:cs="Courier New"/>
          <w:color w:val="auto"/>
          <w:sz w:val="21"/>
          <w:szCs w:val="21"/>
          <w:highlight w:val="none"/>
          <w:lang w:val="en-US" w:eastAsia="zh-CN"/>
        </w:rPr>
        <w:t>本次招标为季华实验室所需设备。投标人应根据采购人所提出的设备技术规格、产品及质量要求，综合考虑设备的适应性，选择具有最佳性能价格比的设备前来投标。本次采购的设备是</w:t>
      </w:r>
      <w:r>
        <w:rPr>
          <w:rFonts w:hint="eastAsia" w:ascii="宋体" w:hAnsi="宋体" w:cs="Courier New"/>
          <w:color w:val="auto"/>
          <w:sz w:val="21"/>
          <w:szCs w:val="21"/>
          <w:highlight w:val="none"/>
          <w:lang w:val="en-US" w:eastAsia="zh-CN"/>
        </w:rPr>
        <w:t>立式车床</w:t>
      </w:r>
      <w:r>
        <w:rPr>
          <w:rFonts w:hint="eastAsia" w:ascii="宋体" w:hAnsi="宋体" w:eastAsia="宋体" w:cs="Courier New"/>
          <w:color w:val="auto"/>
          <w:sz w:val="21"/>
          <w:szCs w:val="21"/>
          <w:highlight w:val="none"/>
          <w:lang w:val="en-US" w:eastAsia="zh-CN"/>
        </w:rPr>
        <w:t>的核心设备。</w:t>
      </w:r>
    </w:p>
    <w:p w14:paraId="646A446F">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6" w:afterLines="50"/>
        <w:textAlignment w:val="auto"/>
        <w:outlineLvl w:val="2"/>
        <w:rPr>
          <w:rFonts w:hint="default"/>
          <w:b/>
          <w:sz w:val="21"/>
          <w:szCs w:val="21"/>
          <w:lang w:val="en-US" w:eastAsia="zh-CN"/>
        </w:rPr>
      </w:pPr>
      <w:r>
        <w:rPr>
          <w:rFonts w:hint="eastAsia"/>
          <w:b/>
          <w:sz w:val="21"/>
          <w:szCs w:val="21"/>
        </w:rPr>
        <w:t>采购</w:t>
      </w:r>
      <w:r>
        <w:rPr>
          <w:rFonts w:hint="eastAsia"/>
          <w:b/>
          <w:sz w:val="21"/>
          <w:szCs w:val="21"/>
          <w:lang w:val="en-US" w:eastAsia="zh-CN"/>
        </w:rPr>
        <w:t>项目一览表</w:t>
      </w:r>
    </w:p>
    <w:tbl>
      <w:tblPr>
        <w:tblStyle w:val="12"/>
        <w:tblW w:w="4998"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autofit"/>
        <w:tblCellMar>
          <w:top w:w="0" w:type="dxa"/>
          <w:left w:w="108" w:type="dxa"/>
          <w:bottom w:w="0" w:type="dxa"/>
          <w:right w:w="108" w:type="dxa"/>
        </w:tblCellMar>
      </w:tblPr>
      <w:tblGrid>
        <w:gridCol w:w="1350"/>
        <w:gridCol w:w="1621"/>
        <w:gridCol w:w="2430"/>
        <w:gridCol w:w="1350"/>
        <w:gridCol w:w="1350"/>
        <w:gridCol w:w="1351"/>
      </w:tblGrid>
      <w:tr w14:paraId="35D77D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4A8F0B26">
            <w:pPr>
              <w:pStyle w:val="9"/>
              <w:keepNext w:val="0"/>
              <w:keepLines w:val="0"/>
              <w:widowControl/>
              <w:suppressLineNumbers w:val="0"/>
              <w:spacing w:before="0" w:beforeAutospacing="0" w:after="0" w:afterAutospacing="0"/>
              <w:ind w:left="0" w:right="0"/>
              <w:jc w:val="center"/>
              <w:rPr>
                <w:rFonts w:hint="default"/>
                <w:color w:val="auto"/>
                <w:sz w:val="21"/>
                <w:szCs w:val="21"/>
                <w:lang w:val="en-US"/>
              </w:rPr>
            </w:pPr>
            <w:r>
              <w:rPr>
                <w:rFonts w:hint="eastAsia" w:ascii="Calibri" w:hAnsi="Calibri" w:eastAsia="宋体" w:cs="宋体"/>
                <w:color w:val="auto"/>
                <w:kern w:val="0"/>
                <w:sz w:val="21"/>
                <w:szCs w:val="21"/>
                <w:lang w:val="en-US" w:eastAsia="zh-CN" w:bidi="ar"/>
              </w:rPr>
              <w:t>品目号</w:t>
            </w:r>
          </w:p>
        </w:tc>
        <w:tc>
          <w:tcPr>
            <w:tcW w:w="857" w:type="pct"/>
            <w:tcBorders>
              <w:top w:val="single" w:color="auto" w:sz="2" w:space="0"/>
              <w:left w:val="single" w:color="auto" w:sz="2" w:space="0"/>
              <w:bottom w:val="single" w:color="auto" w:sz="2" w:space="0"/>
              <w:right w:val="single" w:color="auto" w:sz="2" w:space="0"/>
            </w:tcBorders>
            <w:shd w:val="clear" w:color="auto" w:fill="auto"/>
            <w:vAlign w:val="center"/>
          </w:tcPr>
          <w:p w14:paraId="5C16199F">
            <w:pPr>
              <w:pStyle w:val="9"/>
              <w:keepNext w:val="0"/>
              <w:keepLines w:val="0"/>
              <w:widowControl/>
              <w:suppressLineNumbers w:val="0"/>
              <w:spacing w:before="0" w:beforeAutospacing="0" w:after="0" w:afterAutospacing="0"/>
              <w:ind w:left="0" w:right="0"/>
              <w:jc w:val="center"/>
              <w:rPr>
                <w:rFonts w:hint="default"/>
                <w:color w:val="auto"/>
                <w:sz w:val="21"/>
                <w:szCs w:val="21"/>
                <w:lang w:val="en-US"/>
              </w:rPr>
            </w:pPr>
            <w:r>
              <w:rPr>
                <w:rFonts w:hint="eastAsia" w:ascii="Calibri" w:hAnsi="Calibri" w:eastAsia="宋体" w:cs="宋体"/>
                <w:color w:val="auto"/>
                <w:kern w:val="0"/>
                <w:sz w:val="21"/>
                <w:szCs w:val="21"/>
                <w:lang w:val="en-US" w:eastAsia="zh-CN" w:bidi="ar"/>
              </w:rPr>
              <w:t>品目名称</w:t>
            </w:r>
          </w:p>
        </w:tc>
        <w:tc>
          <w:tcPr>
            <w:tcW w:w="1285" w:type="pct"/>
            <w:tcBorders>
              <w:top w:val="single" w:color="auto" w:sz="2" w:space="0"/>
              <w:left w:val="single" w:color="auto" w:sz="2" w:space="0"/>
              <w:bottom w:val="single" w:color="auto" w:sz="2" w:space="0"/>
              <w:right w:val="single" w:color="auto" w:sz="2" w:space="0"/>
            </w:tcBorders>
            <w:shd w:val="clear" w:color="auto" w:fill="auto"/>
            <w:vAlign w:val="center"/>
          </w:tcPr>
          <w:p w14:paraId="7390B0A2">
            <w:pPr>
              <w:pStyle w:val="9"/>
              <w:keepNext w:val="0"/>
              <w:keepLines w:val="0"/>
              <w:widowControl/>
              <w:suppressLineNumbers w:val="0"/>
              <w:spacing w:before="0" w:beforeAutospacing="0" w:after="0" w:afterAutospacing="0"/>
              <w:ind w:left="0" w:right="0"/>
              <w:jc w:val="center"/>
              <w:rPr>
                <w:rFonts w:hint="default"/>
                <w:color w:val="auto"/>
                <w:sz w:val="21"/>
                <w:szCs w:val="21"/>
                <w:lang w:val="en-US"/>
              </w:rPr>
            </w:pPr>
            <w:r>
              <w:rPr>
                <w:rFonts w:hint="eastAsia" w:ascii="Calibri" w:hAnsi="Calibri" w:eastAsia="宋体" w:cs="宋体"/>
                <w:color w:val="auto"/>
                <w:kern w:val="0"/>
                <w:sz w:val="21"/>
                <w:szCs w:val="21"/>
                <w:lang w:val="en-US" w:eastAsia="zh-CN" w:bidi="ar"/>
              </w:rPr>
              <w:t>采购标的</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21BFA087">
            <w:pPr>
              <w:pStyle w:val="9"/>
              <w:keepNext w:val="0"/>
              <w:keepLines w:val="0"/>
              <w:widowControl/>
              <w:suppressLineNumbers w:val="0"/>
              <w:spacing w:before="0" w:beforeAutospacing="0" w:after="0" w:afterAutospacing="0"/>
              <w:ind w:left="0" w:right="0"/>
              <w:jc w:val="center"/>
              <w:rPr>
                <w:rFonts w:hint="default"/>
                <w:color w:val="auto"/>
                <w:sz w:val="21"/>
                <w:szCs w:val="21"/>
                <w:lang w:val="en-US"/>
              </w:rPr>
            </w:pPr>
            <w:r>
              <w:rPr>
                <w:rFonts w:hint="eastAsia" w:ascii="Calibri" w:hAnsi="Calibri" w:eastAsia="宋体" w:cs="宋体"/>
                <w:color w:val="auto"/>
                <w:kern w:val="0"/>
                <w:sz w:val="21"/>
                <w:szCs w:val="21"/>
                <w:lang w:val="en-US" w:eastAsia="zh-CN" w:bidi="ar"/>
              </w:rPr>
              <w:t>数量（单位）</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7A20595B">
            <w:pPr>
              <w:pStyle w:val="9"/>
              <w:keepNext w:val="0"/>
              <w:keepLines w:val="0"/>
              <w:widowControl/>
              <w:suppressLineNumbers w:val="0"/>
              <w:spacing w:before="0" w:beforeAutospacing="0" w:after="0" w:afterAutospacing="0"/>
              <w:ind w:left="0" w:right="0"/>
              <w:jc w:val="center"/>
              <w:rPr>
                <w:rFonts w:hint="default"/>
                <w:color w:val="auto"/>
                <w:sz w:val="21"/>
                <w:szCs w:val="21"/>
                <w:lang w:val="en-US"/>
              </w:rPr>
            </w:pPr>
            <w:r>
              <w:rPr>
                <w:rFonts w:hint="eastAsia" w:ascii="Calibri" w:hAnsi="Calibri" w:eastAsia="宋体" w:cs="宋体"/>
                <w:color w:val="auto"/>
                <w:kern w:val="0"/>
                <w:sz w:val="21"/>
                <w:szCs w:val="21"/>
                <w:lang w:val="en-US" w:eastAsia="zh-CN" w:bidi="ar"/>
              </w:rPr>
              <w:t>技术规格、参数及要求</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44D1E199">
            <w:pPr>
              <w:pStyle w:val="9"/>
              <w:keepNext w:val="0"/>
              <w:keepLines w:val="0"/>
              <w:widowControl/>
              <w:suppressLineNumbers w:val="0"/>
              <w:spacing w:before="0" w:beforeAutospacing="0" w:after="0" w:afterAutospacing="0"/>
              <w:ind w:left="0" w:right="0"/>
              <w:jc w:val="center"/>
              <w:rPr>
                <w:rFonts w:hint="default"/>
                <w:color w:val="auto"/>
                <w:sz w:val="21"/>
                <w:szCs w:val="21"/>
                <w:lang w:val="en-US"/>
              </w:rPr>
            </w:pPr>
            <w:r>
              <w:rPr>
                <w:rFonts w:hint="eastAsia" w:ascii="Calibri" w:hAnsi="Calibri" w:eastAsia="宋体" w:cs="宋体"/>
                <w:color w:val="auto"/>
                <w:kern w:val="0"/>
                <w:sz w:val="21"/>
                <w:szCs w:val="21"/>
                <w:lang w:val="en-US" w:eastAsia="zh-CN" w:bidi="ar"/>
              </w:rPr>
              <w:t>是否允许进口产品</w:t>
            </w:r>
          </w:p>
        </w:tc>
      </w:tr>
      <w:tr w14:paraId="40FE36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315C1784">
            <w:pPr>
              <w:pStyle w:val="9"/>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A02050901</w:t>
            </w:r>
          </w:p>
        </w:tc>
        <w:tc>
          <w:tcPr>
            <w:tcW w:w="857" w:type="pct"/>
            <w:tcBorders>
              <w:top w:val="single" w:color="auto" w:sz="2" w:space="0"/>
              <w:left w:val="single" w:color="auto" w:sz="2" w:space="0"/>
              <w:bottom w:val="single" w:color="auto" w:sz="2" w:space="0"/>
              <w:right w:val="single" w:color="auto" w:sz="2" w:space="0"/>
            </w:tcBorders>
            <w:shd w:val="clear" w:color="auto" w:fill="auto"/>
            <w:vAlign w:val="center"/>
          </w:tcPr>
          <w:p w14:paraId="634CA0EA">
            <w:pPr>
              <w:pStyle w:val="9"/>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rPr>
              <w:t>金属切削机床</w:t>
            </w:r>
          </w:p>
        </w:tc>
        <w:tc>
          <w:tcPr>
            <w:tcW w:w="1285" w:type="pct"/>
            <w:tcBorders>
              <w:top w:val="single" w:color="auto" w:sz="2" w:space="0"/>
              <w:left w:val="single" w:color="auto" w:sz="2" w:space="0"/>
              <w:bottom w:val="single" w:color="auto" w:sz="2" w:space="0"/>
              <w:right w:val="single" w:color="auto" w:sz="2" w:space="0"/>
            </w:tcBorders>
            <w:shd w:val="clear" w:color="auto" w:fill="auto"/>
            <w:vAlign w:val="center"/>
          </w:tcPr>
          <w:p w14:paraId="27E4086C">
            <w:pPr>
              <w:pStyle w:val="9"/>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立式车床</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7E9D5B11">
            <w:pPr>
              <w:pStyle w:val="9"/>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1（台）</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1ADFFD5C">
            <w:pPr>
              <w:pStyle w:val="9"/>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详见技术指标要求表</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14:paraId="3B9E2A12">
            <w:pPr>
              <w:pStyle w:val="9"/>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否</w:t>
            </w:r>
          </w:p>
        </w:tc>
      </w:tr>
    </w:tbl>
    <w:p w14:paraId="2C251F6A">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6" w:afterLines="50"/>
        <w:textAlignment w:val="auto"/>
        <w:outlineLvl w:val="2"/>
        <w:rPr>
          <w:rFonts w:hint="eastAsia"/>
          <w:b/>
          <w:sz w:val="21"/>
          <w:szCs w:val="21"/>
          <w:lang w:val="en-US" w:eastAsia="zh-CN"/>
        </w:rPr>
      </w:pPr>
      <w:r>
        <w:rPr>
          <w:rFonts w:hint="eastAsia"/>
          <w:b/>
          <w:sz w:val="21"/>
          <w:szCs w:val="21"/>
          <w:lang w:val="en-US" w:eastAsia="zh-CN"/>
        </w:rPr>
        <w:t>技术指标要求</w:t>
      </w:r>
    </w:p>
    <w:tbl>
      <w:tblPr>
        <w:tblStyle w:val="12"/>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0"/>
        <w:gridCol w:w="656"/>
        <w:gridCol w:w="7468"/>
      </w:tblGrid>
      <w:tr w14:paraId="71F1E3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3" w:type="pct"/>
          </w:tcPr>
          <w:p w14:paraId="148BFEB8">
            <w:pPr>
              <w:pStyle w:val="33"/>
            </w:pPr>
            <w:r>
              <w:t>参数性质</w:t>
            </w:r>
          </w:p>
        </w:tc>
        <w:tc>
          <w:tcPr>
            <w:tcW w:w="347" w:type="pct"/>
          </w:tcPr>
          <w:p w14:paraId="3279EBA1">
            <w:pPr>
              <w:pStyle w:val="33"/>
            </w:pPr>
            <w:r>
              <w:t>序号</w:t>
            </w:r>
          </w:p>
        </w:tc>
        <w:tc>
          <w:tcPr>
            <w:tcW w:w="3949" w:type="pct"/>
          </w:tcPr>
          <w:p w14:paraId="6AD28E6F">
            <w:pPr>
              <w:pStyle w:val="33"/>
            </w:pPr>
            <w:r>
              <w:t>具体技术(参数)要求</w:t>
            </w:r>
          </w:p>
        </w:tc>
      </w:tr>
      <w:tr w14:paraId="6CE184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3" w:type="pct"/>
          </w:tcPr>
          <w:p w14:paraId="5E45C513">
            <w:pPr>
              <w:keepNext w:val="0"/>
              <w:keepLines w:val="0"/>
              <w:suppressLineNumbers w:val="0"/>
              <w:spacing w:before="0" w:beforeAutospacing="0" w:after="0" w:afterAutospacing="0"/>
              <w:ind w:left="0" w:right="0"/>
              <w:rPr>
                <w:rFonts w:hint="default"/>
              </w:rPr>
            </w:pPr>
          </w:p>
        </w:tc>
        <w:tc>
          <w:tcPr>
            <w:tcW w:w="347" w:type="pct"/>
          </w:tcPr>
          <w:p w14:paraId="2AEA6B24">
            <w:pPr>
              <w:pStyle w:val="33"/>
            </w:pPr>
            <w:r>
              <w:t>1</w:t>
            </w:r>
          </w:p>
        </w:tc>
        <w:tc>
          <w:tcPr>
            <w:tcW w:w="3949" w:type="pct"/>
          </w:tcPr>
          <w:p w14:paraId="4ECA0584">
            <w:pPr>
              <w:pStyle w:val="33"/>
              <w:rPr>
                <w:rFonts w:hint="eastAsia" w:ascii="宋体" w:hAnsi="宋体" w:eastAsia="宋体" w:cs="宋体"/>
                <w:sz w:val="20"/>
                <w:szCs w:val="20"/>
              </w:rPr>
            </w:pPr>
            <w:r>
              <w:rPr>
                <w:rFonts w:hint="eastAsia" w:ascii="宋体" w:hAnsi="宋体" w:eastAsia="宋体" w:cs="宋体"/>
                <w:b/>
                <w:sz w:val="20"/>
                <w:szCs w:val="20"/>
              </w:rPr>
              <w:t>（一）功能</w:t>
            </w:r>
          </w:p>
          <w:p w14:paraId="732051ED">
            <w:pPr>
              <w:pStyle w:val="33"/>
              <w:rPr>
                <w:rFonts w:hint="eastAsia" w:ascii="宋体" w:hAnsi="宋体" w:eastAsia="宋体" w:cs="宋体"/>
                <w:sz w:val="20"/>
                <w:szCs w:val="20"/>
              </w:rPr>
            </w:pPr>
            <w:r>
              <w:rPr>
                <w:rFonts w:hint="eastAsia" w:ascii="宋体" w:hAnsi="宋体" w:eastAsia="宋体" w:cs="宋体"/>
                <w:sz w:val="20"/>
                <w:szCs w:val="20"/>
              </w:rPr>
              <w:t>1.可开展内外圆、端面、锥弧、槽体、螺纹等车削工序，兼具轴向与径向钻孔、攻丝、平面及型腔铣削功能。</w:t>
            </w:r>
          </w:p>
          <w:p w14:paraId="0F05CBD1">
            <w:pPr>
              <w:pStyle w:val="33"/>
              <w:rPr>
                <w:rFonts w:hint="eastAsia" w:ascii="宋体" w:hAnsi="宋体" w:eastAsia="宋体" w:cs="宋体"/>
                <w:sz w:val="20"/>
                <w:szCs w:val="20"/>
              </w:rPr>
            </w:pPr>
            <w:r>
              <w:rPr>
                <w:rFonts w:hint="eastAsia" w:ascii="宋体" w:hAnsi="宋体" w:eastAsia="宋体" w:cs="宋体"/>
                <w:sz w:val="20"/>
                <w:szCs w:val="20"/>
              </w:rPr>
              <w:t>2.立式结构，工件垂直装夹刚性佳，切屑依靠自重下落，排屑效果良好，适配钢件、铸铁等材料切削。</w:t>
            </w:r>
          </w:p>
          <w:p w14:paraId="1180EE40">
            <w:pPr>
              <w:pStyle w:val="33"/>
              <w:rPr>
                <w:rFonts w:hint="eastAsia" w:ascii="宋体" w:hAnsi="宋体" w:eastAsia="宋体" w:cs="宋体"/>
                <w:sz w:val="20"/>
                <w:szCs w:val="20"/>
              </w:rPr>
            </w:pPr>
            <w:r>
              <w:rPr>
                <w:rFonts w:hint="eastAsia" w:ascii="宋体" w:hAnsi="宋体" w:eastAsia="宋体" w:cs="宋体"/>
                <w:sz w:val="20"/>
                <w:szCs w:val="20"/>
              </w:rPr>
              <w:t>3.主要用于大中型盘类零件加工，广泛适配物镜镜框、主法兰、刹车盘、轮毂、泵体端盖、电机法兰等半导体光电装备、精密光学构件、高端装备等领域大直径盘类精密零部件加工。</w:t>
            </w:r>
          </w:p>
        </w:tc>
      </w:tr>
      <w:tr w14:paraId="357A5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3" w:type="pct"/>
          </w:tcPr>
          <w:p w14:paraId="2F50CF59">
            <w:pPr>
              <w:keepNext w:val="0"/>
              <w:keepLines w:val="0"/>
              <w:suppressLineNumbers w:val="0"/>
              <w:spacing w:before="0" w:beforeAutospacing="0" w:after="0" w:afterAutospacing="0"/>
              <w:ind w:left="0" w:right="0"/>
              <w:rPr>
                <w:rFonts w:hint="default"/>
              </w:rPr>
            </w:pPr>
          </w:p>
        </w:tc>
        <w:tc>
          <w:tcPr>
            <w:tcW w:w="347" w:type="pct"/>
          </w:tcPr>
          <w:p w14:paraId="3F9D2117">
            <w:pPr>
              <w:pStyle w:val="33"/>
            </w:pPr>
            <w:r>
              <w:t>2</w:t>
            </w:r>
          </w:p>
        </w:tc>
        <w:tc>
          <w:tcPr>
            <w:tcW w:w="3949" w:type="pct"/>
          </w:tcPr>
          <w:p w14:paraId="1598F026">
            <w:pPr>
              <w:pStyle w:val="33"/>
              <w:numPr>
                <w:ilvl w:val="0"/>
                <w:numId w:val="0"/>
              </w:numPr>
              <w:rPr>
                <w:rFonts w:hint="eastAsia" w:ascii="宋体" w:hAnsi="宋体" w:eastAsia="宋体" w:cs="宋体"/>
                <w:b/>
                <w:sz w:val="20"/>
                <w:szCs w:val="20"/>
              </w:rPr>
            </w:pPr>
            <w:r>
              <w:rPr>
                <w:rFonts w:hint="eastAsia" w:ascii="宋体" w:hAnsi="宋体" w:eastAsia="宋体" w:cs="宋体"/>
                <w:b/>
                <w:sz w:val="20"/>
                <w:szCs w:val="20"/>
                <w:lang w:val="en-US" w:eastAsia="zh-Hans"/>
              </w:rPr>
              <w:t>（二）</w:t>
            </w:r>
            <w:r>
              <w:rPr>
                <w:rFonts w:hint="eastAsia" w:ascii="宋体" w:hAnsi="宋体" w:eastAsia="宋体" w:cs="宋体"/>
                <w:b/>
                <w:sz w:val="20"/>
                <w:szCs w:val="20"/>
              </w:rPr>
              <w:t>性能指标</w:t>
            </w:r>
          </w:p>
          <w:p w14:paraId="418AA0EE">
            <w:pPr>
              <w:pStyle w:val="33"/>
              <w:rPr>
                <w:rFonts w:hint="eastAsia" w:ascii="宋体" w:hAnsi="宋体" w:eastAsia="宋体" w:cs="宋体"/>
                <w:b/>
                <w:bCs/>
                <w:sz w:val="20"/>
                <w:szCs w:val="20"/>
              </w:rPr>
            </w:pPr>
            <w:r>
              <w:rPr>
                <w:rFonts w:hint="eastAsia" w:ascii="宋体" w:hAnsi="宋体" w:eastAsia="宋体" w:cs="宋体"/>
                <w:b/>
                <w:bCs/>
                <w:sz w:val="20"/>
                <w:szCs w:val="20"/>
              </w:rPr>
              <w:t>1.加工能力</w:t>
            </w:r>
          </w:p>
          <w:p w14:paraId="38BBBD2E">
            <w:pPr>
              <w:keepNext w:val="0"/>
              <w:keepLines w:val="0"/>
              <w:suppressLineNumbers w:val="0"/>
              <w:spacing w:before="0" w:beforeAutospacing="0" w:after="0" w:afterAutospacing="0"/>
              <w:ind w:left="0" w:right="0"/>
              <w:rPr>
                <w:rFonts w:hint="default"/>
              </w:rPr>
            </w:pPr>
            <w:r>
              <w:rPr>
                <w:rFonts w:hint="eastAsia" w:ascii="宋体" w:hAnsi="宋体" w:eastAsia="宋体" w:cs="宋体"/>
                <w:sz w:val="20"/>
                <w:szCs w:val="20"/>
              </w:rPr>
              <w:t>★最大回转直径：≥φ900mm</w:t>
            </w:r>
            <w:r>
              <w:rPr>
                <w:rFonts w:hint="eastAsia" w:ascii="宋体" w:hAnsi="宋体" w:eastAsia="宋体" w:cs="宋体"/>
                <w:sz w:val="20"/>
                <w:szCs w:val="20"/>
                <w:lang w:eastAsia="zh-CN"/>
              </w:rPr>
              <w:t>，</w:t>
            </w:r>
          </w:p>
          <w:p w14:paraId="6B9449EF">
            <w:pPr>
              <w:keepNext w:val="0"/>
              <w:keepLines w:val="0"/>
              <w:suppressLineNumbers w:val="0"/>
              <w:spacing w:before="0" w:beforeAutospacing="0" w:after="0" w:afterAutospacing="0"/>
              <w:ind w:left="0" w:right="0"/>
              <w:rPr>
                <w:rFonts w:hint="default"/>
              </w:rPr>
            </w:pPr>
            <w:r>
              <w:rPr>
                <w:rFonts w:hint="eastAsia" w:ascii="宋体" w:hAnsi="宋体" w:eastAsia="宋体" w:cs="宋体"/>
                <w:sz w:val="20"/>
                <w:szCs w:val="20"/>
              </w:rPr>
              <w:t>最大车削直径：≥φ820mm</w:t>
            </w:r>
            <w:r>
              <w:rPr>
                <w:rFonts w:hint="eastAsia" w:ascii="宋体" w:hAnsi="宋体" w:eastAsia="宋体" w:cs="宋体"/>
                <w:sz w:val="20"/>
                <w:szCs w:val="20"/>
                <w:lang w:eastAsia="zh-CN"/>
              </w:rPr>
              <w:t>，</w:t>
            </w:r>
          </w:p>
          <w:p w14:paraId="0587CB5E">
            <w:pPr>
              <w:pStyle w:val="33"/>
              <w:numPr>
                <w:ilvl w:val="0"/>
                <w:numId w:val="3"/>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最大加工长度：≥660mm</w:t>
            </w:r>
            <w:r>
              <w:rPr>
                <w:rFonts w:hint="eastAsia" w:ascii="宋体" w:hAnsi="宋体" w:eastAsia="宋体" w:cs="宋体"/>
                <w:sz w:val="20"/>
                <w:szCs w:val="20"/>
                <w:lang w:eastAsia="zh-CN"/>
              </w:rPr>
              <w:t>（</w:t>
            </w:r>
            <w:r>
              <w:rPr>
                <w:rFonts w:hint="eastAsia"/>
                <w:lang w:eastAsia="zh-CN"/>
              </w:rPr>
              <w:t>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r>
              <w:rPr>
                <w:rFonts w:hint="eastAsia" w:ascii="宋体" w:hAnsi="宋体" w:eastAsia="宋体" w:cs="宋体"/>
                <w:sz w:val="20"/>
                <w:szCs w:val="20"/>
                <w:lang w:eastAsia="zh-CN"/>
              </w:rPr>
              <w:t>）</w:t>
            </w:r>
            <w:r>
              <w:rPr>
                <w:rFonts w:hint="eastAsia" w:ascii="宋体" w:hAnsi="宋体" w:eastAsia="宋体" w:cs="宋体"/>
                <w:sz w:val="20"/>
                <w:szCs w:val="20"/>
              </w:rPr>
              <w:t>。</w:t>
            </w:r>
          </w:p>
          <w:p w14:paraId="45351001">
            <w:pPr>
              <w:pStyle w:val="33"/>
              <w:rPr>
                <w:rFonts w:hint="eastAsia" w:ascii="宋体" w:hAnsi="宋体" w:eastAsia="宋体" w:cs="宋体"/>
                <w:b/>
                <w:bCs/>
                <w:sz w:val="20"/>
                <w:szCs w:val="20"/>
              </w:rPr>
            </w:pPr>
            <w:r>
              <w:rPr>
                <w:rFonts w:hint="eastAsia" w:ascii="宋体" w:hAnsi="宋体" w:eastAsia="宋体" w:cs="宋体"/>
                <w:b/>
                <w:bCs/>
                <w:sz w:val="20"/>
                <w:szCs w:val="20"/>
              </w:rPr>
              <w:t>2.主轴</w:t>
            </w:r>
          </w:p>
          <w:p w14:paraId="284E0E4B">
            <w:pPr>
              <w:pStyle w:val="33"/>
              <w:numPr>
                <w:ilvl w:val="0"/>
                <w:numId w:val="4"/>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▲油压三爪夹头尺寸：≥15英寸；</w:t>
            </w:r>
          </w:p>
          <w:p w14:paraId="0C888F6F">
            <w:pPr>
              <w:pStyle w:val="33"/>
              <w:numPr>
                <w:ilvl w:val="0"/>
                <w:numId w:val="4"/>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轴承直径：φ160mm；</w:t>
            </w:r>
          </w:p>
          <w:p w14:paraId="7E6BA289">
            <w:pPr>
              <w:pStyle w:val="33"/>
              <w:numPr>
                <w:ilvl w:val="0"/>
                <w:numId w:val="4"/>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主轴鼻端：A2-11；</w:t>
            </w:r>
          </w:p>
          <w:p w14:paraId="35EE4E53">
            <w:pPr>
              <w:pStyle w:val="33"/>
              <w:numPr>
                <w:ilvl w:val="0"/>
                <w:numId w:val="4"/>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马达马力（连续/30分）：28/33.6 kW；</w:t>
            </w:r>
          </w:p>
          <w:p w14:paraId="00DB562F">
            <w:pPr>
              <w:pStyle w:val="33"/>
              <w:numPr>
                <w:ilvl w:val="0"/>
                <w:numId w:val="4"/>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主轴转速：2000rpm</w:t>
            </w:r>
            <w:r>
              <w:rPr>
                <w:rFonts w:hint="eastAsia" w:ascii="宋体" w:hAnsi="宋体" w:eastAsia="宋体" w:cs="宋体"/>
                <w:sz w:val="20"/>
                <w:szCs w:val="20"/>
                <w:lang w:eastAsia="zh-CN"/>
              </w:rPr>
              <w:t>。</w:t>
            </w:r>
          </w:p>
          <w:p w14:paraId="2C9A5D32">
            <w:pPr>
              <w:pStyle w:val="33"/>
              <w:rPr>
                <w:rFonts w:hint="eastAsia" w:ascii="宋体" w:hAnsi="宋体" w:eastAsia="宋体" w:cs="宋体"/>
                <w:b/>
                <w:bCs/>
                <w:sz w:val="20"/>
                <w:szCs w:val="20"/>
              </w:rPr>
            </w:pPr>
            <w:r>
              <w:rPr>
                <w:rFonts w:hint="eastAsia" w:ascii="宋体" w:hAnsi="宋体" w:eastAsia="宋体" w:cs="宋体"/>
                <w:b/>
                <w:bCs/>
                <w:sz w:val="20"/>
                <w:szCs w:val="20"/>
              </w:rPr>
              <w:t>3.X/Z轴</w:t>
            </w:r>
          </w:p>
          <w:p w14:paraId="70E11168">
            <w:pPr>
              <w:pStyle w:val="33"/>
              <w:numPr>
                <w:ilvl w:val="0"/>
                <w:numId w:val="5"/>
              </w:numPr>
              <w:ind w:left="425" w:leftChars="0" w:hanging="425" w:firstLineChars="0"/>
              <w:rPr>
                <w:rFonts w:hint="default" w:ascii="宋体" w:hAnsi="宋体" w:eastAsia="宋体" w:cs="宋体"/>
                <w:sz w:val="20"/>
                <w:szCs w:val="20"/>
              </w:rPr>
            </w:pPr>
            <w:r>
              <w:rPr>
                <w:rFonts w:hint="eastAsia" w:ascii="宋体" w:hAnsi="宋体" w:eastAsia="宋体" w:cs="宋体"/>
                <w:sz w:val="20"/>
                <w:szCs w:val="20"/>
              </w:rPr>
              <w:t>▲X/Z轴最大行程:≥470</w:t>
            </w:r>
            <w:r>
              <w:rPr>
                <w:rFonts w:hint="eastAsia" w:ascii="宋体" w:hAnsi="宋体" w:eastAsia="宋体" w:cs="宋体"/>
                <w:sz w:val="20"/>
                <w:szCs w:val="20"/>
                <w:lang w:val="en-US" w:eastAsia="zh-CN"/>
              </w:rPr>
              <w:t>×</w:t>
            </w:r>
            <w:r>
              <w:rPr>
                <w:rFonts w:hint="eastAsia" w:ascii="宋体" w:hAnsi="宋体" w:eastAsia="宋体" w:cs="宋体"/>
                <w:sz w:val="20"/>
                <w:szCs w:val="20"/>
              </w:rPr>
              <w:t>670mm</w:t>
            </w:r>
            <w:r>
              <w:rPr>
                <w:rFonts w:hint="eastAsia" w:ascii="宋体" w:hAnsi="宋体" w:eastAsia="宋体" w:cs="宋体"/>
                <w:sz w:val="20"/>
                <w:szCs w:val="20"/>
                <w:lang w:eastAsia="zh-CN"/>
              </w:rPr>
              <w:t>；</w:t>
            </w:r>
          </w:p>
          <w:p w14:paraId="662D4508">
            <w:pPr>
              <w:pStyle w:val="33"/>
              <w:numPr>
                <w:ilvl w:val="0"/>
                <w:numId w:val="5"/>
              </w:numPr>
              <w:ind w:left="425" w:leftChars="0" w:hanging="425" w:firstLineChars="0"/>
              <w:rPr>
                <w:rFonts w:hint="default" w:ascii="宋体" w:hAnsi="宋体" w:eastAsia="宋体" w:cs="宋体"/>
                <w:sz w:val="20"/>
                <w:szCs w:val="20"/>
              </w:rPr>
            </w:pPr>
            <w:r>
              <w:rPr>
                <w:rFonts w:hint="eastAsia" w:ascii="宋体" w:hAnsi="宋体" w:eastAsia="宋体" w:cs="宋体"/>
                <w:sz w:val="20"/>
                <w:szCs w:val="20"/>
              </w:rPr>
              <w:t>★X轴定位精度：</w:t>
            </w:r>
            <w:r>
              <w:rPr>
                <w:rFonts w:hint="eastAsia" w:ascii="宋体" w:hAnsi="宋体" w:eastAsia="宋体" w:cs="宋体"/>
                <w:sz w:val="20"/>
                <w:szCs w:val="20"/>
                <w:lang w:val="en-US" w:eastAsia="zh-CN"/>
              </w:rPr>
              <w:t>≤</w:t>
            </w:r>
            <w:r>
              <w:rPr>
                <w:rFonts w:hint="eastAsia" w:ascii="宋体" w:hAnsi="宋体" w:eastAsia="宋体" w:cs="宋体"/>
                <w:sz w:val="20"/>
                <w:szCs w:val="20"/>
              </w:rPr>
              <w:t>0.01mm</w:t>
            </w:r>
            <w:r>
              <w:rPr>
                <w:rFonts w:hint="eastAsia" w:ascii="宋体" w:hAnsi="宋体" w:eastAsia="宋体" w:cs="宋体"/>
                <w:sz w:val="20"/>
                <w:szCs w:val="20"/>
                <w:lang w:eastAsia="zh-CN"/>
              </w:rPr>
              <w:t>，</w:t>
            </w:r>
          </w:p>
          <w:p w14:paraId="7A80E74A">
            <w:pPr>
              <w:pStyle w:val="33"/>
              <w:numPr>
                <w:ilvl w:val="0"/>
                <w:numId w:val="5"/>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Z轴定位精度：</w:t>
            </w:r>
            <w:r>
              <w:rPr>
                <w:rFonts w:hint="eastAsia" w:ascii="宋体" w:hAnsi="宋体" w:eastAsia="宋体" w:cs="宋体"/>
                <w:sz w:val="20"/>
                <w:szCs w:val="20"/>
                <w:lang w:val="en-US" w:eastAsia="zh-CN"/>
              </w:rPr>
              <w:t>≤</w:t>
            </w:r>
            <w:r>
              <w:rPr>
                <w:rFonts w:hint="eastAsia" w:ascii="宋体" w:hAnsi="宋体" w:eastAsia="宋体" w:cs="宋体"/>
                <w:sz w:val="20"/>
                <w:szCs w:val="20"/>
              </w:rPr>
              <w:t>0.02mm</w:t>
            </w:r>
            <w:r>
              <w:rPr>
                <w:rFonts w:hint="eastAsia" w:ascii="宋体" w:hAnsi="宋体" w:eastAsia="宋体" w:cs="宋体"/>
                <w:sz w:val="20"/>
                <w:szCs w:val="20"/>
                <w:lang w:eastAsia="zh-CN"/>
              </w:rPr>
              <w:t>（</w:t>
            </w:r>
            <w:r>
              <w:rPr>
                <w:rFonts w:hint="eastAsia"/>
                <w:lang w:eastAsia="zh-CN"/>
              </w:rPr>
              <w:t>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r>
              <w:rPr>
                <w:rFonts w:hint="eastAsia" w:ascii="宋体" w:hAnsi="宋体" w:eastAsia="宋体" w:cs="宋体"/>
                <w:sz w:val="20"/>
                <w:szCs w:val="20"/>
                <w:lang w:eastAsia="zh-CN"/>
              </w:rPr>
              <w:t>）</w:t>
            </w:r>
            <w:r>
              <w:rPr>
                <w:rFonts w:hint="eastAsia" w:ascii="宋体" w:hAnsi="宋体" w:eastAsia="宋体" w:cs="宋体"/>
                <w:sz w:val="20"/>
                <w:szCs w:val="20"/>
              </w:rPr>
              <w:t>；</w:t>
            </w:r>
          </w:p>
          <w:p w14:paraId="148A0715">
            <w:pPr>
              <w:pStyle w:val="33"/>
              <w:numPr>
                <w:ilvl w:val="0"/>
                <w:numId w:val="5"/>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★X轴重复定位精度：</w:t>
            </w:r>
            <w:r>
              <w:rPr>
                <w:rFonts w:hint="eastAsia" w:ascii="宋体" w:hAnsi="宋体" w:eastAsia="宋体" w:cs="宋体"/>
                <w:sz w:val="20"/>
                <w:szCs w:val="20"/>
                <w:lang w:val="en-US" w:eastAsia="zh-CN"/>
              </w:rPr>
              <w:t>偏差范围不超过</w:t>
            </w:r>
            <w:r>
              <w:rPr>
                <w:rFonts w:hint="eastAsia" w:ascii="宋体" w:hAnsi="宋体" w:eastAsia="宋体" w:cs="宋体"/>
                <w:sz w:val="20"/>
                <w:szCs w:val="20"/>
              </w:rPr>
              <w:t>±0.008mm</w:t>
            </w:r>
            <w:r>
              <w:rPr>
                <w:rFonts w:hint="eastAsia" w:ascii="宋体" w:hAnsi="宋体" w:eastAsia="宋体" w:cs="宋体"/>
                <w:sz w:val="20"/>
                <w:szCs w:val="20"/>
                <w:lang w:eastAsia="zh-CN"/>
              </w:rPr>
              <w:t>，</w:t>
            </w:r>
            <w:r>
              <w:rPr>
                <w:rFonts w:hint="eastAsia" w:ascii="宋体" w:hAnsi="宋体" w:eastAsia="宋体" w:cs="宋体"/>
                <w:sz w:val="20"/>
                <w:szCs w:val="20"/>
              </w:rPr>
              <w:t>Z轴重复定位精度：</w:t>
            </w:r>
            <w:r>
              <w:rPr>
                <w:rFonts w:hint="eastAsia" w:ascii="宋体" w:hAnsi="宋体" w:eastAsia="宋体" w:cs="宋体"/>
                <w:sz w:val="20"/>
                <w:szCs w:val="20"/>
                <w:lang w:val="en-US" w:eastAsia="zh-CN"/>
              </w:rPr>
              <w:t>偏差范围不超过</w:t>
            </w:r>
            <w:r>
              <w:rPr>
                <w:rFonts w:hint="eastAsia" w:ascii="宋体" w:hAnsi="宋体" w:eastAsia="宋体" w:cs="宋体"/>
                <w:sz w:val="20"/>
                <w:szCs w:val="20"/>
              </w:rPr>
              <w:t>±0.013mm</w:t>
            </w:r>
            <w:r>
              <w:rPr>
                <w:rFonts w:hint="eastAsia" w:ascii="宋体" w:hAnsi="宋体" w:eastAsia="宋体" w:cs="宋体"/>
                <w:sz w:val="20"/>
                <w:szCs w:val="20"/>
                <w:lang w:eastAsia="zh-CN"/>
              </w:rPr>
              <w:t>（</w:t>
            </w:r>
            <w:r>
              <w:rPr>
                <w:rFonts w:hint="eastAsia"/>
                <w:lang w:eastAsia="zh-CN"/>
              </w:rPr>
              <w:t>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r>
              <w:rPr>
                <w:rFonts w:hint="eastAsia" w:ascii="宋体" w:hAnsi="宋体" w:eastAsia="宋体" w:cs="宋体"/>
                <w:sz w:val="20"/>
                <w:szCs w:val="20"/>
                <w:lang w:eastAsia="zh-CN"/>
              </w:rPr>
              <w:t>）</w:t>
            </w:r>
            <w:r>
              <w:rPr>
                <w:rFonts w:hint="eastAsia" w:ascii="宋体" w:hAnsi="宋体" w:eastAsia="宋体" w:cs="宋体"/>
                <w:sz w:val="20"/>
                <w:szCs w:val="20"/>
              </w:rPr>
              <w:t>；</w:t>
            </w:r>
          </w:p>
          <w:p w14:paraId="40606879">
            <w:pPr>
              <w:pStyle w:val="33"/>
              <w:numPr>
                <w:ilvl w:val="0"/>
                <w:numId w:val="5"/>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X/Z轴快速进给：≥20 m/min；</w:t>
            </w:r>
          </w:p>
          <w:p w14:paraId="0D778C76">
            <w:pPr>
              <w:pStyle w:val="33"/>
              <w:numPr>
                <w:ilvl w:val="0"/>
                <w:numId w:val="5"/>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滑轨形式：线轨</w:t>
            </w:r>
            <w:r>
              <w:rPr>
                <w:rFonts w:hint="eastAsia" w:ascii="宋体" w:hAnsi="宋体" w:eastAsia="宋体" w:cs="宋体"/>
                <w:sz w:val="20"/>
                <w:szCs w:val="20"/>
                <w:lang w:eastAsia="zh-CN"/>
              </w:rPr>
              <w:t>。</w:t>
            </w:r>
          </w:p>
          <w:p w14:paraId="4D92CB2E">
            <w:pPr>
              <w:pStyle w:val="33"/>
              <w:rPr>
                <w:rFonts w:hint="eastAsia" w:ascii="宋体" w:hAnsi="宋体" w:eastAsia="宋体" w:cs="宋体"/>
                <w:b/>
                <w:bCs/>
                <w:sz w:val="20"/>
                <w:szCs w:val="20"/>
              </w:rPr>
            </w:pPr>
            <w:r>
              <w:rPr>
                <w:rFonts w:hint="eastAsia" w:ascii="宋体" w:hAnsi="宋体" w:eastAsia="宋体" w:cs="宋体"/>
                <w:b/>
                <w:bCs/>
                <w:sz w:val="20"/>
                <w:szCs w:val="20"/>
              </w:rPr>
              <w:t>4.刀塔</w:t>
            </w:r>
          </w:p>
          <w:p w14:paraId="5A4CD628">
            <w:pPr>
              <w:pStyle w:val="33"/>
              <w:numPr>
                <w:ilvl w:val="0"/>
                <w:numId w:val="6"/>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刀塔工位数：12支刀；</w:t>
            </w:r>
          </w:p>
          <w:p w14:paraId="1923791F">
            <w:pPr>
              <w:pStyle w:val="33"/>
              <w:numPr>
                <w:ilvl w:val="0"/>
                <w:numId w:val="6"/>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刀塔马达：伺服马达；</w:t>
            </w:r>
          </w:p>
          <w:p w14:paraId="55CE9264">
            <w:pPr>
              <w:pStyle w:val="33"/>
              <w:numPr>
                <w:ilvl w:val="0"/>
                <w:numId w:val="6"/>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四方形刀具：截面边长≥25mm；</w:t>
            </w:r>
          </w:p>
          <w:p w14:paraId="1A973B71">
            <w:pPr>
              <w:pStyle w:val="33"/>
              <w:numPr>
                <w:ilvl w:val="0"/>
                <w:numId w:val="6"/>
              </w:numPr>
              <w:ind w:left="425" w:leftChars="0" w:hanging="425" w:firstLineChars="0"/>
              <w:rPr>
                <w:rFonts w:hint="eastAsia" w:ascii="宋体" w:hAnsi="宋体" w:eastAsia="宋体" w:cs="宋体"/>
                <w:sz w:val="20"/>
                <w:szCs w:val="20"/>
              </w:rPr>
            </w:pPr>
            <w:r>
              <w:rPr>
                <w:rFonts w:hint="eastAsia" w:ascii="宋体" w:hAnsi="宋体" w:eastAsia="宋体" w:cs="宋体"/>
                <w:sz w:val="20"/>
                <w:szCs w:val="20"/>
              </w:rPr>
              <w:t>圆形刀具：≥φ50mm。</w:t>
            </w:r>
          </w:p>
        </w:tc>
      </w:tr>
      <w:tr w14:paraId="7C671C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3" w:type="pct"/>
          </w:tcPr>
          <w:p w14:paraId="5EE08DD6">
            <w:pPr>
              <w:pStyle w:val="33"/>
            </w:pPr>
          </w:p>
        </w:tc>
        <w:tc>
          <w:tcPr>
            <w:tcW w:w="347" w:type="pct"/>
          </w:tcPr>
          <w:p w14:paraId="1D1ABDCD">
            <w:pPr>
              <w:pStyle w:val="33"/>
              <w:rPr>
                <w:rFonts w:hint="eastAsia" w:eastAsiaTheme="minorEastAsia"/>
                <w:lang w:val="en-US" w:eastAsia="zh-CN"/>
              </w:rPr>
            </w:pPr>
            <w:r>
              <w:rPr>
                <w:rFonts w:hint="eastAsia"/>
                <w:lang w:val="en-US" w:eastAsia="zh-CN"/>
              </w:rPr>
              <w:t>3</w:t>
            </w:r>
          </w:p>
        </w:tc>
        <w:tc>
          <w:tcPr>
            <w:tcW w:w="3949" w:type="pct"/>
          </w:tcPr>
          <w:p w14:paraId="67D90EAD">
            <w:pPr>
              <w:pStyle w:val="33"/>
              <w:numPr>
                <w:ilvl w:val="0"/>
                <w:numId w:val="0"/>
              </w:numPr>
              <w:rPr>
                <w:rFonts w:hint="eastAsia" w:ascii="宋体" w:hAnsi="宋体" w:eastAsia="宋体" w:cs="宋体"/>
                <w:b/>
                <w:color w:val="000000"/>
                <w:kern w:val="0"/>
                <w:sz w:val="20"/>
                <w:szCs w:val="20"/>
                <w:lang w:val="en-AU"/>
              </w:rPr>
            </w:pPr>
            <w:r>
              <w:rPr>
                <w:rFonts w:hint="eastAsia" w:ascii="宋体" w:hAnsi="宋体" w:eastAsia="宋体" w:cs="宋体"/>
                <w:b/>
                <w:color w:val="000000"/>
                <w:kern w:val="0"/>
                <w:sz w:val="20"/>
                <w:szCs w:val="20"/>
                <w:lang w:val="en-AU" w:eastAsia="zh-Hans"/>
              </w:rPr>
              <w:t>（三）</w:t>
            </w:r>
            <w:r>
              <w:rPr>
                <w:rFonts w:hint="eastAsia" w:ascii="宋体" w:hAnsi="宋体" w:eastAsia="宋体" w:cs="宋体"/>
                <w:b/>
                <w:color w:val="000000"/>
                <w:kern w:val="0"/>
                <w:sz w:val="20"/>
                <w:szCs w:val="20"/>
                <w:lang w:val="en-AU"/>
              </w:rPr>
              <w:t>配置清单</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18"/>
              <w:gridCol w:w="4184"/>
              <w:gridCol w:w="1099"/>
              <w:gridCol w:w="1038"/>
            </w:tblGrid>
            <w:tr w14:paraId="78740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6BB92B79">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序号</w:t>
                  </w: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2FE194CB">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中文名称</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42F16562">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数量</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5AE4E69D">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单位</w:t>
                  </w:r>
                </w:p>
              </w:tc>
            </w:tr>
            <w:tr w14:paraId="545FE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19931E0C">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3B25216D">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控制器</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1AF07E71">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04721BE0">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套</w:t>
                  </w:r>
                </w:p>
              </w:tc>
            </w:tr>
            <w:tr w14:paraId="24527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66D5A396">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2CEBC113">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刚性攻牙与主轴多点定位</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525D6126">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654D5A36">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套</w:t>
                  </w:r>
                </w:p>
              </w:tc>
            </w:tr>
            <w:tr w14:paraId="76360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3F96769A">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427F3C8A">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中央集中自动润滑系统</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144A6E95">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19E5D7E0">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lang w:val="en-US" w:eastAsia="zh-CN"/>
                    </w:rPr>
                    <w:t>套</w:t>
                  </w:r>
                </w:p>
              </w:tc>
            </w:tr>
            <w:tr w14:paraId="4BE18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55F51B2F">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5D7A21A4">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切屑冷却系统装置及水箱</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19A7C167">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54E6E49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2E820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214F25C1">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6EEB00F3">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油压系统装置</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28F8695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51DBF069">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1F835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617A0154">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3B0C65C8">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铁屑排除器（后排）</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471E34F3">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7EE7EDFF">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0BBF6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47352065">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2660D405">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集屑车(垃圾车)</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6B364D4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7D3508E9">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61B64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663B09D6">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4FA66DDD">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硬爪</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0E7A6DD7">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2EA1D16F">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5B1D9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558871D6">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33029DA1">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软爪</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5FA98CFC">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1D0041AA">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2678C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1FBDEF99">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13DF7BF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热交换器</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5752ED0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404CDF82">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56F9E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557C45E3">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66A78CC7">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平面刀架</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16D7022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3C489AB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7154C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1B647901">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68261BA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内径刀架</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6B4516E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3F957E87">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21C26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5E7E6D0A">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3ED670D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刀具套筒8,10,12,16,20,25,32</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641C9CB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173868BC">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46A5A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16D43B47">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247277D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变压器</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738FA602">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1D210AE2">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1E896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0A58F709">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6DD3FFBF">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工具箱</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7B8BD8F9">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630CFD25">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25B1A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7005EEE6">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1C800C85">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基础螺栓及水平调整用工具</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563BE1C2">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333CFC0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67371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17BBE43D">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304EDEB9">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U 盘</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372ACAB1">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1D9BFC87">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个</w:t>
                  </w:r>
                </w:p>
              </w:tc>
            </w:tr>
            <w:tr w14:paraId="6E1F9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017792EF">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41AF83C4">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X/Z轴光学尺</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519A41AD">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69D69B6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5E4C2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0CE5E056">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606D590C">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水泵</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4053CA9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36F6E31F">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个</w:t>
                  </w:r>
                </w:p>
              </w:tc>
            </w:tr>
            <w:tr w14:paraId="02749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18DBD32C">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795D9016">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工作灯</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1F2C20FC">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3026B1CF">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组</w:t>
                  </w:r>
                </w:p>
              </w:tc>
            </w:tr>
            <w:tr w14:paraId="65166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48709B9E">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577F6646">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三色指示灯</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47233CFB">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0BC946E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组</w:t>
                  </w:r>
                </w:p>
              </w:tc>
            </w:tr>
            <w:tr w14:paraId="735A8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560A9A4F">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298759B0">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全包覆防护钣金</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39DFFFDF">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5FCF9B9E">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r>
            <w:tr w14:paraId="11ACE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51" w:hRule="atLeast"/>
                <w:jc w:val="center"/>
              </w:trPr>
              <w:tc>
                <w:tcPr>
                  <w:tcW w:w="634" w:type="pct"/>
                  <w:tcBorders>
                    <w:top w:val="single" w:color="000000" w:sz="4" w:space="0"/>
                    <w:left w:val="single" w:color="000000" w:sz="4" w:space="0"/>
                    <w:bottom w:val="single" w:color="000000" w:sz="4" w:space="0"/>
                    <w:right w:val="single" w:color="000000" w:sz="4" w:space="0"/>
                    <w:tl2br w:val="nil"/>
                    <w:tr2bl w:val="nil"/>
                  </w:tcBorders>
                  <w:vAlign w:val="center"/>
                </w:tcPr>
                <w:p w14:paraId="64B8E8E7">
                  <w:pPr>
                    <w:keepNext w:val="0"/>
                    <w:keepLines w:val="0"/>
                    <w:numPr>
                      <w:ilvl w:val="0"/>
                      <w:numId w:val="7"/>
                    </w:numPr>
                    <w:suppressLineNumbers w:val="0"/>
                    <w:spacing w:before="0" w:beforeAutospacing="0" w:after="0" w:afterAutospacing="0"/>
                    <w:ind w:left="425" w:leftChars="0" w:right="0" w:hanging="425" w:firstLineChars="0"/>
                    <w:jc w:val="right"/>
                    <w:rPr>
                      <w:rFonts w:hint="eastAsia" w:ascii="宋体" w:hAnsi="宋体" w:eastAsia="宋体" w:cs="宋体"/>
                      <w:sz w:val="21"/>
                      <w:szCs w:val="21"/>
                      <w:lang w:val="en-US" w:eastAsia="zh-CN"/>
                    </w:rPr>
                  </w:pPr>
                </w:p>
              </w:tc>
              <w:tc>
                <w:tcPr>
                  <w:tcW w:w="2888" w:type="pct"/>
                  <w:tcBorders>
                    <w:top w:val="single" w:color="000000" w:sz="4" w:space="0"/>
                    <w:left w:val="single" w:color="000000" w:sz="4" w:space="0"/>
                    <w:bottom w:val="single" w:color="000000" w:sz="4" w:space="0"/>
                    <w:right w:val="single" w:color="000000" w:sz="4" w:space="0"/>
                    <w:tl2br w:val="nil"/>
                    <w:tr2bl w:val="nil"/>
                  </w:tcBorders>
                  <w:vAlign w:val="center"/>
                </w:tcPr>
                <w:p w14:paraId="6EFBBA8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15" w:leftChars="0" w:right="108" w:right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图形工作站（</w:t>
                  </w:r>
                  <w:r>
                    <w:rPr>
                      <w:rFonts w:hint="eastAsia" w:eastAsia="宋体" w:cs="宋体"/>
                      <w:sz w:val="21"/>
                      <w:szCs w:val="21"/>
                      <w:lang w:val="en-US" w:eastAsia="zh-CN"/>
                    </w:rPr>
                    <w:t>科研专用，</w:t>
                  </w:r>
                  <w:r>
                    <w:rPr>
                      <w:rFonts w:hint="eastAsia" w:ascii="宋体" w:hAnsi="宋体" w:eastAsia="宋体" w:cs="宋体"/>
                      <w:sz w:val="21"/>
                      <w:szCs w:val="21"/>
                      <w:lang w:val="en-US" w:eastAsia="zh-CN"/>
                    </w:rPr>
                    <w:t>不低于20核主频3.4G</w:t>
                  </w:r>
                  <w:r>
                    <w:rPr>
                      <w:rFonts w:hint="eastAsia" w:eastAsia="宋体" w:cs="宋体"/>
                      <w:sz w:val="21"/>
                      <w:szCs w:val="21"/>
                      <w:lang w:val="en-US" w:eastAsia="zh-CN"/>
                    </w:rPr>
                    <w:t>/</w:t>
                  </w:r>
                  <w:r>
                    <w:rPr>
                      <w:rFonts w:hint="eastAsia" w:ascii="宋体" w:hAnsi="宋体" w:eastAsia="宋体" w:cs="宋体"/>
                      <w:sz w:val="21"/>
                      <w:szCs w:val="21"/>
                      <w:lang w:val="en-US" w:eastAsia="zh-CN"/>
                    </w:rPr>
                    <w:t>32G内存</w:t>
                  </w:r>
                  <w:r>
                    <w:rPr>
                      <w:rFonts w:hint="eastAsia" w:eastAsia="宋体" w:cs="宋体"/>
                      <w:sz w:val="21"/>
                      <w:szCs w:val="21"/>
                      <w:lang w:val="en-US" w:eastAsia="zh-CN"/>
                    </w:rPr>
                    <w:t>/</w:t>
                  </w:r>
                  <w:r>
                    <w:rPr>
                      <w:rFonts w:hint="eastAsia" w:ascii="宋体" w:hAnsi="宋体" w:eastAsia="宋体" w:cs="宋体"/>
                      <w:sz w:val="21"/>
                      <w:szCs w:val="21"/>
                      <w:lang w:val="en-US" w:eastAsia="zh-CN"/>
                    </w:rPr>
                    <w:t>1T固态硬盘</w:t>
                  </w:r>
                  <w:r>
                    <w:rPr>
                      <w:rFonts w:hint="eastAsia" w:eastAsia="宋体" w:cs="宋体"/>
                      <w:sz w:val="21"/>
                      <w:szCs w:val="21"/>
                      <w:lang w:val="en-US" w:eastAsia="zh-CN"/>
                    </w:rPr>
                    <w:t>/</w:t>
                  </w:r>
                  <w:r>
                    <w:rPr>
                      <w:rFonts w:hint="eastAsia" w:ascii="宋体" w:hAnsi="宋体" w:eastAsia="宋体" w:cs="宋体"/>
                      <w:sz w:val="21"/>
                      <w:szCs w:val="21"/>
                      <w:lang w:val="en-US" w:eastAsia="zh-CN"/>
                    </w:rPr>
                    <w:t>27寸显示器）</w:t>
                  </w:r>
                </w:p>
              </w:tc>
              <w:tc>
                <w:tcPr>
                  <w:tcW w:w="759" w:type="pct"/>
                  <w:tcBorders>
                    <w:top w:val="single" w:color="000000" w:sz="4" w:space="0"/>
                    <w:left w:val="single" w:color="000000" w:sz="4" w:space="0"/>
                    <w:bottom w:val="single" w:color="000000" w:sz="4" w:space="0"/>
                    <w:right w:val="single" w:color="000000" w:sz="4" w:space="0"/>
                    <w:tl2br w:val="nil"/>
                    <w:tr2bl w:val="nil"/>
                  </w:tcBorders>
                  <w:vAlign w:val="center"/>
                </w:tcPr>
                <w:p w14:paraId="3119EA91">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16" w:type="pct"/>
                  <w:tcBorders>
                    <w:top w:val="single" w:color="000000" w:sz="4" w:space="0"/>
                    <w:left w:val="single" w:color="000000" w:sz="4" w:space="0"/>
                    <w:bottom w:val="single" w:color="000000" w:sz="4" w:space="0"/>
                    <w:right w:val="single" w:color="000000" w:sz="4" w:space="0"/>
                    <w:tl2br w:val="nil"/>
                    <w:tr2bl w:val="nil"/>
                  </w:tcBorders>
                  <w:vAlign w:val="center"/>
                </w:tcPr>
                <w:p w14:paraId="06F870D4">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台</w:t>
                  </w:r>
                </w:p>
              </w:tc>
            </w:tr>
          </w:tbl>
          <w:p w14:paraId="5073680A">
            <w:pPr>
              <w:pStyle w:val="33"/>
              <w:numPr>
                <w:ilvl w:val="0"/>
                <w:numId w:val="0"/>
              </w:numPr>
              <w:rPr>
                <w:rFonts w:hint="eastAsia" w:ascii="宋体" w:hAnsi="宋体" w:eastAsia="宋体" w:cs="宋体"/>
                <w:b/>
                <w:color w:val="000000"/>
                <w:kern w:val="0"/>
                <w:sz w:val="20"/>
                <w:szCs w:val="20"/>
                <w:lang w:val="en-AU"/>
              </w:rPr>
            </w:pPr>
          </w:p>
        </w:tc>
      </w:tr>
      <w:tr w14:paraId="761E0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3" w:type="pct"/>
          </w:tcPr>
          <w:p w14:paraId="6B0E9DBC">
            <w:pPr>
              <w:pStyle w:val="33"/>
            </w:pPr>
          </w:p>
        </w:tc>
        <w:tc>
          <w:tcPr>
            <w:tcW w:w="347" w:type="pct"/>
          </w:tcPr>
          <w:p w14:paraId="3BEF6458">
            <w:pPr>
              <w:pStyle w:val="33"/>
              <w:jc w:val="left"/>
              <w:rPr>
                <w:rFonts w:hint="eastAsia" w:eastAsiaTheme="minorEastAsia"/>
                <w:lang w:val="en-US" w:eastAsia="zh-CN"/>
              </w:rPr>
            </w:pPr>
            <w:r>
              <w:rPr>
                <w:rFonts w:hint="eastAsia"/>
                <w:lang w:val="en-US" w:eastAsia="zh-CN"/>
              </w:rPr>
              <w:t>4</w:t>
            </w:r>
          </w:p>
        </w:tc>
        <w:tc>
          <w:tcPr>
            <w:tcW w:w="3949" w:type="pct"/>
          </w:tcPr>
          <w:p w14:paraId="5A4E701F">
            <w:pPr>
              <w:pStyle w:val="33"/>
              <w:jc w:val="left"/>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（四）其他</w:t>
            </w:r>
          </w:p>
          <w:p w14:paraId="42FF2F10">
            <w:pPr>
              <w:pStyle w:val="33"/>
              <w:jc w:val="left"/>
              <w:rPr>
                <w:rFonts w:hint="eastAsia" w:ascii="宋体" w:hAnsi="宋体" w:eastAsia="宋体" w:cs="宋体"/>
                <w:sz w:val="20"/>
                <w:szCs w:val="20"/>
                <w:lang w:eastAsia="zh-CN"/>
              </w:rPr>
            </w:pPr>
            <w:r>
              <w:rPr>
                <w:rFonts w:hint="eastAsia" w:ascii="宋体" w:hAnsi="宋体" w:eastAsia="宋体" w:cs="宋体"/>
                <w:b w:val="0"/>
                <w:bCs w:val="0"/>
                <w:sz w:val="20"/>
                <w:szCs w:val="20"/>
                <w:lang w:val="en-US" w:eastAsia="zh-CN"/>
              </w:rPr>
              <w:t>1.</w:t>
            </w:r>
            <w:r>
              <w:rPr>
                <w:rFonts w:hint="eastAsia" w:ascii="宋体" w:hAnsi="宋体" w:eastAsia="宋体" w:cs="宋体"/>
                <w:sz w:val="20"/>
                <w:szCs w:val="20"/>
              </w:rPr>
              <w:t>投标人</w:t>
            </w:r>
            <w:r>
              <w:rPr>
                <w:rFonts w:hint="eastAsia" w:ascii="宋体" w:hAnsi="宋体" w:eastAsia="宋体" w:cs="宋体"/>
                <w:sz w:val="20"/>
                <w:szCs w:val="20"/>
                <w:lang w:val="en-US" w:eastAsia="zh-CN"/>
              </w:rPr>
              <w:t>应提供</w:t>
            </w:r>
            <w:r>
              <w:rPr>
                <w:rFonts w:hint="eastAsia" w:ascii="宋体" w:hAnsi="宋体" w:eastAsia="宋体" w:cs="宋体"/>
                <w:sz w:val="20"/>
                <w:szCs w:val="20"/>
              </w:rPr>
              <w:t>所投设备的兼容性方案</w:t>
            </w:r>
            <w:r>
              <w:rPr>
                <w:rFonts w:hint="eastAsia" w:ascii="宋体" w:hAnsi="宋体" w:eastAsia="宋体" w:cs="宋体"/>
                <w:sz w:val="20"/>
                <w:szCs w:val="20"/>
                <w:lang w:eastAsia="zh-CN"/>
              </w:rPr>
              <w:t>，</w:t>
            </w:r>
            <w:r>
              <w:rPr>
                <w:rFonts w:hint="eastAsia" w:ascii="宋体" w:hAnsi="宋体" w:eastAsia="宋体" w:cs="宋体"/>
                <w:sz w:val="20"/>
                <w:szCs w:val="20"/>
              </w:rPr>
              <w:t>包括但不限于①</w:t>
            </w:r>
            <w:r>
              <w:rPr>
                <w:rFonts w:hint="eastAsia" w:ascii="宋体" w:hAnsi="宋体" w:eastAsia="宋体" w:cs="宋体"/>
                <w:sz w:val="20"/>
                <w:szCs w:val="20"/>
                <w:lang w:val="en-US" w:eastAsia="zh-CN"/>
              </w:rPr>
              <w:t>设备</w:t>
            </w:r>
            <w:r>
              <w:rPr>
                <w:rFonts w:hint="eastAsia" w:ascii="宋体" w:hAnsi="宋体" w:eastAsia="宋体" w:cs="宋体"/>
                <w:sz w:val="20"/>
                <w:szCs w:val="20"/>
              </w:rPr>
              <w:t>加工工艺兼容性；②工装夹具兼容性；③刀具系统兼容性</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④</w:t>
            </w:r>
            <w:r>
              <w:rPr>
                <w:rFonts w:hint="eastAsia" w:ascii="宋体" w:hAnsi="宋体" w:eastAsia="宋体" w:cs="宋体"/>
                <w:sz w:val="20"/>
                <w:szCs w:val="20"/>
                <w:lang w:eastAsia="zh-CN"/>
              </w:rPr>
              <w:t>控制系统与软件兼容性；</w:t>
            </w:r>
            <w:r>
              <w:rPr>
                <w:rFonts w:hint="eastAsia" w:ascii="宋体" w:hAnsi="宋体" w:eastAsia="宋体" w:cs="宋体"/>
                <w:sz w:val="20"/>
                <w:szCs w:val="20"/>
                <w:lang w:val="en-US" w:eastAsia="zh-CN"/>
              </w:rPr>
              <w:t>⑤</w:t>
            </w:r>
            <w:r>
              <w:rPr>
                <w:rFonts w:hint="eastAsia" w:ascii="宋体" w:hAnsi="宋体" w:eastAsia="宋体" w:cs="宋体"/>
                <w:sz w:val="20"/>
                <w:szCs w:val="20"/>
                <w:lang w:eastAsia="zh-CN"/>
              </w:rPr>
              <w:t>自动化与周边设备兼容性。</w:t>
            </w:r>
          </w:p>
          <w:p w14:paraId="4AA7386B">
            <w:pPr>
              <w:pStyle w:val="33"/>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r>
              <w:rPr>
                <w:rFonts w:hint="eastAsia" w:ascii="宋体" w:hAnsi="宋体" w:eastAsia="宋体" w:cs="宋体"/>
                <w:sz w:val="20"/>
                <w:szCs w:val="20"/>
              </w:rPr>
              <w:t>投标人</w:t>
            </w:r>
            <w:r>
              <w:rPr>
                <w:rFonts w:hint="eastAsia" w:ascii="宋体" w:hAnsi="宋体" w:eastAsia="宋体" w:cs="宋体"/>
                <w:sz w:val="20"/>
                <w:szCs w:val="20"/>
                <w:lang w:val="en-US" w:eastAsia="zh-CN"/>
              </w:rPr>
              <w:t>应提供安装调试方案，包括但不限于①设备安装方案；②整机测试调试方案；③安装调试计划；④安装调试人员安排。</w:t>
            </w:r>
          </w:p>
          <w:p w14:paraId="7617B509">
            <w:pPr>
              <w:pStyle w:val="33"/>
              <w:jc w:val="left"/>
              <w:rPr>
                <w:rFonts w:hint="eastAsia" w:ascii="宋体" w:hAnsi="宋体" w:eastAsia="宋体" w:cs="宋体"/>
                <w:sz w:val="20"/>
                <w:szCs w:val="20"/>
                <w:lang w:eastAsia="zh-CN"/>
              </w:rPr>
            </w:pPr>
            <w:r>
              <w:rPr>
                <w:rFonts w:hint="eastAsia" w:ascii="宋体" w:hAnsi="宋体" w:eastAsia="宋体" w:cs="宋体"/>
                <w:sz w:val="20"/>
                <w:szCs w:val="20"/>
                <w:lang w:val="en-US" w:eastAsia="zh-CN"/>
              </w:rPr>
              <w:t>3.</w:t>
            </w:r>
            <w:r>
              <w:rPr>
                <w:rFonts w:hint="eastAsia" w:ascii="宋体" w:hAnsi="宋体" w:eastAsia="宋体" w:cs="宋体"/>
                <w:sz w:val="20"/>
                <w:szCs w:val="20"/>
              </w:rPr>
              <w:t>投标人</w:t>
            </w:r>
            <w:r>
              <w:rPr>
                <w:rFonts w:hint="eastAsia" w:ascii="宋体" w:hAnsi="宋体" w:eastAsia="宋体" w:cs="宋体"/>
                <w:sz w:val="20"/>
                <w:szCs w:val="20"/>
                <w:lang w:val="en-US" w:eastAsia="zh-CN"/>
              </w:rPr>
              <w:t>应</w:t>
            </w:r>
            <w:r>
              <w:rPr>
                <w:rFonts w:hint="eastAsia" w:ascii="宋体" w:hAnsi="宋体" w:eastAsia="宋体" w:cs="宋体"/>
                <w:sz w:val="20"/>
                <w:szCs w:val="20"/>
              </w:rPr>
              <w:t>提供培训方案</w:t>
            </w:r>
            <w:r>
              <w:rPr>
                <w:rFonts w:hint="eastAsia" w:ascii="宋体" w:hAnsi="宋体" w:eastAsia="宋体" w:cs="宋体"/>
                <w:sz w:val="20"/>
                <w:szCs w:val="20"/>
                <w:lang w:eastAsia="zh-CN"/>
              </w:rPr>
              <w:t>，</w:t>
            </w:r>
            <w:r>
              <w:rPr>
                <w:rFonts w:hint="eastAsia" w:ascii="宋体" w:hAnsi="宋体" w:eastAsia="宋体" w:cs="宋体"/>
                <w:sz w:val="20"/>
                <w:szCs w:val="20"/>
              </w:rPr>
              <w:t>包括但不限于①总体培训计划和目标、②培训人员配置、③培训时间和培训次数、④培训内容和培训质量控制</w:t>
            </w:r>
            <w:r>
              <w:rPr>
                <w:rFonts w:hint="eastAsia" w:ascii="宋体" w:hAnsi="宋体" w:eastAsia="宋体" w:cs="宋体"/>
                <w:sz w:val="20"/>
                <w:szCs w:val="20"/>
                <w:lang w:eastAsia="zh-CN"/>
              </w:rPr>
              <w:t>。</w:t>
            </w:r>
          </w:p>
          <w:p w14:paraId="4BAFF249">
            <w:pPr>
              <w:pStyle w:val="33"/>
              <w:jc w:val="left"/>
              <w:rPr>
                <w:rFonts w:hint="eastAsia" w:ascii="宋体" w:hAnsi="宋体" w:eastAsia="宋体" w:cs="宋体"/>
                <w:sz w:val="21"/>
                <w:szCs w:val="21"/>
                <w:lang w:eastAsia="zh-CN"/>
              </w:rPr>
            </w:pPr>
            <w:r>
              <w:rPr>
                <w:rFonts w:hint="eastAsia" w:ascii="宋体" w:hAnsi="宋体" w:eastAsia="宋体" w:cs="宋体"/>
                <w:sz w:val="20"/>
                <w:szCs w:val="20"/>
                <w:lang w:val="en-US" w:eastAsia="zh-CN"/>
              </w:rPr>
              <w:t>4.</w:t>
            </w:r>
            <w:r>
              <w:rPr>
                <w:rFonts w:hint="eastAsia" w:ascii="宋体" w:hAnsi="宋体" w:eastAsia="宋体" w:cs="宋体"/>
                <w:sz w:val="20"/>
                <w:szCs w:val="20"/>
              </w:rPr>
              <w:t>投标人</w:t>
            </w:r>
            <w:r>
              <w:rPr>
                <w:rFonts w:hint="eastAsia" w:ascii="宋体" w:hAnsi="宋体" w:eastAsia="宋体" w:cs="宋体"/>
                <w:sz w:val="20"/>
                <w:szCs w:val="20"/>
                <w:lang w:val="en-US" w:eastAsia="zh-CN"/>
              </w:rPr>
              <w:t>应</w:t>
            </w:r>
            <w:r>
              <w:rPr>
                <w:rFonts w:hint="eastAsia" w:ascii="宋体" w:hAnsi="宋体" w:eastAsia="宋体" w:cs="宋体"/>
                <w:sz w:val="20"/>
                <w:szCs w:val="20"/>
              </w:rPr>
              <w:t>提供</w:t>
            </w:r>
            <w:r>
              <w:rPr>
                <w:rFonts w:hint="eastAsia" w:ascii="宋体" w:hAnsi="宋体" w:eastAsia="宋体" w:cs="宋体"/>
                <w:sz w:val="21"/>
                <w:szCs w:val="21"/>
              </w:rPr>
              <w:t>售后服务方案</w:t>
            </w:r>
            <w:r>
              <w:rPr>
                <w:rFonts w:hint="eastAsia" w:ascii="宋体" w:hAnsi="宋体" w:eastAsia="宋体" w:cs="宋体"/>
                <w:sz w:val="21"/>
                <w:szCs w:val="21"/>
                <w:lang w:eastAsia="zh-CN"/>
              </w:rPr>
              <w:t>，</w:t>
            </w:r>
            <w:r>
              <w:rPr>
                <w:rFonts w:hint="eastAsia" w:ascii="宋体" w:hAnsi="宋体" w:eastAsia="宋体" w:cs="宋体"/>
                <w:sz w:val="21"/>
                <w:szCs w:val="21"/>
              </w:rPr>
              <w:t>包括</w:t>
            </w:r>
            <w:r>
              <w:rPr>
                <w:rFonts w:hint="eastAsia" w:ascii="宋体" w:hAnsi="宋体" w:eastAsia="宋体" w:cs="宋体"/>
                <w:sz w:val="21"/>
                <w:szCs w:val="21"/>
                <w:lang w:val="en-US" w:eastAsia="zh-CN"/>
              </w:rPr>
              <w:t>但不限于</w:t>
            </w:r>
            <w:r>
              <w:rPr>
                <w:rFonts w:hint="eastAsia" w:ascii="宋体" w:hAnsi="宋体" w:eastAsia="宋体" w:cs="宋体"/>
                <w:sz w:val="21"/>
                <w:szCs w:val="21"/>
              </w:rPr>
              <w:t>①紧急故障处理预案</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②故障处理</w:t>
            </w:r>
            <w:r>
              <w:rPr>
                <w:rFonts w:hint="eastAsia" w:ascii="宋体" w:hAnsi="宋体" w:eastAsia="宋体" w:cs="宋体"/>
                <w:sz w:val="21"/>
                <w:szCs w:val="21"/>
              </w:rPr>
              <w:t>响应时间</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③</w:t>
            </w:r>
            <w:r>
              <w:rPr>
                <w:rFonts w:hint="eastAsia" w:ascii="宋体" w:hAnsi="宋体" w:eastAsia="宋体" w:cs="宋体"/>
                <w:sz w:val="21"/>
                <w:szCs w:val="21"/>
              </w:rPr>
              <w:t>专业技术人员配备情况</w:t>
            </w:r>
            <w:r>
              <w:rPr>
                <w:rFonts w:hint="eastAsia" w:ascii="宋体" w:hAnsi="宋体" w:eastAsia="宋体" w:cs="宋体"/>
                <w:sz w:val="21"/>
                <w:szCs w:val="21"/>
                <w:lang w:val="en-US" w:eastAsia="zh-CN"/>
              </w:rPr>
              <w:t>④</w:t>
            </w:r>
            <w:r>
              <w:rPr>
                <w:rFonts w:hint="eastAsia" w:ascii="宋体" w:hAnsi="宋体" w:eastAsia="宋体" w:cs="宋体"/>
                <w:sz w:val="21"/>
                <w:szCs w:val="21"/>
              </w:rPr>
              <w:t>零部件供应情况</w:t>
            </w:r>
            <w:r>
              <w:rPr>
                <w:rFonts w:hint="eastAsia" w:ascii="宋体" w:hAnsi="宋体" w:eastAsia="宋体" w:cs="宋体"/>
                <w:sz w:val="21"/>
                <w:szCs w:val="21"/>
                <w:lang w:eastAsia="zh-CN"/>
              </w:rPr>
              <w:t>。</w:t>
            </w:r>
          </w:p>
          <w:p w14:paraId="78117F31">
            <w:pPr>
              <w:pStyle w:val="33"/>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5.投标人应对所盖章提供资料的真实性、准确性负责。技术支持资料须清晰可辨，表达意思必须统一。投标人自行承担资料模糊不清、无法辨认的不利后果。</w:t>
            </w:r>
          </w:p>
          <w:p w14:paraId="5ED01BB4">
            <w:pPr>
              <w:pStyle w:val="33"/>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default" w:ascii="宋体" w:hAnsi="宋体" w:eastAsia="宋体" w:cs="宋体"/>
                <w:sz w:val="21"/>
                <w:szCs w:val="21"/>
                <w:lang w:val="en-US" w:eastAsia="zh-CN"/>
              </w:rPr>
              <w:t>采购标的</w:t>
            </w:r>
            <w:r>
              <w:rPr>
                <w:rFonts w:hint="eastAsia" w:ascii="宋体" w:hAnsi="宋体" w:eastAsia="宋体" w:cs="宋体"/>
                <w:sz w:val="21"/>
                <w:szCs w:val="21"/>
                <w:lang w:val="en-US" w:eastAsia="zh-CN"/>
              </w:rPr>
              <w:t>内容</w:t>
            </w:r>
            <w:r>
              <w:rPr>
                <w:rFonts w:hint="default" w:ascii="宋体" w:hAnsi="宋体" w:eastAsia="宋体" w:cs="宋体"/>
                <w:sz w:val="21"/>
                <w:szCs w:val="21"/>
                <w:lang w:val="en-US" w:eastAsia="zh-CN"/>
              </w:rPr>
              <w:t>为本项目的主要标的，其他</w:t>
            </w:r>
            <w:r>
              <w:rPr>
                <w:rFonts w:hint="eastAsia" w:ascii="宋体" w:hAnsi="宋体" w:eastAsia="宋体" w:cs="宋体"/>
                <w:sz w:val="21"/>
                <w:szCs w:val="21"/>
                <w:lang w:val="en-US" w:eastAsia="zh-CN"/>
              </w:rPr>
              <w:t>均</w:t>
            </w:r>
            <w:r>
              <w:rPr>
                <w:rFonts w:hint="default" w:ascii="宋体" w:hAnsi="宋体" w:eastAsia="宋体" w:cs="宋体"/>
                <w:sz w:val="21"/>
                <w:szCs w:val="21"/>
                <w:lang w:val="en-US" w:eastAsia="zh-CN"/>
              </w:rPr>
              <w:t>为</w:t>
            </w:r>
            <w:r>
              <w:rPr>
                <w:rFonts w:hint="eastAsia" w:ascii="宋体" w:hAnsi="宋体" w:eastAsia="宋体" w:cs="宋体"/>
                <w:sz w:val="21"/>
                <w:szCs w:val="21"/>
                <w:lang w:val="en-US" w:eastAsia="zh-CN"/>
              </w:rPr>
              <w:t>采购标的</w:t>
            </w:r>
            <w:r>
              <w:rPr>
                <w:rFonts w:hint="default" w:ascii="宋体" w:hAnsi="宋体" w:eastAsia="宋体" w:cs="宋体"/>
                <w:sz w:val="21"/>
                <w:szCs w:val="21"/>
                <w:lang w:val="en-US" w:eastAsia="zh-CN"/>
              </w:rPr>
              <w:t>配件。</w:t>
            </w:r>
          </w:p>
        </w:tc>
      </w:tr>
      <w:tr w14:paraId="6BBAF8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3" w:type="pct"/>
          </w:tcPr>
          <w:p w14:paraId="7AAF56C7">
            <w:pPr>
              <w:pStyle w:val="33"/>
            </w:pPr>
            <w:r>
              <w:t>说明</w:t>
            </w:r>
          </w:p>
        </w:tc>
        <w:tc>
          <w:tcPr>
            <w:tcW w:w="4296" w:type="pct"/>
            <w:gridSpan w:val="2"/>
          </w:tcPr>
          <w:p w14:paraId="19540717">
            <w:pPr>
              <w:pStyle w:val="33"/>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4CD6E5A8">
      <w:pPr>
        <w:numPr>
          <w:ilvl w:val="0"/>
          <w:numId w:val="2"/>
        </w:numPr>
        <w:spacing w:before="468" w:beforeLines="150" w:after="156" w:afterLines="50"/>
        <w:ind w:left="0" w:leftChars="0" w:firstLine="0" w:firstLineChars="0"/>
        <w:outlineLvl w:val="2"/>
        <w:rPr>
          <w:rFonts w:hint="eastAsia"/>
          <w:b/>
          <w:sz w:val="21"/>
          <w:szCs w:val="21"/>
          <w:lang w:val="en-US" w:eastAsia="zh-CN"/>
        </w:rPr>
      </w:pPr>
      <w:r>
        <w:rPr>
          <w:rFonts w:hint="eastAsia"/>
          <w:b/>
          <w:sz w:val="21"/>
          <w:szCs w:val="21"/>
          <w:lang w:val="en-US" w:eastAsia="zh-CN"/>
        </w:rPr>
        <w:t>主要商务需求</w:t>
      </w:r>
    </w:p>
    <w:tbl>
      <w:tblPr>
        <w:tblStyle w:val="12"/>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30"/>
        <w:gridCol w:w="7024"/>
      </w:tblGrid>
      <w:tr w14:paraId="29CB60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tcPr>
          <w:p w14:paraId="647EC2A2">
            <w:pPr>
              <w:pStyle w:val="33"/>
            </w:pPr>
            <w:r>
              <w:t>标的提供的时间</w:t>
            </w:r>
          </w:p>
        </w:tc>
        <w:tc>
          <w:tcPr>
            <w:tcW w:w="3714" w:type="pct"/>
          </w:tcPr>
          <w:p w14:paraId="01D217C5">
            <w:pPr>
              <w:pStyle w:val="33"/>
              <w:rPr>
                <w:rFonts w:hint="eastAsia" w:ascii="宋体" w:hAnsi="宋体" w:eastAsia="宋体" w:cs="宋体"/>
                <w:sz w:val="20"/>
                <w:szCs w:val="20"/>
              </w:rPr>
            </w:pPr>
            <w:r>
              <w:rPr>
                <w:rFonts w:hint="eastAsia" w:ascii="宋体" w:hAnsi="宋体" w:eastAsia="宋体" w:cs="宋体"/>
                <w:sz w:val="20"/>
                <w:szCs w:val="20"/>
              </w:rPr>
              <w:t>★</w:t>
            </w:r>
            <w:r>
              <w:rPr>
                <w:rFonts w:hint="eastAsia" w:ascii="宋体" w:hAnsi="宋体" w:eastAsia="宋体" w:cs="宋体"/>
                <w:sz w:val="20"/>
                <w:szCs w:val="20"/>
                <w:lang w:eastAsia="zh-CN"/>
              </w:rPr>
              <w:t>自合同签订生效之日起80天内</w:t>
            </w:r>
            <w:r>
              <w:rPr>
                <w:rFonts w:hint="eastAsia" w:ascii="宋体" w:hAnsi="宋体" w:eastAsia="宋体" w:cs="宋体"/>
                <w:sz w:val="20"/>
                <w:szCs w:val="20"/>
              </w:rPr>
              <w:t>。</w:t>
            </w:r>
          </w:p>
        </w:tc>
      </w:tr>
      <w:tr w14:paraId="2D7CB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tcPr>
          <w:p w14:paraId="7AE9A08F">
            <w:pPr>
              <w:pStyle w:val="33"/>
            </w:pPr>
            <w:r>
              <w:t>标的提供的地点</w:t>
            </w:r>
          </w:p>
        </w:tc>
        <w:tc>
          <w:tcPr>
            <w:tcW w:w="3714" w:type="pct"/>
          </w:tcPr>
          <w:p w14:paraId="12A05FA3">
            <w:pPr>
              <w:pStyle w:val="33"/>
              <w:rPr>
                <w:rFonts w:hint="eastAsia" w:ascii="宋体" w:hAnsi="宋体" w:eastAsia="宋体" w:cs="宋体"/>
                <w:sz w:val="20"/>
                <w:szCs w:val="20"/>
              </w:rPr>
            </w:pPr>
            <w:r>
              <w:rPr>
                <w:rFonts w:hint="eastAsia" w:ascii="宋体" w:hAnsi="宋体" w:eastAsia="宋体" w:cs="宋体"/>
                <w:sz w:val="20"/>
                <w:szCs w:val="20"/>
              </w:rPr>
              <w:t>★</w:t>
            </w:r>
            <w:r>
              <w:rPr>
                <w:rFonts w:hint="eastAsia" w:ascii="宋体" w:hAnsi="宋体" w:eastAsia="宋体" w:cs="宋体"/>
                <w:sz w:val="20"/>
                <w:szCs w:val="20"/>
                <w:lang w:eastAsia="zh-CN"/>
              </w:rPr>
              <w:t>采购人指定地点（广东省佛山市季华实验室）</w:t>
            </w:r>
            <w:r>
              <w:rPr>
                <w:rFonts w:hint="eastAsia" w:ascii="宋体" w:hAnsi="宋体" w:eastAsia="宋体" w:cs="宋体"/>
                <w:sz w:val="20"/>
                <w:szCs w:val="20"/>
              </w:rPr>
              <w:t>。</w:t>
            </w:r>
          </w:p>
        </w:tc>
      </w:tr>
      <w:tr w14:paraId="23D36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tcPr>
          <w:p w14:paraId="30FC76AE">
            <w:pPr>
              <w:pStyle w:val="33"/>
            </w:pPr>
            <w:r>
              <w:t>付款方式</w:t>
            </w:r>
          </w:p>
        </w:tc>
        <w:tc>
          <w:tcPr>
            <w:tcW w:w="3714" w:type="pct"/>
          </w:tcPr>
          <w:p w14:paraId="3062022A">
            <w:pPr>
              <w:pStyle w:val="33"/>
              <w:rPr>
                <w:rFonts w:hint="eastAsia" w:ascii="宋体" w:hAnsi="宋体" w:eastAsia="宋体" w:cs="宋体"/>
                <w:sz w:val="20"/>
                <w:szCs w:val="20"/>
              </w:rPr>
            </w:pPr>
            <w:r>
              <w:rPr>
                <w:rFonts w:hint="eastAsia" w:ascii="宋体" w:hAnsi="宋体" w:eastAsia="宋体" w:cs="宋体"/>
                <w:sz w:val="20"/>
                <w:szCs w:val="20"/>
              </w:rPr>
              <w:t>1期：支付比例30%,★预付款：签订合同后，采购人向中标人支付合同总价的30%；</w:t>
            </w:r>
          </w:p>
          <w:p w14:paraId="7EF7C5EF">
            <w:pPr>
              <w:pStyle w:val="33"/>
              <w:rPr>
                <w:rFonts w:hint="eastAsia" w:ascii="宋体" w:hAnsi="宋体" w:eastAsia="宋体" w:cs="宋体"/>
                <w:sz w:val="20"/>
                <w:szCs w:val="20"/>
              </w:rPr>
            </w:pPr>
            <w:r>
              <w:rPr>
                <w:rFonts w:hint="eastAsia" w:ascii="宋体" w:hAnsi="宋体" w:eastAsia="宋体" w:cs="宋体"/>
                <w:sz w:val="20"/>
                <w:szCs w:val="20"/>
              </w:rPr>
              <w:t>2期：支付比例70%,★验收款：货物安装调试结束，技术验收合格并交付使用后，自采购人技术验收合格之日起60日内，中标人凭采购人签订的技术验收单和合同金额5%的货物验收保函，采购人向中标人支付合同总价的70%。货物验收保函有效期至技术验收合格之日起满一年。</w:t>
            </w:r>
          </w:p>
          <w:p w14:paraId="7AA459EB">
            <w:pPr>
              <w:pStyle w:val="33"/>
              <w:rPr>
                <w:rFonts w:hint="eastAsia" w:ascii="宋体" w:hAnsi="宋体" w:eastAsia="宋体" w:cs="宋体"/>
                <w:sz w:val="20"/>
                <w:szCs w:val="20"/>
              </w:rPr>
            </w:pPr>
            <w:r>
              <w:rPr>
                <w:rFonts w:hint="eastAsia" w:ascii="宋体" w:hAnsi="宋体" w:eastAsia="宋体" w:cs="宋体"/>
                <w:sz w:val="20"/>
                <w:szCs w:val="20"/>
              </w:rPr>
              <w:t>如项目发生合同融资，采购人需将合同款项支付到合同约定收款账户</w:t>
            </w:r>
          </w:p>
        </w:tc>
      </w:tr>
      <w:tr w14:paraId="2B05C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tcPr>
          <w:p w14:paraId="08BB48FD">
            <w:pPr>
              <w:pStyle w:val="33"/>
            </w:pPr>
            <w:r>
              <w:t>验收要求</w:t>
            </w:r>
          </w:p>
        </w:tc>
        <w:tc>
          <w:tcPr>
            <w:tcW w:w="3714" w:type="pct"/>
          </w:tcPr>
          <w:p w14:paraId="4A040428">
            <w:pPr>
              <w:pStyle w:val="33"/>
              <w:rPr>
                <w:rFonts w:hint="eastAsia" w:ascii="宋体" w:hAnsi="宋体" w:eastAsia="宋体" w:cs="宋体"/>
                <w:sz w:val="20"/>
                <w:szCs w:val="20"/>
                <w:lang w:eastAsia="zh-CN"/>
              </w:rPr>
            </w:pPr>
            <w:r>
              <w:rPr>
                <w:rFonts w:hint="eastAsia" w:ascii="宋体" w:hAnsi="宋体" w:eastAsia="宋体" w:cs="宋体"/>
                <w:sz w:val="20"/>
                <w:szCs w:val="20"/>
              </w:rPr>
              <w:t>1期：★采购人应在到货后15日内完成开箱验收；中标人应于采购人完成开箱验收之日起30日内完成安装调试；在货物安装调试完毕并连续稳定运行72小时无故障后，中标人可凭借全套验收资料向采购人发起验收申请，采购人在收到中标人的验收申请后30日内完成货物技术验收。货物验收程序分为预验收、开箱验收、安装调试、技术验收、最终验收</w:t>
            </w:r>
            <w:r>
              <w:rPr>
                <w:rFonts w:hint="eastAsia" w:ascii="宋体" w:hAnsi="宋体" w:eastAsia="宋体" w:cs="宋体"/>
                <w:sz w:val="20"/>
                <w:szCs w:val="20"/>
                <w:lang w:eastAsia="zh-CN"/>
              </w:rPr>
              <w:t>：</w:t>
            </w:r>
          </w:p>
          <w:p w14:paraId="5514791F">
            <w:pPr>
              <w:pStyle w:val="33"/>
              <w:rPr>
                <w:rFonts w:hint="eastAsia" w:ascii="宋体" w:hAnsi="宋体" w:eastAsia="宋体" w:cs="宋体"/>
                <w:sz w:val="20"/>
                <w:szCs w:val="20"/>
              </w:rPr>
            </w:pPr>
            <w:r>
              <w:rPr>
                <w:rFonts w:hint="eastAsia" w:ascii="宋体" w:hAnsi="宋体" w:eastAsia="宋体" w:cs="宋体"/>
                <w:sz w:val="20"/>
                <w:szCs w:val="20"/>
              </w:rPr>
              <w:t>1.预验收：货物出厂前10天，中标人应提前通知采购人，采购人派人到生产厂地进行预备验收，以保证货物符合采购人的需求，签订《预验收报告》。</w:t>
            </w:r>
          </w:p>
          <w:p w14:paraId="2BABE66E">
            <w:pPr>
              <w:pStyle w:val="33"/>
              <w:rPr>
                <w:rFonts w:hint="eastAsia" w:ascii="宋体" w:hAnsi="宋体" w:eastAsia="宋体" w:cs="宋体"/>
                <w:sz w:val="20"/>
                <w:szCs w:val="20"/>
              </w:rPr>
            </w:pPr>
            <w:r>
              <w:rPr>
                <w:rFonts w:hint="eastAsia" w:ascii="宋体" w:hAnsi="宋体" w:eastAsia="宋体" w:cs="宋体"/>
                <w:sz w:val="20"/>
                <w:szCs w:val="20"/>
              </w:rPr>
              <w:t>2.开箱验收：货物送达采购人指定位置后，于货物货物安装调试前进行开箱验收，验收通过签订《开箱验收单》。</w:t>
            </w:r>
          </w:p>
          <w:p w14:paraId="6B011EBA">
            <w:pPr>
              <w:pStyle w:val="33"/>
              <w:rPr>
                <w:rFonts w:hint="eastAsia" w:ascii="宋体" w:hAnsi="宋体" w:eastAsia="宋体" w:cs="宋体"/>
                <w:sz w:val="20"/>
                <w:szCs w:val="20"/>
              </w:rPr>
            </w:pPr>
            <w:r>
              <w:rPr>
                <w:rFonts w:hint="eastAsia" w:ascii="宋体" w:hAnsi="宋体" w:eastAsia="宋体" w:cs="宋体"/>
                <w:sz w:val="20"/>
                <w:szCs w:val="20"/>
              </w:rPr>
              <w:t>货物送达采购人指定位置后，于货物安装调试前进行开箱验收，验收通过签订《开箱验收单》。</w:t>
            </w:r>
          </w:p>
          <w:p w14:paraId="39BC645A">
            <w:pPr>
              <w:pStyle w:val="33"/>
              <w:rPr>
                <w:rFonts w:hint="eastAsia" w:ascii="宋体" w:hAnsi="宋体" w:eastAsia="宋体" w:cs="宋体"/>
                <w:sz w:val="20"/>
                <w:szCs w:val="20"/>
              </w:rPr>
            </w:pPr>
            <w:r>
              <w:rPr>
                <w:rFonts w:hint="eastAsia" w:ascii="宋体" w:hAnsi="宋体" w:eastAsia="宋体" w:cs="宋体"/>
                <w:sz w:val="20"/>
                <w:szCs w:val="20"/>
              </w:rPr>
              <w:t>（1）以技术协议第一条“配置清单”“随机文件”为依据，采购人中标人双方代表共同开箱清点货物、配件、资料等，经查验，实收货物完好并与上述清单所列示内容一致，采购人在“开箱验收单”上签字。如出现不符，中标人负责解决相关事宜，赔偿因此给采购人造成的损失。</w:t>
            </w:r>
          </w:p>
          <w:p w14:paraId="1EC7FD91">
            <w:pPr>
              <w:pStyle w:val="33"/>
              <w:rPr>
                <w:rFonts w:hint="eastAsia" w:ascii="宋体" w:hAnsi="宋体" w:eastAsia="宋体" w:cs="宋体"/>
                <w:sz w:val="20"/>
                <w:szCs w:val="20"/>
              </w:rPr>
            </w:pPr>
            <w:r>
              <w:rPr>
                <w:rFonts w:hint="eastAsia" w:ascii="宋体" w:hAnsi="宋体" w:eastAsia="宋体" w:cs="宋体"/>
                <w:sz w:val="20"/>
                <w:szCs w:val="20"/>
              </w:rPr>
              <w:t>（2）随机文件包括但不限于：关键主机设备的用户手册、保修手册，单证资料、出厂合格检验证书、货物产地证明书及原厂货物质量证明书和出厂验收报告等，及配备件、随机工具、使用操作及安全须知等资料，上述资料在采购人中标人双方开箱检验后完成交接。</w:t>
            </w:r>
          </w:p>
          <w:p w14:paraId="5F77D72E">
            <w:pPr>
              <w:pStyle w:val="33"/>
              <w:rPr>
                <w:rFonts w:hint="eastAsia" w:ascii="宋体" w:hAnsi="宋体" w:eastAsia="宋体" w:cs="宋体"/>
                <w:sz w:val="20"/>
                <w:szCs w:val="20"/>
              </w:rPr>
            </w:pPr>
            <w:r>
              <w:rPr>
                <w:rFonts w:hint="eastAsia" w:ascii="宋体" w:hAnsi="宋体" w:eastAsia="宋体" w:cs="宋体"/>
                <w:sz w:val="20"/>
                <w:szCs w:val="20"/>
              </w:rPr>
              <w:t>（3）中标人必须承诺：凡列入《中华人民共和国实施强制性产品认证的产品目录》的产品在验收时必须出具加盖中标人公章的CCC认证证书复印件，并在产品外部加施认证标志作为验收依据之一。</w:t>
            </w:r>
          </w:p>
          <w:p w14:paraId="7C5342BC">
            <w:pPr>
              <w:pStyle w:val="33"/>
              <w:rPr>
                <w:rFonts w:hint="eastAsia" w:ascii="宋体" w:hAnsi="宋体" w:eastAsia="宋体" w:cs="宋体"/>
                <w:sz w:val="20"/>
                <w:szCs w:val="20"/>
              </w:rPr>
            </w:pPr>
            <w:r>
              <w:rPr>
                <w:rFonts w:hint="eastAsia" w:ascii="宋体" w:hAnsi="宋体" w:eastAsia="宋体" w:cs="宋体"/>
                <w:sz w:val="20"/>
                <w:szCs w:val="20"/>
              </w:rPr>
              <w:t>3.安装调试：</w:t>
            </w:r>
          </w:p>
          <w:p w14:paraId="73985766">
            <w:pPr>
              <w:pStyle w:val="33"/>
              <w:rPr>
                <w:rFonts w:hint="eastAsia" w:ascii="宋体" w:hAnsi="宋体" w:eastAsia="宋体" w:cs="宋体"/>
                <w:sz w:val="20"/>
                <w:szCs w:val="20"/>
              </w:rPr>
            </w:pPr>
            <w:r>
              <w:rPr>
                <w:rFonts w:hint="eastAsia" w:ascii="宋体" w:hAnsi="宋体" w:eastAsia="宋体" w:cs="宋体"/>
                <w:sz w:val="20"/>
                <w:szCs w:val="20"/>
              </w:rPr>
              <w:t>（1）中标人负责货物在使用现场的安装调试工作。开箱验收合格后，中标人工程师应立即进行安装调试工作。中标人须依照招标文件的要求和投标文件的承诺，将货物、系统安装并调试至正常运行的最佳状态。</w:t>
            </w:r>
          </w:p>
          <w:p w14:paraId="6A80FF78">
            <w:pPr>
              <w:pStyle w:val="33"/>
              <w:rPr>
                <w:rFonts w:hint="eastAsia" w:ascii="宋体" w:hAnsi="宋体" w:eastAsia="宋体" w:cs="宋体"/>
                <w:sz w:val="20"/>
                <w:szCs w:val="20"/>
              </w:rPr>
            </w:pPr>
            <w:r>
              <w:rPr>
                <w:rFonts w:hint="eastAsia" w:ascii="宋体" w:hAnsi="宋体" w:eastAsia="宋体" w:cs="宋体"/>
                <w:sz w:val="20"/>
                <w:szCs w:val="20"/>
              </w:rPr>
              <w:t>（2）中标人承担开箱后至技术验收完成期间货物的存储责任。安装调试期间设备毁损、灭失的风险由中标人承担，直至采购人签署技术验收单为止。</w:t>
            </w:r>
          </w:p>
          <w:p w14:paraId="2683948C">
            <w:pPr>
              <w:pStyle w:val="33"/>
              <w:rPr>
                <w:rFonts w:hint="eastAsia" w:ascii="宋体" w:hAnsi="宋体" w:eastAsia="宋体" w:cs="宋体"/>
                <w:sz w:val="20"/>
                <w:szCs w:val="20"/>
              </w:rPr>
            </w:pPr>
            <w:r>
              <w:rPr>
                <w:rFonts w:hint="eastAsia" w:ascii="宋体" w:hAnsi="宋体" w:eastAsia="宋体" w:cs="宋体"/>
                <w:sz w:val="20"/>
                <w:szCs w:val="20"/>
              </w:rPr>
              <w:t>4.技术验收：安装调试完成后，双方对货物进行技术验收。因采购人原因导致验收推迟的，验收时限相应顺延。</w:t>
            </w:r>
          </w:p>
          <w:p w14:paraId="5A4CA7DC">
            <w:pPr>
              <w:pStyle w:val="33"/>
              <w:rPr>
                <w:rFonts w:hint="eastAsia" w:ascii="宋体" w:hAnsi="宋体" w:eastAsia="宋体" w:cs="宋体"/>
                <w:sz w:val="20"/>
                <w:szCs w:val="20"/>
              </w:rPr>
            </w:pPr>
            <w:r>
              <w:rPr>
                <w:rFonts w:hint="eastAsia" w:ascii="宋体" w:hAnsi="宋体" w:eastAsia="宋体" w:cs="宋体"/>
                <w:sz w:val="20"/>
                <w:szCs w:val="20"/>
              </w:rPr>
              <w:t>（1）检测依据及标准</w:t>
            </w:r>
          </w:p>
          <w:p w14:paraId="715D2A56">
            <w:pPr>
              <w:pStyle w:val="33"/>
              <w:rPr>
                <w:rFonts w:hint="eastAsia" w:ascii="宋体" w:hAnsi="宋体" w:eastAsia="宋体" w:cs="宋体"/>
                <w:sz w:val="20"/>
                <w:szCs w:val="20"/>
              </w:rPr>
            </w:pPr>
            <w:r>
              <w:rPr>
                <w:rFonts w:hint="eastAsia" w:ascii="宋体" w:hAnsi="宋体" w:eastAsia="宋体" w:cs="宋体"/>
                <w:sz w:val="20"/>
                <w:szCs w:val="20"/>
              </w:rPr>
              <w:t>本协议第二条款“主要技术指标”、国家标准、出厂国标准等。</w:t>
            </w:r>
          </w:p>
          <w:p w14:paraId="1A6E6255">
            <w:pPr>
              <w:pStyle w:val="33"/>
              <w:rPr>
                <w:rFonts w:hint="eastAsia" w:ascii="宋体" w:hAnsi="宋体" w:eastAsia="宋体" w:cs="宋体"/>
                <w:sz w:val="20"/>
                <w:szCs w:val="20"/>
              </w:rPr>
            </w:pPr>
            <w:r>
              <w:rPr>
                <w:rFonts w:hint="eastAsia" w:ascii="宋体" w:hAnsi="宋体" w:eastAsia="宋体" w:cs="宋体"/>
                <w:sz w:val="20"/>
                <w:szCs w:val="20"/>
              </w:rPr>
              <w:t>（2）检测内容：检测内容应完全包含投标文件所列的主要技术指标，可根据实际情况进行补充检验项目，但不能减少。</w:t>
            </w:r>
          </w:p>
          <w:p w14:paraId="5F139303">
            <w:pPr>
              <w:pStyle w:val="33"/>
              <w:rPr>
                <w:rFonts w:hint="eastAsia" w:ascii="宋体" w:hAnsi="宋体" w:eastAsia="宋体" w:cs="宋体"/>
                <w:sz w:val="20"/>
                <w:szCs w:val="20"/>
              </w:rPr>
            </w:pPr>
            <w:r>
              <w:rPr>
                <w:rFonts w:hint="eastAsia" w:ascii="宋体" w:hAnsi="宋体" w:eastAsia="宋体" w:cs="宋体"/>
                <w:sz w:val="20"/>
                <w:szCs w:val="20"/>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p>
          <w:p w14:paraId="4D1EEDDE">
            <w:pPr>
              <w:pStyle w:val="33"/>
              <w:rPr>
                <w:rFonts w:hint="eastAsia" w:ascii="宋体" w:hAnsi="宋体" w:eastAsia="宋体" w:cs="宋体"/>
                <w:sz w:val="20"/>
                <w:szCs w:val="20"/>
              </w:rPr>
            </w:pPr>
            <w:r>
              <w:rPr>
                <w:rFonts w:hint="eastAsia" w:ascii="宋体" w:hAnsi="宋体" w:eastAsia="宋体" w:cs="宋体"/>
                <w:sz w:val="20"/>
                <w:szCs w:val="20"/>
              </w:rPr>
              <w:t>5.最终验收：技术验收通过之后满1年，未产生质量问题或已按要求解决问题，双方签署《最终接收证书》并加盖公章。</w:t>
            </w:r>
          </w:p>
        </w:tc>
      </w:tr>
      <w:tr w14:paraId="6ED9C1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tcPr>
          <w:p w14:paraId="20BFFC26">
            <w:pPr>
              <w:pStyle w:val="33"/>
            </w:pPr>
            <w:r>
              <w:t>履约保证金</w:t>
            </w:r>
          </w:p>
        </w:tc>
        <w:tc>
          <w:tcPr>
            <w:tcW w:w="3714" w:type="pct"/>
          </w:tcPr>
          <w:p w14:paraId="44FF3E53">
            <w:pPr>
              <w:pStyle w:val="33"/>
              <w:rPr>
                <w:rFonts w:hint="eastAsia" w:ascii="宋体" w:hAnsi="宋体" w:eastAsia="宋体" w:cs="宋体"/>
                <w:sz w:val="20"/>
                <w:szCs w:val="20"/>
              </w:rPr>
            </w:pPr>
            <w:r>
              <w:rPr>
                <w:rFonts w:hint="eastAsia" w:ascii="宋体" w:hAnsi="宋体" w:eastAsia="宋体" w:cs="宋体"/>
                <w:sz w:val="20"/>
                <w:szCs w:val="20"/>
              </w:rPr>
              <w:t>不收取</w:t>
            </w:r>
          </w:p>
        </w:tc>
      </w:tr>
      <w:tr w14:paraId="33391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tcPr>
          <w:p w14:paraId="600A26E9">
            <w:pPr>
              <w:pStyle w:val="33"/>
            </w:pPr>
            <w:r>
              <w:t>其他</w:t>
            </w:r>
          </w:p>
        </w:tc>
        <w:tc>
          <w:tcPr>
            <w:tcW w:w="3714" w:type="pct"/>
          </w:tcPr>
          <w:p w14:paraId="0C0AC85C">
            <w:pPr>
              <w:pStyle w:val="33"/>
              <w:numPr>
                <w:ilvl w:val="0"/>
                <w:numId w:val="0"/>
              </w:numP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r>
              <w:rPr>
                <w:rFonts w:hint="eastAsia" w:ascii="宋体" w:hAnsi="宋体" w:eastAsia="宋体" w:cs="宋体"/>
                <w:sz w:val="20"/>
                <w:szCs w:val="20"/>
              </w:rPr>
              <w:t>★</w:t>
            </w:r>
            <w:r>
              <w:rPr>
                <w:rFonts w:hint="eastAsia" w:ascii="宋体" w:hAnsi="宋体" w:eastAsia="宋体" w:cs="宋体"/>
                <w:sz w:val="20"/>
                <w:szCs w:val="20"/>
                <w:lang w:val="en-US" w:eastAsia="zh-CN"/>
              </w:rPr>
              <w:t>付款要求补充：（1）对于满足合同支付条件的，采购人原则上在收到发票后10个工作日内按照采购合同约定完成资金支付。（2）付款期间如因特殊情况需调整，由采购人中标人双方协商处理。（3）</w:t>
            </w:r>
          </w:p>
          <w:p w14:paraId="0A0F67D1">
            <w:pPr>
              <w:pStyle w:val="33"/>
              <w:numPr>
                <w:ilvl w:val="0"/>
                <w:numId w:val="0"/>
              </w:numP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r>
              <w:rPr>
                <w:rFonts w:hint="eastAsia" w:ascii="宋体" w:hAnsi="宋体" w:eastAsia="宋体" w:cs="宋体"/>
                <w:sz w:val="20"/>
                <w:szCs w:val="20"/>
              </w:rPr>
              <w:t>★</w:t>
            </w:r>
            <w:r>
              <w:rPr>
                <w:rFonts w:hint="eastAsia" w:ascii="宋体" w:hAnsi="宋体" w:eastAsia="宋体" w:cs="宋体"/>
                <w:sz w:val="20"/>
                <w:szCs w:val="20"/>
                <w:lang w:val="en-US" w:eastAsia="zh-CN"/>
              </w:rPr>
              <w:t>其他：如中标人未能按时履行交货义务，采购人有权单方面终止合同，中标人需退还采购人已支付的全部款项，并赔偿采购人由此造成遭受的全部损失。如采购人选择继续履行合同的，中标人应积极支付逾期违约金，赔偿因逾期造成的实际损失，并全面履行合同项下义务。</w:t>
            </w:r>
          </w:p>
        </w:tc>
      </w:tr>
      <w:tr w14:paraId="63CBF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675EC2B2">
            <w:pPr>
              <w:pStyle w:val="33"/>
              <w:ind w:left="0" w:leftChars="0" w:right="0" w:rightChars="0"/>
              <w:jc w:val="left"/>
            </w:pPr>
            <w:r>
              <w:rPr>
                <w:rFonts w:hint="eastAsia" w:ascii="宋体" w:hAnsi="宋体" w:eastAsia="宋体" w:cs="宋体"/>
                <w:sz w:val="20"/>
                <w:szCs w:val="20"/>
              </w:rPr>
              <w:t>★</w:t>
            </w:r>
            <w:r>
              <w:t>投标报价</w:t>
            </w:r>
          </w:p>
        </w:tc>
        <w:tc>
          <w:tcPr>
            <w:tcW w:w="3714" w:type="pct"/>
            <w:vAlign w:val="top"/>
          </w:tcPr>
          <w:p w14:paraId="314FD2F4">
            <w:pPr>
              <w:pStyle w:val="33"/>
              <w:numPr>
                <w:ilvl w:val="0"/>
                <w:numId w:val="0"/>
              </w:numPr>
              <w:jc w:val="left"/>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Hans"/>
              </w:rPr>
              <w:t>1</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本</w:t>
            </w:r>
            <w:r>
              <w:rPr>
                <w:rFonts w:hint="eastAsia" w:ascii="宋体" w:hAnsi="宋体" w:eastAsia="宋体" w:cs="宋体"/>
                <w:sz w:val="20"/>
                <w:szCs w:val="20"/>
                <w:highlight w:val="none"/>
                <w:lang w:val="en-US" w:eastAsia="zh-CN"/>
              </w:rPr>
              <w:t>项目</w:t>
            </w:r>
            <w:r>
              <w:rPr>
                <w:rFonts w:hint="eastAsia" w:ascii="宋体" w:hAnsi="宋体" w:eastAsia="宋体" w:cs="宋体"/>
                <w:sz w:val="20"/>
                <w:szCs w:val="20"/>
                <w:highlight w:val="none"/>
              </w:rPr>
              <w:t>最高限价为人民币</w:t>
            </w:r>
            <w:r>
              <w:rPr>
                <w:rFonts w:hint="eastAsia" w:ascii="宋体" w:hAnsi="宋体" w:eastAsia="宋体" w:cs="宋体"/>
                <w:sz w:val="20"/>
                <w:szCs w:val="20"/>
                <w:highlight w:val="none"/>
                <w:lang w:eastAsia="zh-CN"/>
              </w:rPr>
              <w:t>1,360,000.00</w:t>
            </w:r>
            <w:r>
              <w:rPr>
                <w:rFonts w:hint="eastAsia" w:ascii="宋体" w:hAnsi="宋体" w:eastAsia="宋体" w:cs="宋体"/>
                <w:sz w:val="20"/>
                <w:szCs w:val="20"/>
                <w:highlight w:val="none"/>
              </w:rPr>
              <w:t>元，本项目</w:t>
            </w:r>
            <w:r>
              <w:rPr>
                <w:rFonts w:hint="eastAsia" w:ascii="宋体" w:hAnsi="宋体" w:eastAsia="宋体" w:cs="宋体"/>
                <w:sz w:val="20"/>
                <w:szCs w:val="20"/>
                <w:highlight w:val="none"/>
                <w:lang w:val="en-US" w:eastAsia="zh-CN"/>
              </w:rPr>
              <w:t>投标</w:t>
            </w:r>
            <w:r>
              <w:rPr>
                <w:rFonts w:hint="eastAsia" w:ascii="宋体" w:hAnsi="宋体" w:eastAsia="宋体" w:cs="宋体"/>
                <w:sz w:val="20"/>
                <w:szCs w:val="20"/>
                <w:highlight w:val="none"/>
              </w:rPr>
              <w:t>报价不得高于本项目最高限价，否则视为无效报价，作无效投标处理。</w:t>
            </w:r>
          </w:p>
          <w:p w14:paraId="20EDC225">
            <w:pPr>
              <w:pStyle w:val="33"/>
              <w:numPr>
                <w:ilvl w:val="0"/>
                <w:numId w:val="0"/>
              </w:numPr>
              <w:ind w:left="0" w:leftChars="0" w:firstLine="0" w:firstLineChars="0"/>
              <w:jc w:val="left"/>
              <w:rPr>
                <w:rFonts w:hint="eastAsia" w:ascii="宋体" w:hAnsi="宋体" w:eastAsia="宋体" w:cs="宋体"/>
                <w:sz w:val="20"/>
                <w:szCs w:val="20"/>
                <w:lang w:val="en-US" w:eastAsia="zh-CN"/>
              </w:rPr>
            </w:pPr>
            <w:r>
              <w:rPr>
                <w:rFonts w:hint="eastAsia" w:ascii="宋体" w:hAnsi="宋体" w:eastAsia="宋体" w:cs="宋体"/>
                <w:sz w:val="20"/>
                <w:szCs w:val="20"/>
                <w:highlight w:val="none"/>
                <w:lang w:val="en-US" w:eastAsia="zh-Hans"/>
              </w:rPr>
              <w:t>2</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本项目</w:t>
            </w:r>
            <w:r>
              <w:rPr>
                <w:rFonts w:hint="eastAsia" w:ascii="宋体" w:hAnsi="宋体" w:eastAsia="宋体" w:cs="宋体"/>
                <w:sz w:val="20"/>
                <w:szCs w:val="20"/>
                <w:highlight w:val="none"/>
                <w:lang w:val="en-US" w:eastAsia="zh-CN"/>
              </w:rPr>
              <w:t>投标</w:t>
            </w:r>
            <w:r>
              <w:rPr>
                <w:rFonts w:hint="eastAsia" w:ascii="宋体" w:hAnsi="宋体" w:eastAsia="宋体" w:cs="宋体"/>
                <w:sz w:val="20"/>
                <w:szCs w:val="20"/>
                <w:highlight w:val="none"/>
              </w:rPr>
              <w:t>报价为广东省佛山市目的地验收交付价</w:t>
            </w:r>
            <w:r>
              <w:rPr>
                <w:rFonts w:hint="eastAsia" w:ascii="宋体" w:hAnsi="宋体" w:eastAsia="宋体" w:cs="宋体"/>
                <w:sz w:val="20"/>
                <w:szCs w:val="20"/>
                <w:highlight w:val="none"/>
                <w:lang w:eastAsia="zh-CN"/>
              </w:rPr>
              <w:t>。从中华人民共和国关境内提供的货物，包括关境内制造的货物</w:t>
            </w:r>
            <w:r>
              <w:rPr>
                <w:rFonts w:hint="eastAsia" w:ascii="宋体" w:hAnsi="宋体" w:eastAsia="宋体" w:cs="宋体"/>
                <w:sz w:val="20"/>
                <w:szCs w:val="20"/>
                <w:highlight w:val="none"/>
              </w:rPr>
              <w:t>：①各项税费，包括向中华人民共和国政府缴纳的增值税、增值税和其他税费，必要时提供完税证明。②交货到使用现场（采购人指定到货地点）产生的全部费用，包括货物运至最终目的地的运输费、保险费及与货物交运相关的其他费用。③安装与调试、验收、检验、培训、技术文件的移交、质量保证期服务、技术服务、售后服务及招标文件要求提供的其他服务等，包括但不限于安装调试过程中损耗、额外材料、设计费等。④设备正常运行所需的专用工具和质量保证期内的备品备件费用。</w:t>
            </w:r>
          </w:p>
        </w:tc>
      </w:tr>
      <w:tr w14:paraId="53756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347E849A">
            <w:pPr>
              <w:pStyle w:val="33"/>
              <w:ind w:left="0" w:leftChars="0" w:right="0" w:rightChars="0"/>
              <w:jc w:val="left"/>
            </w:pPr>
            <w:r>
              <w:rPr>
                <w:rFonts w:hint="eastAsia" w:ascii="宋体" w:hAnsi="宋体" w:eastAsia="宋体" w:cs="宋体"/>
                <w:sz w:val="20"/>
                <w:szCs w:val="20"/>
              </w:rPr>
              <w:t>★</w:t>
            </w:r>
            <w:r>
              <w:t>货物质量要求</w:t>
            </w:r>
          </w:p>
        </w:tc>
        <w:tc>
          <w:tcPr>
            <w:tcW w:w="3714" w:type="pct"/>
            <w:vAlign w:val="top"/>
          </w:tcPr>
          <w:p w14:paraId="3EB2A675">
            <w:pPr>
              <w:pStyle w:val="33"/>
              <w:jc w:val="left"/>
              <w:rPr>
                <w:rFonts w:hint="eastAsia" w:ascii="宋体" w:hAnsi="宋体" w:eastAsia="宋体" w:cs="宋体"/>
                <w:sz w:val="20"/>
                <w:szCs w:val="20"/>
              </w:rPr>
            </w:pPr>
            <w:r>
              <w:rPr>
                <w:rFonts w:hint="eastAsia" w:ascii="宋体" w:hAnsi="宋体" w:eastAsia="宋体" w:cs="宋体"/>
                <w:sz w:val="20"/>
                <w:szCs w:val="20"/>
              </w:rPr>
              <w:t>1.中标人交付的货物之质量、技术、环保、安全、卫生等标准必须符合中华人民共和国国家标准，如约定的标准高于国家标准的，则按约定的标准执行。在既无约定的标准，亦无国家标准时，则按行业标准执行；无行业标准的，按商业惯例。</w:t>
            </w:r>
          </w:p>
          <w:p w14:paraId="1FB35F68">
            <w:pPr>
              <w:pStyle w:val="33"/>
              <w:jc w:val="left"/>
              <w:rPr>
                <w:rFonts w:hint="eastAsia" w:ascii="宋体" w:hAnsi="宋体" w:eastAsia="宋体" w:cs="宋体"/>
                <w:sz w:val="20"/>
                <w:szCs w:val="20"/>
              </w:rPr>
            </w:pPr>
            <w:r>
              <w:rPr>
                <w:rFonts w:hint="eastAsia" w:ascii="宋体" w:hAnsi="宋体" w:eastAsia="宋体" w:cs="宋体"/>
                <w:sz w:val="20"/>
                <w:szCs w:val="20"/>
              </w:rPr>
              <w:t>2.上款所说“约定的标准”是指：</w:t>
            </w:r>
          </w:p>
          <w:p w14:paraId="0B00E327">
            <w:pPr>
              <w:pStyle w:val="33"/>
              <w:jc w:val="left"/>
              <w:rPr>
                <w:rFonts w:hint="eastAsia" w:ascii="宋体" w:hAnsi="宋体" w:eastAsia="宋体" w:cs="宋体"/>
                <w:sz w:val="20"/>
                <w:szCs w:val="20"/>
              </w:rPr>
            </w:pPr>
            <w:r>
              <w:rPr>
                <w:rFonts w:hint="eastAsia" w:ascii="宋体" w:hAnsi="宋体" w:eastAsia="宋体" w:cs="宋体"/>
                <w:sz w:val="20"/>
                <w:szCs w:val="20"/>
              </w:rPr>
              <w:t>(1)《招标文件》中的“采购需求”所设定的质量标准和中标人在《投标文件》中对此做出的陈述或“响应”。凡中标人单方面在《投标文件》中做出的优于《招标文件》所设定的质量标准、技术指标或参数、性能、环保或节能标准，附件、技术或信息服务与支持、售后服务以及其他任何优厚条件之陈述或意思表示，一旦与《招标文件》设定的标准不一致，以招标文件要求为基准，当投标文件响应优于招标文件时，按投标文件承诺执行。</w:t>
            </w:r>
          </w:p>
          <w:p w14:paraId="3DFF09E1">
            <w:pPr>
              <w:pStyle w:val="33"/>
              <w:jc w:val="left"/>
              <w:rPr>
                <w:rFonts w:hint="eastAsia" w:ascii="宋体" w:hAnsi="宋体" w:eastAsia="宋体" w:cs="宋体"/>
                <w:sz w:val="20"/>
                <w:szCs w:val="20"/>
              </w:rPr>
            </w:pPr>
            <w:r>
              <w:rPr>
                <w:rFonts w:hint="eastAsia" w:ascii="宋体" w:hAnsi="宋体" w:eastAsia="宋体" w:cs="宋体"/>
                <w:sz w:val="20"/>
                <w:szCs w:val="20"/>
              </w:rPr>
              <w:t>(2)在招投标过程中属于中标人送交了经采购人确认的货物样板的（双方共同签署《货物样板确认书》并封存成品样板），此样板即为最低验收标准，实际交付的货物均应有产品质量检验合格标志。</w:t>
            </w:r>
          </w:p>
          <w:p w14:paraId="7376CDB2">
            <w:pPr>
              <w:pStyle w:val="33"/>
              <w:jc w:val="left"/>
              <w:rPr>
                <w:rFonts w:hint="eastAsia" w:ascii="宋体" w:hAnsi="宋体" w:eastAsia="宋体" w:cs="宋体"/>
                <w:sz w:val="20"/>
                <w:szCs w:val="20"/>
              </w:rPr>
            </w:pPr>
            <w:r>
              <w:rPr>
                <w:rFonts w:hint="eastAsia" w:ascii="宋体" w:hAnsi="宋体" w:eastAsia="宋体" w:cs="宋体"/>
                <w:sz w:val="20"/>
                <w:szCs w:val="20"/>
              </w:rPr>
              <w:t>3.中标人提供的货物必须是原制造商制造的全新产品，整机无污染，表面无划伤、无碰撞，无任何缺陷隐患、配件齐全，完全符合国家的有关质量标准，符合招投标文件的要求，并附有产品质量检验合格证书。</w:t>
            </w:r>
          </w:p>
          <w:p w14:paraId="5D34D284">
            <w:pPr>
              <w:pStyle w:val="33"/>
              <w:jc w:val="left"/>
              <w:rPr>
                <w:rFonts w:hint="eastAsia" w:ascii="宋体" w:hAnsi="宋体" w:eastAsia="宋体" w:cs="宋体"/>
                <w:sz w:val="20"/>
                <w:szCs w:val="20"/>
              </w:rPr>
            </w:pPr>
            <w:r>
              <w:rPr>
                <w:rFonts w:hint="eastAsia" w:ascii="宋体" w:hAnsi="宋体" w:eastAsia="宋体" w:cs="宋体"/>
                <w:sz w:val="20"/>
                <w:szCs w:val="20"/>
              </w:rPr>
              <w:t>4.货物为原厂商未启封全新包装产品，具备出厂合格证，序列号、包装箱号和出厂批号，并可追索查阅。中标人应将关键主机设备的用户手册、保修手册、有关单证资料及配备件、随机工具等单独包装交付给采购人，使用操作及安全须知等重要资料应附有中文说明。</w:t>
            </w:r>
          </w:p>
          <w:p w14:paraId="6954638E">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5.若中标人提供的随机文件不完整或不符合要求，采购人有权要求中标人在规定时间内补齐或重新提供符合要求的文件。若因此导致设备无法正常使用或验收延迟，中标人应承担相应责任，并赔偿采购人因此遭受的全部损失。</w:t>
            </w:r>
          </w:p>
        </w:tc>
      </w:tr>
      <w:tr w14:paraId="73955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2D6F5F94">
            <w:pPr>
              <w:pStyle w:val="33"/>
              <w:ind w:left="0" w:leftChars="0" w:right="0" w:rightChars="0"/>
              <w:jc w:val="left"/>
            </w:pPr>
            <w:r>
              <w:rPr>
                <w:rFonts w:hint="eastAsia" w:ascii="宋体" w:hAnsi="宋体" w:eastAsia="宋体" w:cs="宋体"/>
                <w:sz w:val="20"/>
                <w:szCs w:val="20"/>
              </w:rPr>
              <w:t>★</w:t>
            </w:r>
            <w:r>
              <w:t>包装运输及货物搬运</w:t>
            </w:r>
          </w:p>
        </w:tc>
        <w:tc>
          <w:tcPr>
            <w:tcW w:w="3714" w:type="pct"/>
            <w:vAlign w:val="top"/>
          </w:tcPr>
          <w:p w14:paraId="79D0A841">
            <w:pPr>
              <w:pStyle w:val="33"/>
              <w:jc w:val="left"/>
              <w:rPr>
                <w:rFonts w:hint="eastAsia" w:ascii="宋体" w:hAnsi="宋体" w:eastAsia="宋体" w:cs="宋体"/>
                <w:sz w:val="20"/>
                <w:szCs w:val="20"/>
              </w:rPr>
            </w:pPr>
            <w:r>
              <w:rPr>
                <w:rFonts w:hint="eastAsia" w:ascii="宋体" w:hAnsi="宋体" w:eastAsia="宋体" w:cs="宋体"/>
                <w:sz w:val="20"/>
                <w:szCs w:val="20"/>
              </w:rPr>
              <w:t>1.设备的包装必须是制造商原厂包装，包装箱应坚固、防潮、防锈、防震、防粗暴装卸，适于海、陆运输和整体吊装，保证产品运抵使用现场后设备结构、功能完好无损。</w:t>
            </w:r>
          </w:p>
          <w:p w14:paraId="4D89B74D">
            <w:pPr>
              <w:pStyle w:val="33"/>
              <w:jc w:val="left"/>
              <w:rPr>
                <w:rFonts w:hint="eastAsia" w:ascii="宋体" w:hAnsi="宋体" w:eastAsia="宋体" w:cs="宋体"/>
                <w:sz w:val="20"/>
                <w:szCs w:val="20"/>
              </w:rPr>
            </w:pPr>
            <w:r>
              <w:rPr>
                <w:rFonts w:hint="eastAsia" w:ascii="宋体" w:hAnsi="宋体" w:eastAsia="宋体" w:cs="宋体"/>
                <w:sz w:val="20"/>
                <w:szCs w:val="20"/>
              </w:rPr>
              <w:t>2.由中标人负责组织落实设备搬运工作，包括但不限于拆装、封装、人力上下楼搬运、叉车、起重机等专用机械运输等。</w:t>
            </w:r>
          </w:p>
          <w:p w14:paraId="25A9C493">
            <w:pPr>
              <w:pStyle w:val="33"/>
              <w:jc w:val="left"/>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.搬运期间的工具、材料和人员等费用全部由中标人负责，与采购人无关。</w:t>
            </w:r>
          </w:p>
          <w:p w14:paraId="53AFA841">
            <w:pPr>
              <w:pStyle w:val="33"/>
              <w:jc w:val="left"/>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.如搬运过程中出现伤亡、雇佣、工资、财产损毁等费用及责任纠纷由中标人承担，与采购人无关。特殊情况下采购人代为支付的，可以向中标人追偿。</w:t>
            </w:r>
          </w:p>
          <w:p w14:paraId="7CA75BBD">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r>
              <w:rPr>
                <w:rFonts w:hint="eastAsia" w:ascii="宋体" w:hAnsi="宋体" w:eastAsia="宋体" w:cs="宋体"/>
                <w:sz w:val="20"/>
                <w:szCs w:val="20"/>
              </w:rPr>
              <w:t>.按采购人要求到达采购人指定位置后，于设备安装调试前进行开箱验收。</w:t>
            </w:r>
          </w:p>
        </w:tc>
      </w:tr>
      <w:tr w14:paraId="0EB35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0D7A4D1A">
            <w:pPr>
              <w:pStyle w:val="33"/>
              <w:ind w:left="0" w:leftChars="0" w:right="0" w:rightChars="0"/>
              <w:jc w:val="left"/>
            </w:pPr>
            <w:r>
              <w:rPr>
                <w:rFonts w:hint="eastAsia" w:ascii="宋体" w:hAnsi="宋体" w:eastAsia="宋体" w:cs="宋体"/>
                <w:sz w:val="20"/>
                <w:szCs w:val="20"/>
              </w:rPr>
              <w:t>★</w:t>
            </w:r>
            <w:r>
              <w:t>设备接收</w:t>
            </w:r>
          </w:p>
        </w:tc>
        <w:tc>
          <w:tcPr>
            <w:tcW w:w="3714" w:type="pct"/>
            <w:vAlign w:val="top"/>
          </w:tcPr>
          <w:p w14:paraId="038F876C">
            <w:pPr>
              <w:pStyle w:val="33"/>
              <w:jc w:val="left"/>
              <w:rPr>
                <w:rFonts w:hint="eastAsia" w:ascii="宋体" w:hAnsi="宋体" w:eastAsia="宋体" w:cs="宋体"/>
                <w:sz w:val="20"/>
                <w:szCs w:val="20"/>
              </w:rPr>
            </w:pPr>
            <w:r>
              <w:rPr>
                <w:rFonts w:hint="eastAsia" w:ascii="宋体" w:hAnsi="宋体" w:eastAsia="宋体" w:cs="宋体"/>
                <w:sz w:val="20"/>
                <w:szCs w:val="20"/>
              </w:rPr>
              <w:t>1.货物运抵安装现场后，以中标人提供的装箱单为依据，在外包装完好的前提下，清点核对包装数量、尺寸和重量等明细信息，如实收货物与装箱单完全相符，采购人签收设备接收单。</w:t>
            </w:r>
          </w:p>
          <w:p w14:paraId="5F5BBB83">
            <w:pPr>
              <w:pStyle w:val="33"/>
              <w:jc w:val="left"/>
              <w:rPr>
                <w:rFonts w:hint="eastAsia" w:ascii="宋体" w:hAnsi="宋体" w:eastAsia="宋体" w:cs="宋体"/>
                <w:sz w:val="20"/>
                <w:szCs w:val="20"/>
              </w:rPr>
            </w:pPr>
            <w:r>
              <w:rPr>
                <w:rFonts w:hint="eastAsia" w:ascii="宋体" w:hAnsi="宋体" w:eastAsia="宋体" w:cs="宋体"/>
                <w:sz w:val="20"/>
                <w:szCs w:val="20"/>
              </w:rPr>
              <w:t>2.货物接收单仅作为货物到场的凭证，不视为采购人对货物质量、数量、技术指标等的最终认可。如出现差异，采购人出具货物短缺或破损报告，中标人负责解决相关索赔事宜，赔偿包括但不限于货物更换、补足费用等所有损失。</w:t>
            </w:r>
          </w:p>
          <w:p w14:paraId="24D54204">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3.采购人完成货物接收后，保持原出厂包装存放现场，货物安装前，采购人中标人双方共同在货物现场开箱检验供货明细。</w:t>
            </w:r>
          </w:p>
        </w:tc>
      </w:tr>
      <w:tr w14:paraId="493E8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758F7D1F">
            <w:pPr>
              <w:pStyle w:val="33"/>
              <w:ind w:left="0" w:leftChars="0" w:right="0" w:rightChars="0"/>
              <w:jc w:val="left"/>
            </w:pPr>
            <w:r>
              <w:rPr>
                <w:rFonts w:hint="eastAsia" w:ascii="宋体" w:hAnsi="宋体" w:eastAsia="宋体" w:cs="宋体"/>
                <w:sz w:val="20"/>
                <w:szCs w:val="20"/>
              </w:rPr>
              <w:t>★</w:t>
            </w:r>
            <w:r>
              <w:t>货物安装</w:t>
            </w:r>
          </w:p>
        </w:tc>
        <w:tc>
          <w:tcPr>
            <w:tcW w:w="3714" w:type="pct"/>
            <w:vAlign w:val="top"/>
          </w:tcPr>
          <w:p w14:paraId="2E8BEB9D">
            <w:pPr>
              <w:pStyle w:val="33"/>
              <w:jc w:val="left"/>
              <w:rPr>
                <w:rFonts w:hint="eastAsia" w:ascii="宋体" w:hAnsi="宋体" w:eastAsia="宋体" w:cs="宋体"/>
                <w:sz w:val="20"/>
                <w:szCs w:val="20"/>
              </w:rPr>
            </w:pPr>
            <w:r>
              <w:rPr>
                <w:rFonts w:hint="eastAsia" w:ascii="宋体" w:hAnsi="宋体" w:eastAsia="宋体" w:cs="宋体"/>
                <w:sz w:val="20"/>
                <w:szCs w:val="20"/>
              </w:rPr>
              <w:t xml:space="preserve">1.中标人应在投标方案中提供货物安装条件要求，明确符合设备要求的安装场地条件，包括但不限于：场地面积、基础承重、电源、水源、特殊气体、特殊环境要求（防震/电磁屏蔽/洁净度等级/温湿度等）等。 </w:t>
            </w:r>
          </w:p>
          <w:p w14:paraId="75F007DF">
            <w:pPr>
              <w:pStyle w:val="33"/>
              <w:jc w:val="left"/>
              <w:rPr>
                <w:rFonts w:hint="eastAsia" w:ascii="宋体" w:hAnsi="宋体" w:eastAsia="宋体" w:cs="宋体"/>
                <w:sz w:val="20"/>
                <w:szCs w:val="20"/>
              </w:rPr>
            </w:pPr>
            <w:r>
              <w:rPr>
                <w:rFonts w:hint="eastAsia" w:ascii="宋体" w:hAnsi="宋体" w:eastAsia="宋体" w:cs="宋体"/>
                <w:sz w:val="20"/>
                <w:szCs w:val="20"/>
              </w:rPr>
              <w:t>2.采购人与中标人在双方签署的技术协议第三条“实验室货物安装条件要求”中明确双方的责任和义务。</w:t>
            </w:r>
          </w:p>
          <w:p w14:paraId="01BA447D">
            <w:pPr>
              <w:pStyle w:val="33"/>
              <w:jc w:val="left"/>
              <w:rPr>
                <w:rFonts w:hint="eastAsia" w:ascii="宋体" w:hAnsi="宋体" w:eastAsia="宋体" w:cs="宋体"/>
                <w:sz w:val="20"/>
                <w:szCs w:val="20"/>
              </w:rPr>
            </w:pPr>
            <w:r>
              <w:rPr>
                <w:rFonts w:hint="eastAsia" w:ascii="宋体" w:hAnsi="宋体" w:eastAsia="宋体" w:cs="宋体"/>
                <w:sz w:val="20"/>
                <w:szCs w:val="20"/>
              </w:rPr>
              <w:t>（1）采购人责任：采购人在设备安装前提供符合设备要求的安装场地，包括但不限于场地承重、水源/电源/气源接驳点，以及温湿度等条件；</w:t>
            </w:r>
          </w:p>
          <w:p w14:paraId="01E0265B">
            <w:pPr>
              <w:pStyle w:val="33"/>
              <w:jc w:val="left"/>
              <w:rPr>
                <w:rFonts w:hint="eastAsia" w:ascii="宋体" w:hAnsi="宋体" w:eastAsia="宋体" w:cs="宋体"/>
                <w:sz w:val="20"/>
                <w:szCs w:val="20"/>
              </w:rPr>
            </w:pPr>
            <w:r>
              <w:rPr>
                <w:rFonts w:hint="eastAsia" w:ascii="宋体" w:hAnsi="宋体" w:eastAsia="宋体" w:cs="宋体"/>
                <w:sz w:val="20"/>
                <w:szCs w:val="20"/>
              </w:rPr>
              <w:t>（2）中标人责任：中标人负责设备与水电接驳点的最终连接（包括电缆、水管等辅材安装），完成设备安装调试及操作培训，并提供安装调试全程技术支持，确保符合安全规范。安装期间的安全责任由中标人承担，涉及高空/带电等特种作业的须持有效操作证上岗。安装前中标人提交《安装条件确认书》，《安装条件确认书》中应明确：a.基础承载、水电气接驳点位置及技术参数（电压、水压等）；b.特殊环境要求（防震/电磁屏蔽/洁净度等级）；c.需采购人配合的改造事项及时间节点。</w:t>
            </w:r>
          </w:p>
          <w:p w14:paraId="50A90135">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3.安装调试的具体时间由采购人提前3天通知中标人，双方确认《安装条件确认书》中所列条件具备后实施安装。</w:t>
            </w:r>
          </w:p>
        </w:tc>
      </w:tr>
      <w:tr w14:paraId="413CB3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3BE42E70">
            <w:pPr>
              <w:pStyle w:val="33"/>
              <w:ind w:left="0" w:leftChars="0" w:right="0" w:rightChars="0"/>
              <w:jc w:val="left"/>
            </w:pPr>
            <w:r>
              <w:rPr>
                <w:rFonts w:hint="eastAsia" w:ascii="宋体" w:hAnsi="宋体" w:eastAsia="宋体" w:cs="宋体"/>
                <w:sz w:val="20"/>
                <w:szCs w:val="20"/>
              </w:rPr>
              <w:t>★</w:t>
            </w:r>
            <w:r>
              <w:t>技术培训</w:t>
            </w:r>
          </w:p>
        </w:tc>
        <w:tc>
          <w:tcPr>
            <w:tcW w:w="3714" w:type="pct"/>
            <w:vAlign w:val="top"/>
          </w:tcPr>
          <w:p w14:paraId="7A318ACF">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中标人需提供完整的培训计划和方案，列明培训人员数量、达到的水平等，培训内容包括设备原理、操作、数据处理和维护保养的培训等，使用户达到独立操作水平，培训所需全部费用已包含在投标价中。</w:t>
            </w:r>
          </w:p>
        </w:tc>
      </w:tr>
      <w:tr w14:paraId="56562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46A181F0">
            <w:pPr>
              <w:pStyle w:val="33"/>
              <w:ind w:left="0" w:leftChars="0" w:right="0" w:rightChars="0"/>
              <w:jc w:val="left"/>
            </w:pPr>
            <w:r>
              <w:rPr>
                <w:rFonts w:hint="eastAsia" w:ascii="宋体" w:hAnsi="宋体" w:eastAsia="宋体" w:cs="宋体"/>
                <w:sz w:val="20"/>
                <w:szCs w:val="20"/>
              </w:rPr>
              <w:t>★</w:t>
            </w:r>
            <w:r>
              <w:t>质量保质期</w:t>
            </w:r>
          </w:p>
        </w:tc>
        <w:tc>
          <w:tcPr>
            <w:tcW w:w="3714" w:type="pct"/>
            <w:vAlign w:val="top"/>
          </w:tcPr>
          <w:p w14:paraId="1EEF84C7">
            <w:pPr>
              <w:pStyle w:val="33"/>
              <w:jc w:val="left"/>
              <w:rPr>
                <w:rFonts w:hint="eastAsia" w:ascii="宋体" w:hAnsi="宋体" w:eastAsia="宋体" w:cs="宋体"/>
                <w:sz w:val="20"/>
                <w:szCs w:val="20"/>
              </w:rPr>
            </w:pPr>
            <w:r>
              <w:rPr>
                <w:rFonts w:hint="eastAsia" w:ascii="宋体" w:hAnsi="宋体" w:eastAsia="宋体" w:cs="宋体"/>
                <w:sz w:val="20"/>
                <w:szCs w:val="20"/>
              </w:rPr>
              <w:t>从中华人民共和国关境内提供的货物</w:t>
            </w:r>
            <w:r>
              <w:rPr>
                <w:rFonts w:hint="eastAsia" w:ascii="宋体" w:hAnsi="宋体" w:eastAsia="宋体" w:cs="宋体"/>
                <w:sz w:val="20"/>
                <w:szCs w:val="20"/>
                <w:lang w:eastAsia="zh-CN"/>
              </w:rPr>
              <w:t>，</w:t>
            </w:r>
            <w:r>
              <w:rPr>
                <w:rFonts w:hint="eastAsia" w:ascii="宋体" w:hAnsi="宋体" w:eastAsia="宋体" w:cs="宋体"/>
                <w:sz w:val="20"/>
                <w:szCs w:val="20"/>
              </w:rPr>
              <w:t>包括关境内制造的货物</w:t>
            </w:r>
            <w:r>
              <w:rPr>
                <w:rFonts w:hint="eastAsia" w:ascii="宋体" w:hAnsi="宋体" w:eastAsia="宋体" w:cs="宋体"/>
                <w:sz w:val="20"/>
                <w:szCs w:val="20"/>
                <w:lang w:eastAsia="zh-CN"/>
              </w:rPr>
              <w:t>：</w:t>
            </w:r>
            <w:r>
              <w:rPr>
                <w:rFonts w:hint="eastAsia" w:ascii="宋体" w:hAnsi="宋体" w:eastAsia="宋体" w:cs="宋体"/>
                <w:sz w:val="20"/>
                <w:szCs w:val="20"/>
              </w:rPr>
              <w:t>以货物到达</w:t>
            </w:r>
            <w:r>
              <w:rPr>
                <w:rFonts w:hint="eastAsia" w:ascii="宋体" w:hAnsi="宋体" w:eastAsia="宋体" w:cs="宋体"/>
                <w:sz w:val="20"/>
                <w:szCs w:val="20"/>
                <w:lang w:eastAsia="zh-CN"/>
              </w:rPr>
              <w:t>采购人指定地点（广东省佛山市季华实验室）</w:t>
            </w:r>
            <w:r>
              <w:rPr>
                <w:rFonts w:hint="eastAsia" w:ascii="宋体" w:hAnsi="宋体" w:eastAsia="宋体" w:cs="宋体"/>
                <w:sz w:val="20"/>
                <w:szCs w:val="20"/>
              </w:rPr>
              <w:t>作为交货之日，以开箱验收单上到货日期为准；以《技术验收单》最后签字之日作为货物验收合格之日，开始计算质保期。</w:t>
            </w:r>
          </w:p>
          <w:p w14:paraId="76A0AD80">
            <w:pPr>
              <w:pStyle w:val="33"/>
              <w:jc w:val="left"/>
              <w:rPr>
                <w:rFonts w:hint="eastAsia" w:ascii="宋体" w:hAnsi="宋体" w:eastAsia="宋体" w:cs="宋体"/>
                <w:sz w:val="20"/>
                <w:szCs w:val="20"/>
              </w:rPr>
            </w:pPr>
            <w:r>
              <w:rPr>
                <w:rFonts w:hint="eastAsia" w:ascii="宋体" w:hAnsi="宋体" w:eastAsia="宋体" w:cs="宋体"/>
                <w:sz w:val="20"/>
                <w:szCs w:val="20"/>
              </w:rPr>
              <w:t>1.质量保证期：设备验收合格后≥1年。质量保证期内，如出现质量问题，中标人承担因此所造成的所有费用。质量保证期满后，中标人承诺以最优价格提供终身有偿维修服务。在保修期内设备如果出现问题，中标人应在接到用户要求24小时内给予响应，一般问题应在48小时内解决，重大问题或其他无法迅速解决的问题应在一周内解决或提出明确解决方案。</w:t>
            </w:r>
          </w:p>
          <w:p w14:paraId="4BC25661">
            <w:pPr>
              <w:pStyle w:val="33"/>
              <w:jc w:val="left"/>
              <w:rPr>
                <w:rFonts w:hint="eastAsia" w:ascii="宋体" w:hAnsi="宋体" w:eastAsia="宋体" w:cs="宋体"/>
                <w:sz w:val="20"/>
                <w:szCs w:val="20"/>
              </w:rPr>
            </w:pPr>
            <w:r>
              <w:rPr>
                <w:rFonts w:hint="eastAsia" w:ascii="宋体" w:hAnsi="宋体" w:eastAsia="宋体" w:cs="宋体"/>
                <w:sz w:val="20"/>
                <w:szCs w:val="20"/>
              </w:rPr>
              <w:t>2.质量保证期自双方在货物的技术验收单上签字且加盖公章之日起计算。质量保证期内中标人对所供货物实行包修、包换、包退、包维护保养，保修期后设备维修配件更换只收取成本费用。质保期后中标人应对设备提供终身优惠的技术服务和备件供应。</w:t>
            </w:r>
          </w:p>
          <w:p w14:paraId="66836C7C">
            <w:pPr>
              <w:pStyle w:val="33"/>
              <w:jc w:val="left"/>
              <w:rPr>
                <w:rFonts w:hint="eastAsia" w:ascii="宋体" w:hAnsi="宋体" w:eastAsia="宋体" w:cs="宋体"/>
                <w:sz w:val="20"/>
                <w:szCs w:val="20"/>
              </w:rPr>
            </w:pPr>
            <w:r>
              <w:rPr>
                <w:rFonts w:hint="eastAsia" w:ascii="宋体" w:hAnsi="宋体" w:eastAsia="宋体" w:cs="宋体"/>
                <w:sz w:val="20"/>
                <w:szCs w:val="20"/>
              </w:rPr>
              <w:t>3.质量保证期内，如设备或零部件因非人为因素出现故障而造成短期停用时，则质量保证期相应顺延。如停用时间累计超过60天则质量保证期重新计算。</w:t>
            </w:r>
          </w:p>
          <w:p w14:paraId="23AA0E53">
            <w:pPr>
              <w:pStyle w:val="33"/>
              <w:jc w:val="left"/>
              <w:rPr>
                <w:rFonts w:hint="eastAsia" w:ascii="宋体" w:hAnsi="宋体" w:eastAsia="宋体" w:cs="宋体"/>
                <w:sz w:val="20"/>
                <w:szCs w:val="20"/>
              </w:rPr>
            </w:pPr>
            <w:r>
              <w:rPr>
                <w:rFonts w:hint="eastAsia" w:ascii="宋体" w:hAnsi="宋体" w:eastAsia="宋体" w:cs="宋体"/>
                <w:sz w:val="20"/>
                <w:szCs w:val="20"/>
              </w:rPr>
              <w:t>4.在质量保证期内，如货品非因采购人的人为原因而出现的问题由中标人负责保修、包换或包退，并承担修理、调换或退货的实际费用。</w:t>
            </w:r>
          </w:p>
          <w:p w14:paraId="24BC6181">
            <w:pPr>
              <w:pStyle w:val="33"/>
              <w:jc w:val="left"/>
              <w:rPr>
                <w:rFonts w:hint="eastAsia" w:ascii="宋体" w:hAnsi="宋体" w:eastAsia="宋体" w:cs="宋体"/>
                <w:sz w:val="20"/>
                <w:szCs w:val="20"/>
              </w:rPr>
            </w:pPr>
            <w:r>
              <w:rPr>
                <w:rFonts w:hint="eastAsia" w:ascii="宋体" w:hAnsi="宋体" w:eastAsia="宋体" w:cs="宋体"/>
                <w:sz w:val="20"/>
                <w:szCs w:val="20"/>
              </w:rPr>
              <w:t>5.质量保证期内，中标人负责对其提供的货物整机进行维修和系统维护，不再收取任何费用，但非中标人责任的人为因素、自然因素（如火灾、雷击等）造成的故障除外。</w:t>
            </w:r>
          </w:p>
          <w:p w14:paraId="1829A583">
            <w:pPr>
              <w:pStyle w:val="33"/>
              <w:jc w:val="left"/>
              <w:rPr>
                <w:rFonts w:hint="eastAsia" w:ascii="宋体" w:hAnsi="宋体" w:eastAsia="宋体" w:cs="宋体"/>
                <w:sz w:val="20"/>
                <w:szCs w:val="20"/>
              </w:rPr>
            </w:pPr>
            <w:r>
              <w:rPr>
                <w:rFonts w:hint="eastAsia" w:ascii="宋体" w:hAnsi="宋体" w:eastAsia="宋体" w:cs="宋体"/>
                <w:sz w:val="20"/>
                <w:szCs w:val="20"/>
              </w:rPr>
              <w:t>6.质量保证期间，同一硬件一个月内连续2次出现同一故障，中标人须无偿更换同一档次货物。</w:t>
            </w:r>
          </w:p>
          <w:p w14:paraId="13E1A19A">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7.保修期内或保修期外在不涉及仪器硬件升级的条件下，中标人提供软件升级服务，所需费用包含在报价中，质保期后设备维修对配件更换只收取成本费用，服务费按最优价格收取。质保期内出现技术标准更新的，中标人应免费提供新版技术资料并负责相应升级改造。</w:t>
            </w:r>
          </w:p>
        </w:tc>
      </w:tr>
      <w:tr w14:paraId="614A0F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7F11AABE">
            <w:pPr>
              <w:pStyle w:val="33"/>
              <w:ind w:left="0" w:leftChars="0" w:right="0" w:rightChars="0"/>
              <w:jc w:val="left"/>
            </w:pPr>
            <w:r>
              <w:rPr>
                <w:rFonts w:hint="eastAsia" w:ascii="宋体" w:hAnsi="宋体" w:eastAsia="宋体" w:cs="宋体"/>
                <w:sz w:val="20"/>
                <w:szCs w:val="20"/>
              </w:rPr>
              <w:t>★</w:t>
            </w:r>
            <w:r>
              <w:t>不可抗力</w:t>
            </w:r>
          </w:p>
        </w:tc>
        <w:tc>
          <w:tcPr>
            <w:tcW w:w="3714" w:type="pct"/>
            <w:vAlign w:val="top"/>
          </w:tcPr>
          <w:p w14:paraId="32382DED">
            <w:pPr>
              <w:pStyle w:val="33"/>
              <w:jc w:val="left"/>
              <w:rPr>
                <w:rFonts w:hint="eastAsia" w:ascii="宋体" w:hAnsi="宋体" w:eastAsia="宋体" w:cs="宋体"/>
                <w:sz w:val="20"/>
                <w:szCs w:val="20"/>
              </w:rPr>
            </w:pPr>
            <w:r>
              <w:rPr>
                <w:rFonts w:hint="eastAsia" w:ascii="宋体" w:hAnsi="宋体" w:eastAsia="宋体" w:cs="宋体"/>
                <w:sz w:val="20"/>
                <w:szCs w:val="20"/>
              </w:rPr>
              <w:t>1.“不可抗力”系指在缔结合同时无法预见、在执行合同中无法避免、无法控制、不能克服的客观情况，这些事件包括但不限于：洪水、火灾、地震、罢工、战争、流行病、防疫限制和禁运等。</w:t>
            </w:r>
          </w:p>
          <w:p w14:paraId="6ED545D1">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2.遭受不可抗力事件的一方应在事件发生后 48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tc>
      </w:tr>
      <w:tr w14:paraId="70227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7179F15A">
            <w:pPr>
              <w:pStyle w:val="33"/>
              <w:ind w:left="0" w:leftChars="0" w:right="0" w:rightChars="0"/>
              <w:jc w:val="left"/>
            </w:pPr>
            <w:r>
              <w:rPr>
                <w:rFonts w:hint="eastAsia" w:ascii="宋体" w:hAnsi="宋体" w:eastAsia="宋体" w:cs="宋体"/>
                <w:sz w:val="20"/>
                <w:szCs w:val="20"/>
              </w:rPr>
              <w:t>★</w:t>
            </w:r>
            <w:r>
              <w:t>违约责任与赔偿损失</w:t>
            </w:r>
          </w:p>
        </w:tc>
        <w:tc>
          <w:tcPr>
            <w:tcW w:w="3714" w:type="pct"/>
            <w:vAlign w:val="top"/>
          </w:tcPr>
          <w:p w14:paraId="3AB00569">
            <w:pPr>
              <w:pStyle w:val="33"/>
              <w:jc w:val="left"/>
              <w:rPr>
                <w:rFonts w:hint="eastAsia" w:ascii="宋体" w:hAnsi="宋体" w:eastAsia="宋体" w:cs="宋体"/>
                <w:sz w:val="20"/>
                <w:szCs w:val="20"/>
              </w:rPr>
            </w:pPr>
            <w:r>
              <w:rPr>
                <w:rFonts w:hint="eastAsia" w:ascii="宋体" w:hAnsi="宋体" w:eastAsia="宋体" w:cs="宋体"/>
                <w:sz w:val="20"/>
                <w:szCs w:val="20"/>
              </w:rPr>
              <w:t>1.本项目货物视为整体，货物的任何部分迟延交付，违约金均应以合同总价作基数计算，即使其对本项目货物的安装、验收、使用等不构成任何影响。</w:t>
            </w:r>
          </w:p>
          <w:p w14:paraId="051E0C6D">
            <w:pPr>
              <w:pStyle w:val="33"/>
              <w:jc w:val="left"/>
              <w:rPr>
                <w:rFonts w:hint="eastAsia" w:ascii="宋体" w:hAnsi="宋体" w:eastAsia="宋体" w:cs="宋体"/>
                <w:sz w:val="20"/>
                <w:szCs w:val="20"/>
              </w:rPr>
            </w:pPr>
            <w:r>
              <w:rPr>
                <w:rFonts w:hint="eastAsia" w:ascii="宋体" w:hAnsi="宋体" w:eastAsia="宋体" w:cs="宋体"/>
                <w:sz w:val="20"/>
                <w:szCs w:val="20"/>
              </w:rPr>
              <w:t>2.如果中标人未能按合同约定按时交付货物/服务/配套资料或未能按合同约定按时安装调试的，除本招标文件规定的不可抗力原因外，中标人同意向采购人支付延迟交货违约金，采购人同意延期收货，同时并不免除中标人的交货义务。违约金比例为每7日千分之五，不足7天以7天计，但不超过迟交货物总值的百分之五。采购人有权直接从应付给中标人的合同款项中扣除该违约金。若逾期交货超过4周，采购人有权选择单方解除合同，相关违约损失由中标人承担。如信用证付款方式，则中标人同意违约金由议付行在议付验收款中扣除。如果由于采购人原因导致延迟交货违约的发生，则中标人免责。</w:t>
            </w:r>
          </w:p>
          <w:p w14:paraId="7ECCFA96">
            <w:pPr>
              <w:pStyle w:val="33"/>
              <w:jc w:val="left"/>
              <w:rPr>
                <w:rFonts w:hint="eastAsia" w:ascii="宋体" w:hAnsi="宋体" w:eastAsia="宋体" w:cs="宋体"/>
                <w:sz w:val="20"/>
                <w:szCs w:val="20"/>
              </w:rPr>
            </w:pPr>
            <w:r>
              <w:rPr>
                <w:rFonts w:hint="eastAsia" w:ascii="宋体" w:hAnsi="宋体" w:eastAsia="宋体" w:cs="宋体"/>
                <w:sz w:val="20"/>
                <w:szCs w:val="20"/>
              </w:rPr>
              <w:t>3.如采购人无正当理由拒收货物，应向中标人支付拒收货物金额百分之三的违约金。</w:t>
            </w:r>
          </w:p>
          <w:p w14:paraId="6CCB0BEC">
            <w:pPr>
              <w:pStyle w:val="33"/>
              <w:jc w:val="left"/>
              <w:rPr>
                <w:rFonts w:hint="eastAsia" w:ascii="宋体" w:hAnsi="宋体" w:eastAsia="宋体" w:cs="宋体"/>
                <w:sz w:val="20"/>
                <w:szCs w:val="20"/>
              </w:rPr>
            </w:pPr>
            <w:r>
              <w:rPr>
                <w:rFonts w:hint="eastAsia" w:ascii="宋体" w:hAnsi="宋体" w:eastAsia="宋体" w:cs="宋体"/>
                <w:sz w:val="20"/>
                <w:szCs w:val="20"/>
              </w:rPr>
              <w:t>4.采购人应按合同约定支付货款，不得拒付、拖欠，否则因延期付款产生的后果由采购人承担。如采购人无正当理由自验收合格之日起超60日逾期付款的，每逾期一天应计付应付而未付价款的万分之三的违约金，最高不超过相应价款的百分之五。</w:t>
            </w:r>
          </w:p>
          <w:p w14:paraId="6AB2BBB7">
            <w:pPr>
              <w:pStyle w:val="33"/>
              <w:jc w:val="left"/>
              <w:rPr>
                <w:rFonts w:hint="eastAsia" w:ascii="宋体" w:hAnsi="宋体" w:eastAsia="宋体" w:cs="宋体"/>
                <w:sz w:val="20"/>
                <w:szCs w:val="20"/>
              </w:rPr>
            </w:pPr>
            <w:r>
              <w:rPr>
                <w:rFonts w:hint="eastAsia" w:ascii="宋体" w:hAnsi="宋体" w:eastAsia="宋体" w:cs="宋体"/>
                <w:sz w:val="20"/>
                <w:szCs w:val="20"/>
              </w:rPr>
              <w:t>5.有下列情形之一，采购人有权解除合同，中标人需在合同解除之日起10个工作日内，退还采购人所支付全部合同款项，并按合同总价的百分之五向采购人支付违约金：</w:t>
            </w:r>
          </w:p>
          <w:p w14:paraId="401287A8">
            <w:pPr>
              <w:pStyle w:val="33"/>
              <w:jc w:val="left"/>
              <w:rPr>
                <w:rFonts w:hint="eastAsia" w:ascii="宋体" w:hAnsi="宋体" w:eastAsia="宋体" w:cs="宋体"/>
                <w:sz w:val="20"/>
                <w:szCs w:val="20"/>
              </w:rPr>
            </w:pPr>
            <w:r>
              <w:rPr>
                <w:rFonts w:hint="eastAsia" w:ascii="宋体" w:hAnsi="宋体" w:eastAsia="宋体" w:cs="宋体"/>
                <w:sz w:val="20"/>
                <w:szCs w:val="20"/>
              </w:rPr>
              <w:t>（1）中标人逾期交付关键货物超过4周或其他货物/服务/配套资料超过10周；</w:t>
            </w:r>
          </w:p>
          <w:p w14:paraId="1A506BDC">
            <w:pPr>
              <w:pStyle w:val="33"/>
              <w:jc w:val="left"/>
              <w:rPr>
                <w:rFonts w:hint="eastAsia" w:ascii="宋体" w:hAnsi="宋体" w:eastAsia="宋体" w:cs="宋体"/>
                <w:sz w:val="20"/>
                <w:szCs w:val="20"/>
              </w:rPr>
            </w:pPr>
            <w:r>
              <w:rPr>
                <w:rFonts w:hint="eastAsia" w:ascii="宋体" w:hAnsi="宋体" w:eastAsia="宋体" w:cs="宋体"/>
                <w:sz w:val="20"/>
                <w:szCs w:val="20"/>
              </w:rPr>
              <w:t>（2）中标人在本合同项下提供的货物/服务/配套资料有权利瑕疵，货物被依法查处、查封、罚没的，或因权利瑕疵导致采购人无法实现合同目的、遭受第三方追责的；</w:t>
            </w:r>
          </w:p>
          <w:p w14:paraId="65BAFE31">
            <w:pPr>
              <w:pStyle w:val="33"/>
              <w:jc w:val="left"/>
              <w:rPr>
                <w:rFonts w:hint="eastAsia" w:ascii="宋体" w:hAnsi="宋体" w:eastAsia="宋体" w:cs="宋体"/>
                <w:sz w:val="20"/>
                <w:szCs w:val="20"/>
              </w:rPr>
            </w:pPr>
            <w:r>
              <w:rPr>
                <w:rFonts w:hint="eastAsia" w:ascii="宋体" w:hAnsi="宋体" w:eastAsia="宋体" w:cs="宋体"/>
                <w:sz w:val="20"/>
                <w:szCs w:val="20"/>
              </w:rPr>
              <w:t>（3）提供的货物/服务/配套资料不符合本合同规定的。</w:t>
            </w:r>
          </w:p>
          <w:p w14:paraId="624CF92D">
            <w:pPr>
              <w:pStyle w:val="33"/>
              <w:jc w:val="left"/>
              <w:rPr>
                <w:rFonts w:hint="eastAsia" w:ascii="宋体" w:hAnsi="宋体" w:eastAsia="宋体" w:cs="宋体"/>
                <w:sz w:val="20"/>
                <w:szCs w:val="20"/>
              </w:rPr>
            </w:pPr>
            <w:r>
              <w:rPr>
                <w:rFonts w:hint="eastAsia" w:ascii="宋体" w:hAnsi="宋体" w:eastAsia="宋体" w:cs="宋体"/>
                <w:sz w:val="20"/>
                <w:szCs w:val="20"/>
              </w:rPr>
              <w:t>6.采购人发出中标通知书后20日内，中标人拒绝签订正式书面合同的，采购人有权按中标金额总价的百分之五向中标人要求支付违约金。</w:t>
            </w:r>
          </w:p>
          <w:p w14:paraId="014EC33B">
            <w:pPr>
              <w:pStyle w:val="33"/>
              <w:jc w:val="left"/>
              <w:rPr>
                <w:rFonts w:hint="eastAsia" w:ascii="宋体" w:hAnsi="宋体" w:eastAsia="宋体" w:cs="宋体"/>
                <w:sz w:val="20"/>
                <w:szCs w:val="20"/>
              </w:rPr>
            </w:pPr>
            <w:r>
              <w:rPr>
                <w:rFonts w:hint="eastAsia" w:ascii="宋体" w:hAnsi="宋体" w:eastAsia="宋体" w:cs="宋体"/>
                <w:sz w:val="20"/>
                <w:szCs w:val="20"/>
              </w:rPr>
              <w:t>7.合同款项的支付完毕并不意味着合同权利义务履行的结束，中标人仍需按合同要求做好质量保证及售后服务工作，如中标人违反合同相关规定，需缴纳违约金，违约金金额为合同总额的百分之五，中标人需在违约行为发生之日起三日内向采购人支付违约金。</w:t>
            </w:r>
          </w:p>
          <w:p w14:paraId="4A6C02A9">
            <w:pPr>
              <w:pStyle w:val="33"/>
              <w:jc w:val="left"/>
              <w:rPr>
                <w:rFonts w:hint="eastAsia" w:ascii="宋体" w:hAnsi="宋体" w:eastAsia="宋体" w:cs="宋体"/>
                <w:sz w:val="20"/>
                <w:szCs w:val="20"/>
              </w:rPr>
            </w:pPr>
            <w:r>
              <w:rPr>
                <w:rFonts w:hint="eastAsia" w:ascii="宋体" w:hAnsi="宋体" w:eastAsia="宋体" w:cs="宋体"/>
                <w:sz w:val="20"/>
                <w:szCs w:val="20"/>
              </w:rPr>
              <w:t>8.除不可抗力原因外，任何一方如造成合同无法继续履行时，应尽早通知其他两方，并商议签署合同终止协议，责任方需赔偿对方由此造成的全部经济损失。</w:t>
            </w:r>
          </w:p>
          <w:p w14:paraId="765BB5AF">
            <w:pPr>
              <w:pStyle w:val="33"/>
              <w:jc w:val="left"/>
              <w:rPr>
                <w:rFonts w:hint="eastAsia" w:ascii="宋体" w:hAnsi="宋体" w:eastAsia="宋体" w:cs="宋体"/>
                <w:sz w:val="20"/>
                <w:szCs w:val="20"/>
              </w:rPr>
            </w:pPr>
            <w:r>
              <w:rPr>
                <w:rFonts w:hint="eastAsia" w:ascii="宋体" w:hAnsi="宋体" w:eastAsia="宋体" w:cs="宋体"/>
                <w:sz w:val="20"/>
                <w:szCs w:val="20"/>
              </w:rPr>
              <w:t>9.采购人中标人双方承诺本合同内容及采购人科研数据、技术参数等商业秘密不得向第三方透露，双方均负有为对方保密的义务。双方签订的技术协议与合同具有同等法律效力。如违反保密义务的，违约方须向守约方支付违约赔偿金，金额以实际损失为基础，不超过合同总额双倍。若违约金明显高于实际损失，守约方有权请求适当减少。</w:t>
            </w:r>
          </w:p>
          <w:p w14:paraId="6ED37EE9">
            <w:pPr>
              <w:pStyle w:val="33"/>
              <w:jc w:val="left"/>
              <w:rPr>
                <w:rFonts w:hint="eastAsia" w:ascii="宋体" w:hAnsi="宋体" w:eastAsia="宋体" w:cs="宋体"/>
                <w:sz w:val="20"/>
                <w:szCs w:val="20"/>
              </w:rPr>
            </w:pPr>
            <w:r>
              <w:rPr>
                <w:rFonts w:hint="eastAsia" w:ascii="宋体" w:hAnsi="宋体" w:eastAsia="宋体" w:cs="宋体"/>
                <w:sz w:val="20"/>
                <w:szCs w:val="20"/>
              </w:rPr>
              <w:t>10.合同任何一方如严重违反合同条款，则其他方有权终止合同。</w:t>
            </w:r>
          </w:p>
          <w:p w14:paraId="7D37B6F9">
            <w:pPr>
              <w:pStyle w:val="33"/>
              <w:jc w:val="left"/>
              <w:rPr>
                <w:rFonts w:hint="eastAsia" w:ascii="宋体" w:hAnsi="宋体" w:eastAsia="宋体" w:cs="宋体"/>
                <w:sz w:val="20"/>
                <w:szCs w:val="20"/>
              </w:rPr>
            </w:pPr>
            <w:r>
              <w:rPr>
                <w:rFonts w:hint="eastAsia" w:ascii="宋体" w:hAnsi="宋体" w:eastAsia="宋体" w:cs="宋体"/>
                <w:sz w:val="20"/>
                <w:szCs w:val="20"/>
              </w:rPr>
              <w:t>11.其它违约责任按《中华人民共和国民法典》处理。中标人如因违约导致采购人遭受损失的，采购人有权从应付款项中直接扣除相关赔偿金额。采购人有权依据政府采购相关规定对中标人不良行为进行记录并向有关部门报告。</w:t>
            </w:r>
          </w:p>
          <w:p w14:paraId="514CE07C">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12.设备涉及数据采集功能的，中标人应提供数据本地化存储方案，不得预设任何境外数据传输通道。</w:t>
            </w:r>
          </w:p>
        </w:tc>
      </w:tr>
      <w:tr w14:paraId="5F5A9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5" w:type="pct"/>
            <w:vAlign w:val="top"/>
          </w:tcPr>
          <w:p w14:paraId="70853360">
            <w:pPr>
              <w:pStyle w:val="33"/>
              <w:ind w:left="0" w:leftChars="0" w:right="0" w:rightChars="0"/>
              <w:jc w:val="left"/>
            </w:pPr>
            <w:r>
              <w:rPr>
                <w:rFonts w:hint="eastAsia" w:ascii="宋体" w:hAnsi="宋体" w:eastAsia="宋体" w:cs="宋体"/>
                <w:sz w:val="20"/>
                <w:szCs w:val="20"/>
              </w:rPr>
              <w:t>★</w:t>
            </w:r>
            <w:r>
              <w:t>知识产权</w:t>
            </w:r>
          </w:p>
        </w:tc>
        <w:tc>
          <w:tcPr>
            <w:tcW w:w="3714" w:type="pct"/>
            <w:vAlign w:val="top"/>
          </w:tcPr>
          <w:p w14:paraId="4AADE2F4">
            <w:pPr>
              <w:pStyle w:val="33"/>
              <w:jc w:val="left"/>
              <w:rPr>
                <w:rFonts w:hint="eastAsia" w:ascii="宋体" w:hAnsi="宋体" w:eastAsia="宋体" w:cs="宋体"/>
                <w:sz w:val="20"/>
                <w:szCs w:val="20"/>
              </w:rPr>
            </w:pPr>
            <w:r>
              <w:rPr>
                <w:rFonts w:hint="eastAsia" w:ascii="宋体" w:hAnsi="宋体" w:eastAsia="宋体" w:cs="宋体"/>
                <w:sz w:val="20"/>
                <w:szCs w:val="20"/>
              </w:rPr>
              <w:t>1.中标人应保证向采购人销售的本</w:t>
            </w:r>
            <w:r>
              <w:rPr>
                <w:rFonts w:hint="eastAsia" w:ascii="宋体" w:hAnsi="宋体" w:eastAsia="宋体" w:cs="宋体"/>
                <w:sz w:val="20"/>
                <w:szCs w:val="20"/>
                <w:lang w:val="en-US" w:eastAsia="zh-CN"/>
              </w:rPr>
              <w:t>项目</w:t>
            </w:r>
            <w:r>
              <w:rPr>
                <w:rFonts w:hint="eastAsia" w:ascii="宋体" w:hAnsi="宋体" w:eastAsia="宋体" w:cs="宋体"/>
                <w:sz w:val="20"/>
                <w:szCs w:val="20"/>
              </w:rPr>
              <w:t>的货物或其任何部分不侵犯任何第三方知识产权，并保证采购人购买和正常使用货物过程中免受第三方就知识产权侵权提出的任何纠纷、制裁、索赔或起诉。</w:t>
            </w:r>
          </w:p>
          <w:p w14:paraId="4F2CC2EE">
            <w:pPr>
              <w:pStyle w:val="33"/>
              <w:jc w:val="left"/>
              <w:rPr>
                <w:rFonts w:hint="eastAsia" w:ascii="宋体" w:hAnsi="宋体" w:eastAsia="宋体" w:cs="宋体"/>
                <w:sz w:val="20"/>
                <w:szCs w:val="20"/>
              </w:rPr>
            </w:pPr>
            <w:r>
              <w:rPr>
                <w:rFonts w:hint="eastAsia" w:ascii="宋体" w:hAnsi="宋体" w:eastAsia="宋体" w:cs="宋体"/>
                <w:sz w:val="20"/>
                <w:szCs w:val="20"/>
              </w:rPr>
              <w:t>2.采购人不对供方提供的货物是否侵犯他人权利负责，如因供方提供的货物因任何知识产权问题给采购人造成损失的，无论是执行合同期间或合同到期后的任何时间，中标人均应负责解决纠纷</w:t>
            </w:r>
            <w:r>
              <w:rPr>
                <w:rFonts w:hint="eastAsia" w:ascii="宋体" w:hAnsi="宋体" w:eastAsia="宋体" w:cs="宋体"/>
                <w:sz w:val="20"/>
                <w:szCs w:val="20"/>
                <w:lang w:eastAsia="zh-CN"/>
              </w:rPr>
              <w:t>，</w:t>
            </w:r>
            <w:r>
              <w:rPr>
                <w:rFonts w:hint="eastAsia" w:ascii="宋体" w:hAnsi="宋体" w:eastAsia="宋体" w:cs="宋体"/>
                <w:sz w:val="20"/>
                <w:szCs w:val="20"/>
              </w:rPr>
              <w:t>并按采购人损失金额的1.5倍进行赔偿。</w:t>
            </w:r>
          </w:p>
          <w:p w14:paraId="2FC7A259">
            <w:pPr>
              <w:pStyle w:val="33"/>
              <w:ind w:left="0" w:leftChars="0" w:right="0" w:rightChars="0"/>
              <w:jc w:val="left"/>
              <w:rPr>
                <w:rFonts w:hint="eastAsia" w:ascii="宋体" w:hAnsi="宋体" w:eastAsia="宋体" w:cs="宋体"/>
                <w:sz w:val="20"/>
                <w:szCs w:val="20"/>
                <w:lang w:val="en-US" w:eastAsia="zh-CN"/>
              </w:rPr>
            </w:pPr>
            <w:r>
              <w:rPr>
                <w:rFonts w:hint="eastAsia" w:ascii="宋体" w:hAnsi="宋体" w:eastAsia="宋体" w:cs="宋体"/>
                <w:sz w:val="20"/>
                <w:szCs w:val="20"/>
              </w:rPr>
              <w:t>3.对于货物的知识产权非中标人所有的，中标人应于签约前向采购人提供货物的正规销售授权文件。授权文件应真实、合法、有效，且授权范围覆盖本合同项下全部货物及服务。</w:t>
            </w:r>
          </w:p>
        </w:tc>
      </w:tr>
    </w:tbl>
    <w:p w14:paraId="60B290BA">
      <w:pPr>
        <w:rPr>
          <w:sz w:val="21"/>
          <w:szCs w:val="21"/>
        </w:rPr>
      </w:pPr>
    </w:p>
    <w:sectPr>
      <w:pgSz w:w="11906" w:h="16838"/>
      <w:pgMar w:top="1276" w:right="1170" w:bottom="156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EFBDACD875-Roman">
    <w:altName w:val="Times New Roman"/>
    <w:panose1 w:val="00000000000000000000"/>
    <w:charset w:val="00"/>
    <w:family w:val="roman"/>
    <w:pitch w:val="default"/>
    <w:sig w:usb0="00000000" w:usb1="00000000" w:usb2="00000000" w:usb3="00000000" w:csb0="00000000" w:csb1="00000000"/>
  </w:font>
  <w:font w:name="FEF9B83B7D0-Roman">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97EA76"/>
    <w:multiLevelType w:val="singleLevel"/>
    <w:tmpl w:val="F597EA76"/>
    <w:lvl w:ilvl="0" w:tentative="0">
      <w:start w:val="1"/>
      <w:numFmt w:val="decimal"/>
      <w:lvlText w:val="(%1)"/>
      <w:lvlJc w:val="left"/>
      <w:pPr>
        <w:ind w:left="425" w:hanging="425"/>
      </w:pPr>
      <w:rPr>
        <w:rFonts w:hint="default" w:ascii="宋体" w:hAnsi="宋体" w:eastAsia="宋体" w:cs="宋体"/>
      </w:rPr>
    </w:lvl>
  </w:abstractNum>
  <w:abstractNum w:abstractNumId="1">
    <w:nsid w:val="2D66EEF5"/>
    <w:multiLevelType w:val="singleLevel"/>
    <w:tmpl w:val="2D66EEF5"/>
    <w:lvl w:ilvl="0" w:tentative="0">
      <w:start w:val="1"/>
      <w:numFmt w:val="decimal"/>
      <w:lvlText w:val="(%1)"/>
      <w:lvlJc w:val="left"/>
      <w:pPr>
        <w:ind w:left="425" w:hanging="425"/>
      </w:pPr>
      <w:rPr>
        <w:rFonts w:hint="default" w:ascii="宋体" w:hAnsi="宋体" w:eastAsia="宋体" w:cs="宋体"/>
      </w:rPr>
    </w:lvl>
  </w:abstractNum>
  <w:abstractNum w:abstractNumId="2">
    <w:nsid w:val="3F2AEFC4"/>
    <w:multiLevelType w:val="singleLevel"/>
    <w:tmpl w:val="3F2AEFC4"/>
    <w:lvl w:ilvl="0" w:tentative="0">
      <w:start w:val="2"/>
      <w:numFmt w:val="decimal"/>
      <w:suff w:val="space"/>
      <w:lvlText w:val="%1."/>
      <w:lvlJc w:val="left"/>
    </w:lvl>
  </w:abstractNum>
  <w:abstractNum w:abstractNumId="3">
    <w:nsid w:val="401EE38D"/>
    <w:multiLevelType w:val="singleLevel"/>
    <w:tmpl w:val="401EE38D"/>
    <w:lvl w:ilvl="0" w:tentative="0">
      <w:start w:val="1"/>
      <w:numFmt w:val="decimal"/>
      <w:lvlText w:val="(%1)"/>
      <w:lvlJc w:val="left"/>
      <w:pPr>
        <w:ind w:left="425" w:hanging="425"/>
      </w:pPr>
      <w:rPr>
        <w:rFonts w:hint="default" w:ascii="宋体" w:hAnsi="宋体" w:eastAsia="宋体" w:cs="宋体"/>
      </w:rPr>
    </w:lvl>
  </w:abstractNum>
  <w:abstractNum w:abstractNumId="4">
    <w:nsid w:val="4049A348"/>
    <w:multiLevelType w:val="singleLevel"/>
    <w:tmpl w:val="4049A348"/>
    <w:lvl w:ilvl="0" w:tentative="0">
      <w:start w:val="1"/>
      <w:numFmt w:val="decimal"/>
      <w:lvlText w:val="(%1)"/>
      <w:lvlJc w:val="left"/>
      <w:pPr>
        <w:ind w:left="425" w:hanging="425"/>
      </w:pPr>
      <w:rPr>
        <w:rFonts w:hint="default" w:ascii="宋体" w:hAnsi="宋体" w:eastAsia="宋体" w:cs="宋体"/>
      </w:rPr>
    </w:lvl>
  </w:abstractNum>
  <w:abstractNum w:abstractNumId="5">
    <w:nsid w:val="4692708E"/>
    <w:multiLevelType w:val="singleLevel"/>
    <w:tmpl w:val="4692708E"/>
    <w:lvl w:ilvl="0" w:tentative="0">
      <w:start w:val="1"/>
      <w:numFmt w:val="decimal"/>
      <w:lvlText w:val="%1."/>
      <w:lvlJc w:val="left"/>
      <w:pPr>
        <w:ind w:left="425" w:hanging="425"/>
      </w:pPr>
      <w:rPr>
        <w:rFonts w:hint="default"/>
      </w:rPr>
    </w:lvl>
  </w:abstractNum>
  <w:abstractNum w:abstractNumId="6">
    <w:nsid w:val="6860726B"/>
    <w:multiLevelType w:val="multilevel"/>
    <w:tmpl w:val="6860726B"/>
    <w:lvl w:ilvl="0" w:tentative="0">
      <w:start w:val="1"/>
      <w:numFmt w:val="chineseCountingThousand"/>
      <w:pStyle w:val="1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2"/>
  </w:num>
  <w:num w:numId="3">
    <w:abstractNumId w:val="3"/>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1D"/>
    <w:rsid w:val="000003F0"/>
    <w:rsid w:val="00000BBF"/>
    <w:rsid w:val="00001627"/>
    <w:rsid w:val="00001973"/>
    <w:rsid w:val="00001E41"/>
    <w:rsid w:val="00001F42"/>
    <w:rsid w:val="00005FD2"/>
    <w:rsid w:val="00006E57"/>
    <w:rsid w:val="0001069F"/>
    <w:rsid w:val="000122E3"/>
    <w:rsid w:val="00012722"/>
    <w:rsid w:val="00015B12"/>
    <w:rsid w:val="00016352"/>
    <w:rsid w:val="000166E0"/>
    <w:rsid w:val="00020EF2"/>
    <w:rsid w:val="000214EB"/>
    <w:rsid w:val="00021C02"/>
    <w:rsid w:val="00021D31"/>
    <w:rsid w:val="00022AE0"/>
    <w:rsid w:val="00022BF4"/>
    <w:rsid w:val="0002312D"/>
    <w:rsid w:val="00023DE8"/>
    <w:rsid w:val="000244C3"/>
    <w:rsid w:val="000304BD"/>
    <w:rsid w:val="00032925"/>
    <w:rsid w:val="00033B5D"/>
    <w:rsid w:val="00034524"/>
    <w:rsid w:val="00036DE0"/>
    <w:rsid w:val="00040176"/>
    <w:rsid w:val="000403D8"/>
    <w:rsid w:val="00040A66"/>
    <w:rsid w:val="00050935"/>
    <w:rsid w:val="00050DDD"/>
    <w:rsid w:val="00051DCB"/>
    <w:rsid w:val="00052AFD"/>
    <w:rsid w:val="00052E6C"/>
    <w:rsid w:val="0005465F"/>
    <w:rsid w:val="00054856"/>
    <w:rsid w:val="00054A5D"/>
    <w:rsid w:val="00055B28"/>
    <w:rsid w:val="0005738E"/>
    <w:rsid w:val="00057C72"/>
    <w:rsid w:val="00057F5F"/>
    <w:rsid w:val="00057FE7"/>
    <w:rsid w:val="0006108D"/>
    <w:rsid w:val="00062752"/>
    <w:rsid w:val="00062EB2"/>
    <w:rsid w:val="00066703"/>
    <w:rsid w:val="00071E0D"/>
    <w:rsid w:val="00072E91"/>
    <w:rsid w:val="00073A66"/>
    <w:rsid w:val="00074C68"/>
    <w:rsid w:val="00075355"/>
    <w:rsid w:val="000757F5"/>
    <w:rsid w:val="00077F1A"/>
    <w:rsid w:val="00084C8F"/>
    <w:rsid w:val="00084D0C"/>
    <w:rsid w:val="00085A03"/>
    <w:rsid w:val="0009418E"/>
    <w:rsid w:val="00094198"/>
    <w:rsid w:val="000942AA"/>
    <w:rsid w:val="00095AAD"/>
    <w:rsid w:val="0009632E"/>
    <w:rsid w:val="00096625"/>
    <w:rsid w:val="000967C4"/>
    <w:rsid w:val="00096DF0"/>
    <w:rsid w:val="00097A61"/>
    <w:rsid w:val="00097B6C"/>
    <w:rsid w:val="000A0CCE"/>
    <w:rsid w:val="000A113E"/>
    <w:rsid w:val="000B2758"/>
    <w:rsid w:val="000B3B40"/>
    <w:rsid w:val="000B4606"/>
    <w:rsid w:val="000B6984"/>
    <w:rsid w:val="000B7B0F"/>
    <w:rsid w:val="000C231E"/>
    <w:rsid w:val="000C233D"/>
    <w:rsid w:val="000C39BB"/>
    <w:rsid w:val="000C3CD7"/>
    <w:rsid w:val="000C5826"/>
    <w:rsid w:val="000C5FC0"/>
    <w:rsid w:val="000D1F3D"/>
    <w:rsid w:val="000D2101"/>
    <w:rsid w:val="000D26F7"/>
    <w:rsid w:val="000D3776"/>
    <w:rsid w:val="000D3F6D"/>
    <w:rsid w:val="000D58D9"/>
    <w:rsid w:val="000E1A88"/>
    <w:rsid w:val="000E200B"/>
    <w:rsid w:val="000E4E8B"/>
    <w:rsid w:val="000E5D24"/>
    <w:rsid w:val="000E5F95"/>
    <w:rsid w:val="000F1982"/>
    <w:rsid w:val="000F1BFA"/>
    <w:rsid w:val="000F1FD9"/>
    <w:rsid w:val="000F4307"/>
    <w:rsid w:val="000F442D"/>
    <w:rsid w:val="000F7059"/>
    <w:rsid w:val="000F7E0D"/>
    <w:rsid w:val="00102D70"/>
    <w:rsid w:val="00106CF3"/>
    <w:rsid w:val="001076C4"/>
    <w:rsid w:val="0011279F"/>
    <w:rsid w:val="00120DF9"/>
    <w:rsid w:val="00122098"/>
    <w:rsid w:val="0012435B"/>
    <w:rsid w:val="00124DB1"/>
    <w:rsid w:val="00130CBB"/>
    <w:rsid w:val="0013223F"/>
    <w:rsid w:val="00132294"/>
    <w:rsid w:val="001342F4"/>
    <w:rsid w:val="00134D50"/>
    <w:rsid w:val="00135E9A"/>
    <w:rsid w:val="00136A28"/>
    <w:rsid w:val="00140825"/>
    <w:rsid w:val="00142DAA"/>
    <w:rsid w:val="00146AB2"/>
    <w:rsid w:val="00150B12"/>
    <w:rsid w:val="00151E2C"/>
    <w:rsid w:val="001526E7"/>
    <w:rsid w:val="001533AA"/>
    <w:rsid w:val="0015558D"/>
    <w:rsid w:val="00163CF9"/>
    <w:rsid w:val="00165155"/>
    <w:rsid w:val="00165E31"/>
    <w:rsid w:val="00166126"/>
    <w:rsid w:val="00167137"/>
    <w:rsid w:val="00167C99"/>
    <w:rsid w:val="001719C5"/>
    <w:rsid w:val="00174682"/>
    <w:rsid w:val="00175530"/>
    <w:rsid w:val="001757EE"/>
    <w:rsid w:val="00175902"/>
    <w:rsid w:val="00177510"/>
    <w:rsid w:val="00181A35"/>
    <w:rsid w:val="001831CC"/>
    <w:rsid w:val="001836F9"/>
    <w:rsid w:val="00184BF2"/>
    <w:rsid w:val="001850CC"/>
    <w:rsid w:val="00185F80"/>
    <w:rsid w:val="00190A1C"/>
    <w:rsid w:val="00191D61"/>
    <w:rsid w:val="00192392"/>
    <w:rsid w:val="001942C9"/>
    <w:rsid w:val="00195449"/>
    <w:rsid w:val="001A3DDE"/>
    <w:rsid w:val="001A400D"/>
    <w:rsid w:val="001A4B11"/>
    <w:rsid w:val="001A6923"/>
    <w:rsid w:val="001B1106"/>
    <w:rsid w:val="001B1F54"/>
    <w:rsid w:val="001B25C4"/>
    <w:rsid w:val="001B3D96"/>
    <w:rsid w:val="001B4DD4"/>
    <w:rsid w:val="001B5909"/>
    <w:rsid w:val="001B673E"/>
    <w:rsid w:val="001C01F9"/>
    <w:rsid w:val="001C121F"/>
    <w:rsid w:val="001C17A0"/>
    <w:rsid w:val="001C2726"/>
    <w:rsid w:val="001C28A4"/>
    <w:rsid w:val="001C2E1B"/>
    <w:rsid w:val="001C36D2"/>
    <w:rsid w:val="001C5774"/>
    <w:rsid w:val="001C5D26"/>
    <w:rsid w:val="001C5DF2"/>
    <w:rsid w:val="001D0FC7"/>
    <w:rsid w:val="001D19F5"/>
    <w:rsid w:val="001D5E6A"/>
    <w:rsid w:val="001E0C85"/>
    <w:rsid w:val="001E2575"/>
    <w:rsid w:val="001E2702"/>
    <w:rsid w:val="001E2904"/>
    <w:rsid w:val="001E431F"/>
    <w:rsid w:val="001E4AC8"/>
    <w:rsid w:val="001E6433"/>
    <w:rsid w:val="001F1327"/>
    <w:rsid w:val="001F3D32"/>
    <w:rsid w:val="001F4C84"/>
    <w:rsid w:val="001F6F4E"/>
    <w:rsid w:val="001F73F5"/>
    <w:rsid w:val="001F7FAC"/>
    <w:rsid w:val="0020011B"/>
    <w:rsid w:val="002001FF"/>
    <w:rsid w:val="00201D51"/>
    <w:rsid w:val="00203C95"/>
    <w:rsid w:val="00204190"/>
    <w:rsid w:val="00206CF7"/>
    <w:rsid w:val="00207411"/>
    <w:rsid w:val="00210897"/>
    <w:rsid w:val="00210F06"/>
    <w:rsid w:val="00211381"/>
    <w:rsid w:val="00211973"/>
    <w:rsid w:val="002120EF"/>
    <w:rsid w:val="002131AF"/>
    <w:rsid w:val="00213395"/>
    <w:rsid w:val="00213BF6"/>
    <w:rsid w:val="00217351"/>
    <w:rsid w:val="002218DA"/>
    <w:rsid w:val="002250C1"/>
    <w:rsid w:val="002262FC"/>
    <w:rsid w:val="00227A31"/>
    <w:rsid w:val="00230493"/>
    <w:rsid w:val="00232DF3"/>
    <w:rsid w:val="002357C9"/>
    <w:rsid w:val="00240C33"/>
    <w:rsid w:val="00240D1D"/>
    <w:rsid w:val="00244BC1"/>
    <w:rsid w:val="0024522B"/>
    <w:rsid w:val="00245441"/>
    <w:rsid w:val="00245BC8"/>
    <w:rsid w:val="0024648A"/>
    <w:rsid w:val="0025118A"/>
    <w:rsid w:val="002515F1"/>
    <w:rsid w:val="002519F9"/>
    <w:rsid w:val="0025373B"/>
    <w:rsid w:val="00253B28"/>
    <w:rsid w:val="00254217"/>
    <w:rsid w:val="00254F69"/>
    <w:rsid w:val="00260472"/>
    <w:rsid w:val="00260A08"/>
    <w:rsid w:val="0026482C"/>
    <w:rsid w:val="0026495C"/>
    <w:rsid w:val="0026551A"/>
    <w:rsid w:val="002668C3"/>
    <w:rsid w:val="002674D2"/>
    <w:rsid w:val="00267B13"/>
    <w:rsid w:val="0027267B"/>
    <w:rsid w:val="002752D3"/>
    <w:rsid w:val="00280885"/>
    <w:rsid w:val="0028118E"/>
    <w:rsid w:val="00281AFA"/>
    <w:rsid w:val="00282044"/>
    <w:rsid w:val="0028225E"/>
    <w:rsid w:val="002832CC"/>
    <w:rsid w:val="002858CF"/>
    <w:rsid w:val="00291720"/>
    <w:rsid w:val="0029211F"/>
    <w:rsid w:val="002922CF"/>
    <w:rsid w:val="002963D3"/>
    <w:rsid w:val="002A1166"/>
    <w:rsid w:val="002A3668"/>
    <w:rsid w:val="002A36FD"/>
    <w:rsid w:val="002A371E"/>
    <w:rsid w:val="002A5614"/>
    <w:rsid w:val="002A5BAB"/>
    <w:rsid w:val="002A5E1E"/>
    <w:rsid w:val="002A7C63"/>
    <w:rsid w:val="002B23F9"/>
    <w:rsid w:val="002B3A69"/>
    <w:rsid w:val="002B786D"/>
    <w:rsid w:val="002C02DA"/>
    <w:rsid w:val="002C0794"/>
    <w:rsid w:val="002C0A6B"/>
    <w:rsid w:val="002C33C4"/>
    <w:rsid w:val="002C4C56"/>
    <w:rsid w:val="002C5635"/>
    <w:rsid w:val="002C71FA"/>
    <w:rsid w:val="002D0BF6"/>
    <w:rsid w:val="002D275E"/>
    <w:rsid w:val="002D27A3"/>
    <w:rsid w:val="002D37FF"/>
    <w:rsid w:val="002D4687"/>
    <w:rsid w:val="002E0AC2"/>
    <w:rsid w:val="002E1070"/>
    <w:rsid w:val="002E1F4D"/>
    <w:rsid w:val="002E2CA6"/>
    <w:rsid w:val="002E4E05"/>
    <w:rsid w:val="002E7FCE"/>
    <w:rsid w:val="002F08B5"/>
    <w:rsid w:val="002F0FBF"/>
    <w:rsid w:val="002F1AA2"/>
    <w:rsid w:val="002F1D0A"/>
    <w:rsid w:val="002F3694"/>
    <w:rsid w:val="002F5DDD"/>
    <w:rsid w:val="003005FE"/>
    <w:rsid w:val="00302582"/>
    <w:rsid w:val="00306CC7"/>
    <w:rsid w:val="00307097"/>
    <w:rsid w:val="00310AF7"/>
    <w:rsid w:val="00312A1D"/>
    <w:rsid w:val="003144B7"/>
    <w:rsid w:val="00314AC0"/>
    <w:rsid w:val="00316298"/>
    <w:rsid w:val="0031683F"/>
    <w:rsid w:val="00320680"/>
    <w:rsid w:val="00321E5D"/>
    <w:rsid w:val="003231D8"/>
    <w:rsid w:val="00325C93"/>
    <w:rsid w:val="00325EF1"/>
    <w:rsid w:val="00327751"/>
    <w:rsid w:val="00330A31"/>
    <w:rsid w:val="00331BDB"/>
    <w:rsid w:val="00331D49"/>
    <w:rsid w:val="003336F7"/>
    <w:rsid w:val="003337AB"/>
    <w:rsid w:val="00341577"/>
    <w:rsid w:val="00345AAE"/>
    <w:rsid w:val="003467F0"/>
    <w:rsid w:val="00347862"/>
    <w:rsid w:val="00351571"/>
    <w:rsid w:val="00353CA1"/>
    <w:rsid w:val="00357690"/>
    <w:rsid w:val="00357728"/>
    <w:rsid w:val="003616CE"/>
    <w:rsid w:val="00363948"/>
    <w:rsid w:val="00365303"/>
    <w:rsid w:val="003674D6"/>
    <w:rsid w:val="00367DE9"/>
    <w:rsid w:val="00370B39"/>
    <w:rsid w:val="00370CEC"/>
    <w:rsid w:val="00371E6F"/>
    <w:rsid w:val="003722B5"/>
    <w:rsid w:val="0037498D"/>
    <w:rsid w:val="00375564"/>
    <w:rsid w:val="00376E74"/>
    <w:rsid w:val="00376EF1"/>
    <w:rsid w:val="00377730"/>
    <w:rsid w:val="0038094B"/>
    <w:rsid w:val="00380D01"/>
    <w:rsid w:val="003814C8"/>
    <w:rsid w:val="00382B37"/>
    <w:rsid w:val="00382C02"/>
    <w:rsid w:val="00384C30"/>
    <w:rsid w:val="00384F82"/>
    <w:rsid w:val="0038791C"/>
    <w:rsid w:val="003902B5"/>
    <w:rsid w:val="003919D3"/>
    <w:rsid w:val="00394120"/>
    <w:rsid w:val="0039505B"/>
    <w:rsid w:val="003951D7"/>
    <w:rsid w:val="00396193"/>
    <w:rsid w:val="003961B8"/>
    <w:rsid w:val="003A0482"/>
    <w:rsid w:val="003A176D"/>
    <w:rsid w:val="003A1D1B"/>
    <w:rsid w:val="003A2045"/>
    <w:rsid w:val="003A21A4"/>
    <w:rsid w:val="003A2ABF"/>
    <w:rsid w:val="003A2B75"/>
    <w:rsid w:val="003A3DDE"/>
    <w:rsid w:val="003A502F"/>
    <w:rsid w:val="003A5430"/>
    <w:rsid w:val="003A7739"/>
    <w:rsid w:val="003A773E"/>
    <w:rsid w:val="003B2B85"/>
    <w:rsid w:val="003B535B"/>
    <w:rsid w:val="003B6100"/>
    <w:rsid w:val="003B6956"/>
    <w:rsid w:val="003C045C"/>
    <w:rsid w:val="003C142F"/>
    <w:rsid w:val="003C27C8"/>
    <w:rsid w:val="003C2AF6"/>
    <w:rsid w:val="003C3439"/>
    <w:rsid w:val="003C48D0"/>
    <w:rsid w:val="003C6D2D"/>
    <w:rsid w:val="003C6D5F"/>
    <w:rsid w:val="003C7B65"/>
    <w:rsid w:val="003D059E"/>
    <w:rsid w:val="003D10C6"/>
    <w:rsid w:val="003D6378"/>
    <w:rsid w:val="003D7295"/>
    <w:rsid w:val="003E08E1"/>
    <w:rsid w:val="003E4689"/>
    <w:rsid w:val="003E4C49"/>
    <w:rsid w:val="003E5636"/>
    <w:rsid w:val="003F101F"/>
    <w:rsid w:val="003F24B6"/>
    <w:rsid w:val="003F486F"/>
    <w:rsid w:val="003F622A"/>
    <w:rsid w:val="003F6641"/>
    <w:rsid w:val="003F7045"/>
    <w:rsid w:val="00401306"/>
    <w:rsid w:val="00402784"/>
    <w:rsid w:val="00404249"/>
    <w:rsid w:val="00404B22"/>
    <w:rsid w:val="00404C78"/>
    <w:rsid w:val="00405100"/>
    <w:rsid w:val="0040728C"/>
    <w:rsid w:val="00412DDD"/>
    <w:rsid w:val="0041439E"/>
    <w:rsid w:val="00414B22"/>
    <w:rsid w:val="00415933"/>
    <w:rsid w:val="0041634C"/>
    <w:rsid w:val="00422CD8"/>
    <w:rsid w:val="00425E6D"/>
    <w:rsid w:val="0042664C"/>
    <w:rsid w:val="00427937"/>
    <w:rsid w:val="00427A19"/>
    <w:rsid w:val="00427CDB"/>
    <w:rsid w:val="00432B30"/>
    <w:rsid w:val="0044048F"/>
    <w:rsid w:val="00447D60"/>
    <w:rsid w:val="00451C9C"/>
    <w:rsid w:val="004530B8"/>
    <w:rsid w:val="004539B3"/>
    <w:rsid w:val="00454CAC"/>
    <w:rsid w:val="00455A53"/>
    <w:rsid w:val="00456F90"/>
    <w:rsid w:val="004571D9"/>
    <w:rsid w:val="0046292F"/>
    <w:rsid w:val="00462AF0"/>
    <w:rsid w:val="0046301E"/>
    <w:rsid w:val="004631FE"/>
    <w:rsid w:val="00464B6E"/>
    <w:rsid w:val="00471504"/>
    <w:rsid w:val="004726BC"/>
    <w:rsid w:val="00472B26"/>
    <w:rsid w:val="004738E7"/>
    <w:rsid w:val="0047588B"/>
    <w:rsid w:val="00476316"/>
    <w:rsid w:val="00477110"/>
    <w:rsid w:val="00477F5D"/>
    <w:rsid w:val="00480035"/>
    <w:rsid w:val="004813C5"/>
    <w:rsid w:val="004816C9"/>
    <w:rsid w:val="0048318B"/>
    <w:rsid w:val="0048340C"/>
    <w:rsid w:val="004849D6"/>
    <w:rsid w:val="00485202"/>
    <w:rsid w:val="004856AF"/>
    <w:rsid w:val="00485D11"/>
    <w:rsid w:val="004869B2"/>
    <w:rsid w:val="004901B1"/>
    <w:rsid w:val="0049091C"/>
    <w:rsid w:val="00490AD1"/>
    <w:rsid w:val="00492448"/>
    <w:rsid w:val="004934EF"/>
    <w:rsid w:val="004A1A95"/>
    <w:rsid w:val="004A3C19"/>
    <w:rsid w:val="004A3D8C"/>
    <w:rsid w:val="004A3F33"/>
    <w:rsid w:val="004A71F7"/>
    <w:rsid w:val="004B01DC"/>
    <w:rsid w:val="004B0425"/>
    <w:rsid w:val="004B2CD4"/>
    <w:rsid w:val="004B33F4"/>
    <w:rsid w:val="004B3F1E"/>
    <w:rsid w:val="004B52F0"/>
    <w:rsid w:val="004C095E"/>
    <w:rsid w:val="004C13AB"/>
    <w:rsid w:val="004C3ABE"/>
    <w:rsid w:val="004C4123"/>
    <w:rsid w:val="004C4E49"/>
    <w:rsid w:val="004C5FA4"/>
    <w:rsid w:val="004D035D"/>
    <w:rsid w:val="004D078C"/>
    <w:rsid w:val="004D08D5"/>
    <w:rsid w:val="004D2613"/>
    <w:rsid w:val="004D304F"/>
    <w:rsid w:val="004E011A"/>
    <w:rsid w:val="004E0D2F"/>
    <w:rsid w:val="004E2CDD"/>
    <w:rsid w:val="004E37E4"/>
    <w:rsid w:val="004E5EDE"/>
    <w:rsid w:val="004F533D"/>
    <w:rsid w:val="004F5CE8"/>
    <w:rsid w:val="004F5EE6"/>
    <w:rsid w:val="004F6212"/>
    <w:rsid w:val="004F6280"/>
    <w:rsid w:val="004F6E0C"/>
    <w:rsid w:val="00500145"/>
    <w:rsid w:val="00500DE4"/>
    <w:rsid w:val="005011A4"/>
    <w:rsid w:val="00501AAB"/>
    <w:rsid w:val="00505BBA"/>
    <w:rsid w:val="005062BE"/>
    <w:rsid w:val="00506510"/>
    <w:rsid w:val="00507314"/>
    <w:rsid w:val="005138C1"/>
    <w:rsid w:val="00513C87"/>
    <w:rsid w:val="00514A47"/>
    <w:rsid w:val="005153A6"/>
    <w:rsid w:val="005160BE"/>
    <w:rsid w:val="0052197F"/>
    <w:rsid w:val="00523A4C"/>
    <w:rsid w:val="00524924"/>
    <w:rsid w:val="00526FDC"/>
    <w:rsid w:val="0053365C"/>
    <w:rsid w:val="005364EB"/>
    <w:rsid w:val="00540DC5"/>
    <w:rsid w:val="00540F45"/>
    <w:rsid w:val="00542D3F"/>
    <w:rsid w:val="0054308B"/>
    <w:rsid w:val="005437D6"/>
    <w:rsid w:val="00544AE1"/>
    <w:rsid w:val="00545640"/>
    <w:rsid w:val="00546F6B"/>
    <w:rsid w:val="005500E4"/>
    <w:rsid w:val="00550A5A"/>
    <w:rsid w:val="00551100"/>
    <w:rsid w:val="00553765"/>
    <w:rsid w:val="0055505A"/>
    <w:rsid w:val="00556322"/>
    <w:rsid w:val="00557F5B"/>
    <w:rsid w:val="00560098"/>
    <w:rsid w:val="00560419"/>
    <w:rsid w:val="005606CB"/>
    <w:rsid w:val="005651A8"/>
    <w:rsid w:val="0056529F"/>
    <w:rsid w:val="00565506"/>
    <w:rsid w:val="005672F1"/>
    <w:rsid w:val="0056744E"/>
    <w:rsid w:val="005677D5"/>
    <w:rsid w:val="005700E2"/>
    <w:rsid w:val="00572E17"/>
    <w:rsid w:val="005737DE"/>
    <w:rsid w:val="00573F2A"/>
    <w:rsid w:val="005742C9"/>
    <w:rsid w:val="00574736"/>
    <w:rsid w:val="005752EF"/>
    <w:rsid w:val="00576471"/>
    <w:rsid w:val="005772BE"/>
    <w:rsid w:val="005803BA"/>
    <w:rsid w:val="00583D60"/>
    <w:rsid w:val="00584B90"/>
    <w:rsid w:val="00584F33"/>
    <w:rsid w:val="005859F1"/>
    <w:rsid w:val="005865F1"/>
    <w:rsid w:val="00587416"/>
    <w:rsid w:val="00590CE3"/>
    <w:rsid w:val="005910E2"/>
    <w:rsid w:val="00594A85"/>
    <w:rsid w:val="00595E2F"/>
    <w:rsid w:val="00596319"/>
    <w:rsid w:val="005A05FD"/>
    <w:rsid w:val="005A17DA"/>
    <w:rsid w:val="005A2A30"/>
    <w:rsid w:val="005A5541"/>
    <w:rsid w:val="005B0507"/>
    <w:rsid w:val="005B1F91"/>
    <w:rsid w:val="005B20A9"/>
    <w:rsid w:val="005B4181"/>
    <w:rsid w:val="005B77DA"/>
    <w:rsid w:val="005B7E7B"/>
    <w:rsid w:val="005B7EA7"/>
    <w:rsid w:val="005C035C"/>
    <w:rsid w:val="005C18B0"/>
    <w:rsid w:val="005C2163"/>
    <w:rsid w:val="005C2D03"/>
    <w:rsid w:val="005C2D9A"/>
    <w:rsid w:val="005C3273"/>
    <w:rsid w:val="005C639F"/>
    <w:rsid w:val="005D1390"/>
    <w:rsid w:val="005D1986"/>
    <w:rsid w:val="005D2563"/>
    <w:rsid w:val="005D276C"/>
    <w:rsid w:val="005D29E1"/>
    <w:rsid w:val="005D373B"/>
    <w:rsid w:val="005D3847"/>
    <w:rsid w:val="005D3A4A"/>
    <w:rsid w:val="005D3E37"/>
    <w:rsid w:val="005D4A19"/>
    <w:rsid w:val="005D5A93"/>
    <w:rsid w:val="005D6D0D"/>
    <w:rsid w:val="005E045B"/>
    <w:rsid w:val="005E0DEA"/>
    <w:rsid w:val="005E14C9"/>
    <w:rsid w:val="005E2CAF"/>
    <w:rsid w:val="005E5B66"/>
    <w:rsid w:val="005F10CE"/>
    <w:rsid w:val="005F3917"/>
    <w:rsid w:val="005F3932"/>
    <w:rsid w:val="005F4C2D"/>
    <w:rsid w:val="005F53B6"/>
    <w:rsid w:val="005F6F21"/>
    <w:rsid w:val="005F7529"/>
    <w:rsid w:val="00603B52"/>
    <w:rsid w:val="00603E47"/>
    <w:rsid w:val="00605F08"/>
    <w:rsid w:val="006067E4"/>
    <w:rsid w:val="006106F2"/>
    <w:rsid w:val="00611228"/>
    <w:rsid w:val="00611FB0"/>
    <w:rsid w:val="00612991"/>
    <w:rsid w:val="006136D9"/>
    <w:rsid w:val="00614804"/>
    <w:rsid w:val="0061541B"/>
    <w:rsid w:val="0062011E"/>
    <w:rsid w:val="00621DCA"/>
    <w:rsid w:val="006225F4"/>
    <w:rsid w:val="006230F8"/>
    <w:rsid w:val="00624C9E"/>
    <w:rsid w:val="00624E72"/>
    <w:rsid w:val="00626773"/>
    <w:rsid w:val="00626B5D"/>
    <w:rsid w:val="00633B57"/>
    <w:rsid w:val="0063442E"/>
    <w:rsid w:val="00634518"/>
    <w:rsid w:val="00635837"/>
    <w:rsid w:val="00636BAC"/>
    <w:rsid w:val="00637CF6"/>
    <w:rsid w:val="00640B8D"/>
    <w:rsid w:val="00643527"/>
    <w:rsid w:val="00643E1F"/>
    <w:rsid w:val="006452A3"/>
    <w:rsid w:val="00645E5D"/>
    <w:rsid w:val="0064600B"/>
    <w:rsid w:val="0064627E"/>
    <w:rsid w:val="00650BEF"/>
    <w:rsid w:val="00650D1F"/>
    <w:rsid w:val="00653CB3"/>
    <w:rsid w:val="00654179"/>
    <w:rsid w:val="00657F91"/>
    <w:rsid w:val="006623B7"/>
    <w:rsid w:val="00663C9C"/>
    <w:rsid w:val="006654EB"/>
    <w:rsid w:val="00665BCF"/>
    <w:rsid w:val="006673FC"/>
    <w:rsid w:val="0066788F"/>
    <w:rsid w:val="00670CB7"/>
    <w:rsid w:val="006716EE"/>
    <w:rsid w:val="00672EFF"/>
    <w:rsid w:val="006761D4"/>
    <w:rsid w:val="006766DB"/>
    <w:rsid w:val="006767A2"/>
    <w:rsid w:val="00676A47"/>
    <w:rsid w:val="00677995"/>
    <w:rsid w:val="00680045"/>
    <w:rsid w:val="00681D5A"/>
    <w:rsid w:val="00682543"/>
    <w:rsid w:val="0068462D"/>
    <w:rsid w:val="00684C22"/>
    <w:rsid w:val="00690147"/>
    <w:rsid w:val="00691F66"/>
    <w:rsid w:val="00693E28"/>
    <w:rsid w:val="00694366"/>
    <w:rsid w:val="006975AA"/>
    <w:rsid w:val="00697966"/>
    <w:rsid w:val="00697B38"/>
    <w:rsid w:val="006A341B"/>
    <w:rsid w:val="006A3491"/>
    <w:rsid w:val="006A3778"/>
    <w:rsid w:val="006A58D9"/>
    <w:rsid w:val="006A7CB7"/>
    <w:rsid w:val="006A7DBE"/>
    <w:rsid w:val="006B0106"/>
    <w:rsid w:val="006B1E9C"/>
    <w:rsid w:val="006B7215"/>
    <w:rsid w:val="006B73AA"/>
    <w:rsid w:val="006C19FD"/>
    <w:rsid w:val="006C3AAD"/>
    <w:rsid w:val="006C3B43"/>
    <w:rsid w:val="006C5141"/>
    <w:rsid w:val="006C536D"/>
    <w:rsid w:val="006C6892"/>
    <w:rsid w:val="006C69BD"/>
    <w:rsid w:val="006D178A"/>
    <w:rsid w:val="006D2F2B"/>
    <w:rsid w:val="006D4F64"/>
    <w:rsid w:val="006D69AB"/>
    <w:rsid w:val="006D6D02"/>
    <w:rsid w:val="006E02A5"/>
    <w:rsid w:val="006E08A4"/>
    <w:rsid w:val="006E16FC"/>
    <w:rsid w:val="006E2A47"/>
    <w:rsid w:val="006E61B1"/>
    <w:rsid w:val="006F011D"/>
    <w:rsid w:val="006F6521"/>
    <w:rsid w:val="006F7CC6"/>
    <w:rsid w:val="00700060"/>
    <w:rsid w:val="0070043A"/>
    <w:rsid w:val="00700C4B"/>
    <w:rsid w:val="00701BC7"/>
    <w:rsid w:val="00702DA5"/>
    <w:rsid w:val="00703409"/>
    <w:rsid w:val="00703D07"/>
    <w:rsid w:val="00704D09"/>
    <w:rsid w:val="00705B47"/>
    <w:rsid w:val="00706D1E"/>
    <w:rsid w:val="00706E32"/>
    <w:rsid w:val="00711783"/>
    <w:rsid w:val="00711E42"/>
    <w:rsid w:val="00715BA8"/>
    <w:rsid w:val="007167EE"/>
    <w:rsid w:val="00716DF2"/>
    <w:rsid w:val="007220E8"/>
    <w:rsid w:val="00722E39"/>
    <w:rsid w:val="0072414A"/>
    <w:rsid w:val="0072441C"/>
    <w:rsid w:val="00724CC7"/>
    <w:rsid w:val="00725817"/>
    <w:rsid w:val="007328AB"/>
    <w:rsid w:val="00734D15"/>
    <w:rsid w:val="007360B4"/>
    <w:rsid w:val="00736155"/>
    <w:rsid w:val="0074063B"/>
    <w:rsid w:val="00741FDC"/>
    <w:rsid w:val="00743298"/>
    <w:rsid w:val="00744DF3"/>
    <w:rsid w:val="00745732"/>
    <w:rsid w:val="00745E8D"/>
    <w:rsid w:val="00746768"/>
    <w:rsid w:val="00747D19"/>
    <w:rsid w:val="00751A66"/>
    <w:rsid w:val="0075300C"/>
    <w:rsid w:val="00754360"/>
    <w:rsid w:val="0075540C"/>
    <w:rsid w:val="00755F5A"/>
    <w:rsid w:val="007578E1"/>
    <w:rsid w:val="00757985"/>
    <w:rsid w:val="00760B0E"/>
    <w:rsid w:val="0076576E"/>
    <w:rsid w:val="007668C8"/>
    <w:rsid w:val="0077166B"/>
    <w:rsid w:val="00772E21"/>
    <w:rsid w:val="00773713"/>
    <w:rsid w:val="0077776B"/>
    <w:rsid w:val="007779C6"/>
    <w:rsid w:val="00782BB1"/>
    <w:rsid w:val="00783E94"/>
    <w:rsid w:val="00785DBE"/>
    <w:rsid w:val="00785E18"/>
    <w:rsid w:val="00786665"/>
    <w:rsid w:val="0078699D"/>
    <w:rsid w:val="00790614"/>
    <w:rsid w:val="007919A6"/>
    <w:rsid w:val="007919E9"/>
    <w:rsid w:val="00794AA6"/>
    <w:rsid w:val="007969A9"/>
    <w:rsid w:val="00796AC1"/>
    <w:rsid w:val="007A06D5"/>
    <w:rsid w:val="007A11BA"/>
    <w:rsid w:val="007A2D8E"/>
    <w:rsid w:val="007A35E2"/>
    <w:rsid w:val="007A4754"/>
    <w:rsid w:val="007A5155"/>
    <w:rsid w:val="007A64B2"/>
    <w:rsid w:val="007A74EB"/>
    <w:rsid w:val="007B03BF"/>
    <w:rsid w:val="007B1296"/>
    <w:rsid w:val="007B2774"/>
    <w:rsid w:val="007B3A5B"/>
    <w:rsid w:val="007B3CCF"/>
    <w:rsid w:val="007B5ED6"/>
    <w:rsid w:val="007B5F89"/>
    <w:rsid w:val="007B60DB"/>
    <w:rsid w:val="007B6DAA"/>
    <w:rsid w:val="007B6DC3"/>
    <w:rsid w:val="007B75D1"/>
    <w:rsid w:val="007C20EF"/>
    <w:rsid w:val="007C2516"/>
    <w:rsid w:val="007C2CD6"/>
    <w:rsid w:val="007C2F96"/>
    <w:rsid w:val="007C37DB"/>
    <w:rsid w:val="007C6F07"/>
    <w:rsid w:val="007D1399"/>
    <w:rsid w:val="007D2C48"/>
    <w:rsid w:val="007D36EC"/>
    <w:rsid w:val="007D61CC"/>
    <w:rsid w:val="007D6EDE"/>
    <w:rsid w:val="007E1345"/>
    <w:rsid w:val="007E29F0"/>
    <w:rsid w:val="007E4811"/>
    <w:rsid w:val="007E56AA"/>
    <w:rsid w:val="007E6644"/>
    <w:rsid w:val="007F13CB"/>
    <w:rsid w:val="007F5DBA"/>
    <w:rsid w:val="007F6381"/>
    <w:rsid w:val="00800195"/>
    <w:rsid w:val="0081012B"/>
    <w:rsid w:val="0081042D"/>
    <w:rsid w:val="008136F4"/>
    <w:rsid w:val="0081458C"/>
    <w:rsid w:val="00815DEA"/>
    <w:rsid w:val="00823C7D"/>
    <w:rsid w:val="00837ABE"/>
    <w:rsid w:val="008444EC"/>
    <w:rsid w:val="00844A3E"/>
    <w:rsid w:val="008469DA"/>
    <w:rsid w:val="00850D16"/>
    <w:rsid w:val="00853FC4"/>
    <w:rsid w:val="00856BDD"/>
    <w:rsid w:val="00857E10"/>
    <w:rsid w:val="00860744"/>
    <w:rsid w:val="008623D8"/>
    <w:rsid w:val="00863910"/>
    <w:rsid w:val="00863FF1"/>
    <w:rsid w:val="008646F9"/>
    <w:rsid w:val="00864951"/>
    <w:rsid w:val="00864B64"/>
    <w:rsid w:val="0086536B"/>
    <w:rsid w:val="008653A3"/>
    <w:rsid w:val="00866C20"/>
    <w:rsid w:val="008700B5"/>
    <w:rsid w:val="008715BE"/>
    <w:rsid w:val="0087627D"/>
    <w:rsid w:val="008767B6"/>
    <w:rsid w:val="00877C05"/>
    <w:rsid w:val="008804D5"/>
    <w:rsid w:val="00881BC3"/>
    <w:rsid w:val="0088201A"/>
    <w:rsid w:val="00882638"/>
    <w:rsid w:val="00882B45"/>
    <w:rsid w:val="00883EC7"/>
    <w:rsid w:val="00892E2E"/>
    <w:rsid w:val="0089746C"/>
    <w:rsid w:val="00897E35"/>
    <w:rsid w:val="008A23E2"/>
    <w:rsid w:val="008A4C5B"/>
    <w:rsid w:val="008A53CE"/>
    <w:rsid w:val="008A71B0"/>
    <w:rsid w:val="008B2E65"/>
    <w:rsid w:val="008B3306"/>
    <w:rsid w:val="008B52C3"/>
    <w:rsid w:val="008B6E8C"/>
    <w:rsid w:val="008C32F7"/>
    <w:rsid w:val="008C6FEE"/>
    <w:rsid w:val="008D044B"/>
    <w:rsid w:val="008D05C6"/>
    <w:rsid w:val="008D0BE4"/>
    <w:rsid w:val="008D17DE"/>
    <w:rsid w:val="008D3D09"/>
    <w:rsid w:val="008D54A1"/>
    <w:rsid w:val="008D584E"/>
    <w:rsid w:val="008D5882"/>
    <w:rsid w:val="008D7182"/>
    <w:rsid w:val="008D74C8"/>
    <w:rsid w:val="008D7EC1"/>
    <w:rsid w:val="008E0195"/>
    <w:rsid w:val="008E129F"/>
    <w:rsid w:val="008E25E0"/>
    <w:rsid w:val="008E266A"/>
    <w:rsid w:val="008E3FA4"/>
    <w:rsid w:val="008E6705"/>
    <w:rsid w:val="008E7B10"/>
    <w:rsid w:val="008F0049"/>
    <w:rsid w:val="008F059D"/>
    <w:rsid w:val="008F0DAE"/>
    <w:rsid w:val="008F1978"/>
    <w:rsid w:val="008F1CBC"/>
    <w:rsid w:val="008F2665"/>
    <w:rsid w:val="008F2B17"/>
    <w:rsid w:val="008F325F"/>
    <w:rsid w:val="008F5D83"/>
    <w:rsid w:val="008F6187"/>
    <w:rsid w:val="008F7083"/>
    <w:rsid w:val="008F7475"/>
    <w:rsid w:val="00903446"/>
    <w:rsid w:val="009035E0"/>
    <w:rsid w:val="00907146"/>
    <w:rsid w:val="009102D9"/>
    <w:rsid w:val="00910760"/>
    <w:rsid w:val="009111E9"/>
    <w:rsid w:val="00911F7C"/>
    <w:rsid w:val="00917C78"/>
    <w:rsid w:val="009234FE"/>
    <w:rsid w:val="00923654"/>
    <w:rsid w:val="00923F86"/>
    <w:rsid w:val="00924326"/>
    <w:rsid w:val="00926B0D"/>
    <w:rsid w:val="009272AF"/>
    <w:rsid w:val="009273B9"/>
    <w:rsid w:val="0093194A"/>
    <w:rsid w:val="00934C6D"/>
    <w:rsid w:val="0093533A"/>
    <w:rsid w:val="0093546C"/>
    <w:rsid w:val="0094036D"/>
    <w:rsid w:val="009403CB"/>
    <w:rsid w:val="009413F7"/>
    <w:rsid w:val="00941C5A"/>
    <w:rsid w:val="00941DF6"/>
    <w:rsid w:val="00944304"/>
    <w:rsid w:val="0094563E"/>
    <w:rsid w:val="00946532"/>
    <w:rsid w:val="00946C0A"/>
    <w:rsid w:val="00947921"/>
    <w:rsid w:val="0095470C"/>
    <w:rsid w:val="00954D96"/>
    <w:rsid w:val="00955AA5"/>
    <w:rsid w:val="00955EAB"/>
    <w:rsid w:val="00955EC0"/>
    <w:rsid w:val="00956ECC"/>
    <w:rsid w:val="009574A7"/>
    <w:rsid w:val="00960517"/>
    <w:rsid w:val="00962B82"/>
    <w:rsid w:val="0096312D"/>
    <w:rsid w:val="009642C4"/>
    <w:rsid w:val="00964955"/>
    <w:rsid w:val="00965C4E"/>
    <w:rsid w:val="009660C2"/>
    <w:rsid w:val="009679B3"/>
    <w:rsid w:val="009719A6"/>
    <w:rsid w:val="00972722"/>
    <w:rsid w:val="00972EFA"/>
    <w:rsid w:val="009738CC"/>
    <w:rsid w:val="00974F6E"/>
    <w:rsid w:val="009762D3"/>
    <w:rsid w:val="0097631E"/>
    <w:rsid w:val="0097662E"/>
    <w:rsid w:val="00976DC8"/>
    <w:rsid w:val="00980F0F"/>
    <w:rsid w:val="00981A47"/>
    <w:rsid w:val="00982A87"/>
    <w:rsid w:val="00985180"/>
    <w:rsid w:val="00985B2F"/>
    <w:rsid w:val="00986596"/>
    <w:rsid w:val="009903E3"/>
    <w:rsid w:val="009908C4"/>
    <w:rsid w:val="009922D0"/>
    <w:rsid w:val="009939AD"/>
    <w:rsid w:val="00994C47"/>
    <w:rsid w:val="00994F54"/>
    <w:rsid w:val="00995211"/>
    <w:rsid w:val="0099627B"/>
    <w:rsid w:val="00996644"/>
    <w:rsid w:val="00996AC4"/>
    <w:rsid w:val="009A323A"/>
    <w:rsid w:val="009A6A08"/>
    <w:rsid w:val="009B12FC"/>
    <w:rsid w:val="009B34CD"/>
    <w:rsid w:val="009B46C6"/>
    <w:rsid w:val="009B6359"/>
    <w:rsid w:val="009B7F8E"/>
    <w:rsid w:val="009C014D"/>
    <w:rsid w:val="009C11E9"/>
    <w:rsid w:val="009C3388"/>
    <w:rsid w:val="009C3F4D"/>
    <w:rsid w:val="009D0C34"/>
    <w:rsid w:val="009D146C"/>
    <w:rsid w:val="009D3284"/>
    <w:rsid w:val="009D3C97"/>
    <w:rsid w:val="009D5C42"/>
    <w:rsid w:val="009D5EBA"/>
    <w:rsid w:val="009D7484"/>
    <w:rsid w:val="009E3499"/>
    <w:rsid w:val="009E4EDD"/>
    <w:rsid w:val="009E6087"/>
    <w:rsid w:val="009E6A94"/>
    <w:rsid w:val="009E71E8"/>
    <w:rsid w:val="009F0658"/>
    <w:rsid w:val="009F176A"/>
    <w:rsid w:val="009F3C37"/>
    <w:rsid w:val="009F40C4"/>
    <w:rsid w:val="009F4797"/>
    <w:rsid w:val="009F576E"/>
    <w:rsid w:val="009F6531"/>
    <w:rsid w:val="009F7F4F"/>
    <w:rsid w:val="00A00B58"/>
    <w:rsid w:val="00A00D7C"/>
    <w:rsid w:val="00A00DBC"/>
    <w:rsid w:val="00A02FF8"/>
    <w:rsid w:val="00A05AFF"/>
    <w:rsid w:val="00A07BB1"/>
    <w:rsid w:val="00A10702"/>
    <w:rsid w:val="00A1179E"/>
    <w:rsid w:val="00A132AD"/>
    <w:rsid w:val="00A13996"/>
    <w:rsid w:val="00A1497D"/>
    <w:rsid w:val="00A16881"/>
    <w:rsid w:val="00A177C5"/>
    <w:rsid w:val="00A21A16"/>
    <w:rsid w:val="00A23C1D"/>
    <w:rsid w:val="00A240C8"/>
    <w:rsid w:val="00A24B55"/>
    <w:rsid w:val="00A24BE5"/>
    <w:rsid w:val="00A250F7"/>
    <w:rsid w:val="00A25BEF"/>
    <w:rsid w:val="00A27F3E"/>
    <w:rsid w:val="00A30454"/>
    <w:rsid w:val="00A304E6"/>
    <w:rsid w:val="00A3121A"/>
    <w:rsid w:val="00A3137B"/>
    <w:rsid w:val="00A32BDB"/>
    <w:rsid w:val="00A35AAB"/>
    <w:rsid w:val="00A36437"/>
    <w:rsid w:val="00A37D39"/>
    <w:rsid w:val="00A4056C"/>
    <w:rsid w:val="00A40DAA"/>
    <w:rsid w:val="00A4184E"/>
    <w:rsid w:val="00A43975"/>
    <w:rsid w:val="00A45047"/>
    <w:rsid w:val="00A4531B"/>
    <w:rsid w:val="00A453A5"/>
    <w:rsid w:val="00A45813"/>
    <w:rsid w:val="00A515DD"/>
    <w:rsid w:val="00A51FB5"/>
    <w:rsid w:val="00A5267F"/>
    <w:rsid w:val="00A544B5"/>
    <w:rsid w:val="00A55D9C"/>
    <w:rsid w:val="00A61B52"/>
    <w:rsid w:val="00A61B69"/>
    <w:rsid w:val="00A644D1"/>
    <w:rsid w:val="00A65199"/>
    <w:rsid w:val="00A66286"/>
    <w:rsid w:val="00A67E77"/>
    <w:rsid w:val="00A706F3"/>
    <w:rsid w:val="00A70D18"/>
    <w:rsid w:val="00A7141D"/>
    <w:rsid w:val="00A719F1"/>
    <w:rsid w:val="00A71D7D"/>
    <w:rsid w:val="00A71EBC"/>
    <w:rsid w:val="00A77164"/>
    <w:rsid w:val="00A81358"/>
    <w:rsid w:val="00A8332F"/>
    <w:rsid w:val="00A834D2"/>
    <w:rsid w:val="00A83EE7"/>
    <w:rsid w:val="00A86997"/>
    <w:rsid w:val="00A8766C"/>
    <w:rsid w:val="00A91D06"/>
    <w:rsid w:val="00A92D32"/>
    <w:rsid w:val="00A92E15"/>
    <w:rsid w:val="00A93DA5"/>
    <w:rsid w:val="00A966E2"/>
    <w:rsid w:val="00A96962"/>
    <w:rsid w:val="00A96CB6"/>
    <w:rsid w:val="00AA06EF"/>
    <w:rsid w:val="00AA0FCF"/>
    <w:rsid w:val="00AA4186"/>
    <w:rsid w:val="00AA418A"/>
    <w:rsid w:val="00AA4BF1"/>
    <w:rsid w:val="00AA770F"/>
    <w:rsid w:val="00AB195D"/>
    <w:rsid w:val="00AB260C"/>
    <w:rsid w:val="00AB32DB"/>
    <w:rsid w:val="00AB4A1E"/>
    <w:rsid w:val="00AB64B2"/>
    <w:rsid w:val="00AB6CC1"/>
    <w:rsid w:val="00AB7739"/>
    <w:rsid w:val="00AB7D0F"/>
    <w:rsid w:val="00AC2E1D"/>
    <w:rsid w:val="00AC3259"/>
    <w:rsid w:val="00AC59C1"/>
    <w:rsid w:val="00AD1E1F"/>
    <w:rsid w:val="00AD40A9"/>
    <w:rsid w:val="00AD529D"/>
    <w:rsid w:val="00AD6206"/>
    <w:rsid w:val="00AE2CB2"/>
    <w:rsid w:val="00AE3340"/>
    <w:rsid w:val="00AE3E37"/>
    <w:rsid w:val="00AE4569"/>
    <w:rsid w:val="00AE67E3"/>
    <w:rsid w:val="00AE7208"/>
    <w:rsid w:val="00AE74C0"/>
    <w:rsid w:val="00AF0EA5"/>
    <w:rsid w:val="00AF3561"/>
    <w:rsid w:val="00AF5189"/>
    <w:rsid w:val="00AF5BC8"/>
    <w:rsid w:val="00AF6020"/>
    <w:rsid w:val="00B0110E"/>
    <w:rsid w:val="00B0372D"/>
    <w:rsid w:val="00B04249"/>
    <w:rsid w:val="00B070DB"/>
    <w:rsid w:val="00B107C0"/>
    <w:rsid w:val="00B10EBB"/>
    <w:rsid w:val="00B17A0C"/>
    <w:rsid w:val="00B206B2"/>
    <w:rsid w:val="00B20F76"/>
    <w:rsid w:val="00B2343F"/>
    <w:rsid w:val="00B24073"/>
    <w:rsid w:val="00B25C37"/>
    <w:rsid w:val="00B30BE8"/>
    <w:rsid w:val="00B31C54"/>
    <w:rsid w:val="00B32AA8"/>
    <w:rsid w:val="00B340B1"/>
    <w:rsid w:val="00B369BB"/>
    <w:rsid w:val="00B36AC5"/>
    <w:rsid w:val="00B41367"/>
    <w:rsid w:val="00B41C17"/>
    <w:rsid w:val="00B42C86"/>
    <w:rsid w:val="00B42CC9"/>
    <w:rsid w:val="00B4306A"/>
    <w:rsid w:val="00B4366E"/>
    <w:rsid w:val="00B442EC"/>
    <w:rsid w:val="00B453D3"/>
    <w:rsid w:val="00B46D67"/>
    <w:rsid w:val="00B50137"/>
    <w:rsid w:val="00B504D1"/>
    <w:rsid w:val="00B52013"/>
    <w:rsid w:val="00B52C3A"/>
    <w:rsid w:val="00B56C77"/>
    <w:rsid w:val="00B60677"/>
    <w:rsid w:val="00B62589"/>
    <w:rsid w:val="00B6343A"/>
    <w:rsid w:val="00B6424D"/>
    <w:rsid w:val="00B65A1D"/>
    <w:rsid w:val="00B67D1F"/>
    <w:rsid w:val="00B70CA3"/>
    <w:rsid w:val="00B74324"/>
    <w:rsid w:val="00B76824"/>
    <w:rsid w:val="00B80474"/>
    <w:rsid w:val="00B805BD"/>
    <w:rsid w:val="00B80D50"/>
    <w:rsid w:val="00B82A17"/>
    <w:rsid w:val="00B91A93"/>
    <w:rsid w:val="00B933D4"/>
    <w:rsid w:val="00B933E6"/>
    <w:rsid w:val="00B93531"/>
    <w:rsid w:val="00B950C1"/>
    <w:rsid w:val="00B9575E"/>
    <w:rsid w:val="00B96076"/>
    <w:rsid w:val="00BA09F6"/>
    <w:rsid w:val="00BA1423"/>
    <w:rsid w:val="00BA150D"/>
    <w:rsid w:val="00BA19C6"/>
    <w:rsid w:val="00BA22F5"/>
    <w:rsid w:val="00BA30FF"/>
    <w:rsid w:val="00BA3129"/>
    <w:rsid w:val="00BA53E7"/>
    <w:rsid w:val="00BA56CB"/>
    <w:rsid w:val="00BB145C"/>
    <w:rsid w:val="00BB43DE"/>
    <w:rsid w:val="00BB574F"/>
    <w:rsid w:val="00BC00F3"/>
    <w:rsid w:val="00BC2069"/>
    <w:rsid w:val="00BC32E6"/>
    <w:rsid w:val="00BC4282"/>
    <w:rsid w:val="00BC4F0F"/>
    <w:rsid w:val="00BC5B9B"/>
    <w:rsid w:val="00BD1369"/>
    <w:rsid w:val="00BD2BED"/>
    <w:rsid w:val="00BD3267"/>
    <w:rsid w:val="00BD3988"/>
    <w:rsid w:val="00BD67B5"/>
    <w:rsid w:val="00BE04AD"/>
    <w:rsid w:val="00BE098C"/>
    <w:rsid w:val="00BE1131"/>
    <w:rsid w:val="00BE3319"/>
    <w:rsid w:val="00BE3CF2"/>
    <w:rsid w:val="00BE4FB1"/>
    <w:rsid w:val="00BF0FCF"/>
    <w:rsid w:val="00BF25A6"/>
    <w:rsid w:val="00BF49D4"/>
    <w:rsid w:val="00BF52D6"/>
    <w:rsid w:val="00BF7E0A"/>
    <w:rsid w:val="00C00C4C"/>
    <w:rsid w:val="00C016B7"/>
    <w:rsid w:val="00C02B45"/>
    <w:rsid w:val="00C03325"/>
    <w:rsid w:val="00C049D7"/>
    <w:rsid w:val="00C11180"/>
    <w:rsid w:val="00C113B2"/>
    <w:rsid w:val="00C1410C"/>
    <w:rsid w:val="00C14F09"/>
    <w:rsid w:val="00C15438"/>
    <w:rsid w:val="00C16549"/>
    <w:rsid w:val="00C207A4"/>
    <w:rsid w:val="00C21159"/>
    <w:rsid w:val="00C22110"/>
    <w:rsid w:val="00C23BDE"/>
    <w:rsid w:val="00C23C99"/>
    <w:rsid w:val="00C249B0"/>
    <w:rsid w:val="00C2539D"/>
    <w:rsid w:val="00C26640"/>
    <w:rsid w:val="00C27F5A"/>
    <w:rsid w:val="00C3171A"/>
    <w:rsid w:val="00C33798"/>
    <w:rsid w:val="00C34623"/>
    <w:rsid w:val="00C35C8B"/>
    <w:rsid w:val="00C43B06"/>
    <w:rsid w:val="00C43F26"/>
    <w:rsid w:val="00C44148"/>
    <w:rsid w:val="00C44D98"/>
    <w:rsid w:val="00C45482"/>
    <w:rsid w:val="00C46E29"/>
    <w:rsid w:val="00C57673"/>
    <w:rsid w:val="00C61265"/>
    <w:rsid w:val="00C61363"/>
    <w:rsid w:val="00C61E59"/>
    <w:rsid w:val="00C61FDF"/>
    <w:rsid w:val="00C632A6"/>
    <w:rsid w:val="00C6337B"/>
    <w:rsid w:val="00C64CF2"/>
    <w:rsid w:val="00C65485"/>
    <w:rsid w:val="00C65E54"/>
    <w:rsid w:val="00C703EC"/>
    <w:rsid w:val="00C71CFA"/>
    <w:rsid w:val="00C735C7"/>
    <w:rsid w:val="00C7640C"/>
    <w:rsid w:val="00C76420"/>
    <w:rsid w:val="00C775BA"/>
    <w:rsid w:val="00C7765C"/>
    <w:rsid w:val="00C77C34"/>
    <w:rsid w:val="00C80C79"/>
    <w:rsid w:val="00C81168"/>
    <w:rsid w:val="00C81D95"/>
    <w:rsid w:val="00C82F54"/>
    <w:rsid w:val="00C839B4"/>
    <w:rsid w:val="00C846CE"/>
    <w:rsid w:val="00C846FB"/>
    <w:rsid w:val="00C85AC5"/>
    <w:rsid w:val="00C86E7F"/>
    <w:rsid w:val="00C917CC"/>
    <w:rsid w:val="00C9297C"/>
    <w:rsid w:val="00C92B42"/>
    <w:rsid w:val="00C9317A"/>
    <w:rsid w:val="00C94520"/>
    <w:rsid w:val="00C945FF"/>
    <w:rsid w:val="00C948BB"/>
    <w:rsid w:val="00C96503"/>
    <w:rsid w:val="00C96804"/>
    <w:rsid w:val="00CA0489"/>
    <w:rsid w:val="00CA0B06"/>
    <w:rsid w:val="00CA0CE5"/>
    <w:rsid w:val="00CA1EDE"/>
    <w:rsid w:val="00CA3E65"/>
    <w:rsid w:val="00CA4AE3"/>
    <w:rsid w:val="00CA7A2D"/>
    <w:rsid w:val="00CB0EA2"/>
    <w:rsid w:val="00CB18FD"/>
    <w:rsid w:val="00CB42E9"/>
    <w:rsid w:val="00CB4739"/>
    <w:rsid w:val="00CB53E2"/>
    <w:rsid w:val="00CC2782"/>
    <w:rsid w:val="00CC2C32"/>
    <w:rsid w:val="00CC41B7"/>
    <w:rsid w:val="00CC45F0"/>
    <w:rsid w:val="00CC5556"/>
    <w:rsid w:val="00CC5EC3"/>
    <w:rsid w:val="00CD0328"/>
    <w:rsid w:val="00CD0578"/>
    <w:rsid w:val="00CD27DD"/>
    <w:rsid w:val="00CD3C70"/>
    <w:rsid w:val="00CD6CA8"/>
    <w:rsid w:val="00CD76E1"/>
    <w:rsid w:val="00CD7A0E"/>
    <w:rsid w:val="00CE0161"/>
    <w:rsid w:val="00CE44B3"/>
    <w:rsid w:val="00CE5286"/>
    <w:rsid w:val="00CE7A1A"/>
    <w:rsid w:val="00CF0B24"/>
    <w:rsid w:val="00CF1FE0"/>
    <w:rsid w:val="00CF2BC2"/>
    <w:rsid w:val="00CF2E1F"/>
    <w:rsid w:val="00CF4DC5"/>
    <w:rsid w:val="00D00295"/>
    <w:rsid w:val="00D01303"/>
    <w:rsid w:val="00D03489"/>
    <w:rsid w:val="00D03729"/>
    <w:rsid w:val="00D04394"/>
    <w:rsid w:val="00D06208"/>
    <w:rsid w:val="00D0774E"/>
    <w:rsid w:val="00D07F5B"/>
    <w:rsid w:val="00D12378"/>
    <w:rsid w:val="00D135EF"/>
    <w:rsid w:val="00D148E4"/>
    <w:rsid w:val="00D253E2"/>
    <w:rsid w:val="00D2671E"/>
    <w:rsid w:val="00D26BCA"/>
    <w:rsid w:val="00D2745F"/>
    <w:rsid w:val="00D311F2"/>
    <w:rsid w:val="00D3125F"/>
    <w:rsid w:val="00D31E87"/>
    <w:rsid w:val="00D34B25"/>
    <w:rsid w:val="00D34F93"/>
    <w:rsid w:val="00D42CC7"/>
    <w:rsid w:val="00D433A7"/>
    <w:rsid w:val="00D45B72"/>
    <w:rsid w:val="00D4642D"/>
    <w:rsid w:val="00D467A2"/>
    <w:rsid w:val="00D534C7"/>
    <w:rsid w:val="00D5489B"/>
    <w:rsid w:val="00D55E4E"/>
    <w:rsid w:val="00D56294"/>
    <w:rsid w:val="00D6141E"/>
    <w:rsid w:val="00D63589"/>
    <w:rsid w:val="00D640FD"/>
    <w:rsid w:val="00D65AA8"/>
    <w:rsid w:val="00D65D5F"/>
    <w:rsid w:val="00D66473"/>
    <w:rsid w:val="00D6754C"/>
    <w:rsid w:val="00D71C25"/>
    <w:rsid w:val="00D724D3"/>
    <w:rsid w:val="00D75F0A"/>
    <w:rsid w:val="00D8139D"/>
    <w:rsid w:val="00D828E5"/>
    <w:rsid w:val="00D83E34"/>
    <w:rsid w:val="00D852DA"/>
    <w:rsid w:val="00D8661F"/>
    <w:rsid w:val="00D87C60"/>
    <w:rsid w:val="00D9145E"/>
    <w:rsid w:val="00D93911"/>
    <w:rsid w:val="00D940B6"/>
    <w:rsid w:val="00D9445B"/>
    <w:rsid w:val="00D96FE9"/>
    <w:rsid w:val="00D970CF"/>
    <w:rsid w:val="00DA0AB5"/>
    <w:rsid w:val="00DA1A25"/>
    <w:rsid w:val="00DA46DC"/>
    <w:rsid w:val="00DA4BB7"/>
    <w:rsid w:val="00DA5A01"/>
    <w:rsid w:val="00DA61C9"/>
    <w:rsid w:val="00DA6D37"/>
    <w:rsid w:val="00DB1C6A"/>
    <w:rsid w:val="00DB2DF6"/>
    <w:rsid w:val="00DB45AF"/>
    <w:rsid w:val="00DB7946"/>
    <w:rsid w:val="00DB794E"/>
    <w:rsid w:val="00DC0627"/>
    <w:rsid w:val="00DC1C81"/>
    <w:rsid w:val="00DC2743"/>
    <w:rsid w:val="00DC2EC9"/>
    <w:rsid w:val="00DC4656"/>
    <w:rsid w:val="00DC4FBD"/>
    <w:rsid w:val="00DC55C9"/>
    <w:rsid w:val="00DC7025"/>
    <w:rsid w:val="00DD0AD3"/>
    <w:rsid w:val="00DD13E7"/>
    <w:rsid w:val="00DD2E2F"/>
    <w:rsid w:val="00DD5623"/>
    <w:rsid w:val="00DD5C63"/>
    <w:rsid w:val="00DD5DF5"/>
    <w:rsid w:val="00DD729A"/>
    <w:rsid w:val="00DD7CE6"/>
    <w:rsid w:val="00DD7ED0"/>
    <w:rsid w:val="00DE0063"/>
    <w:rsid w:val="00DE0D5A"/>
    <w:rsid w:val="00DE2385"/>
    <w:rsid w:val="00DE293F"/>
    <w:rsid w:val="00DE4383"/>
    <w:rsid w:val="00DE5095"/>
    <w:rsid w:val="00DE70FA"/>
    <w:rsid w:val="00DF133F"/>
    <w:rsid w:val="00DF149A"/>
    <w:rsid w:val="00DF66B4"/>
    <w:rsid w:val="00DF75A5"/>
    <w:rsid w:val="00E01BA9"/>
    <w:rsid w:val="00E01C4A"/>
    <w:rsid w:val="00E01DB8"/>
    <w:rsid w:val="00E027A5"/>
    <w:rsid w:val="00E0334F"/>
    <w:rsid w:val="00E07C7A"/>
    <w:rsid w:val="00E07D37"/>
    <w:rsid w:val="00E11C6B"/>
    <w:rsid w:val="00E124F3"/>
    <w:rsid w:val="00E171A6"/>
    <w:rsid w:val="00E17596"/>
    <w:rsid w:val="00E17BC8"/>
    <w:rsid w:val="00E20490"/>
    <w:rsid w:val="00E217C0"/>
    <w:rsid w:val="00E21CEC"/>
    <w:rsid w:val="00E2402D"/>
    <w:rsid w:val="00E2502B"/>
    <w:rsid w:val="00E25929"/>
    <w:rsid w:val="00E25A0E"/>
    <w:rsid w:val="00E30518"/>
    <w:rsid w:val="00E3193E"/>
    <w:rsid w:val="00E36518"/>
    <w:rsid w:val="00E379A6"/>
    <w:rsid w:val="00E41A34"/>
    <w:rsid w:val="00E42057"/>
    <w:rsid w:val="00E463F0"/>
    <w:rsid w:val="00E4675E"/>
    <w:rsid w:val="00E514D6"/>
    <w:rsid w:val="00E56A55"/>
    <w:rsid w:val="00E61D62"/>
    <w:rsid w:val="00E6375F"/>
    <w:rsid w:val="00E70124"/>
    <w:rsid w:val="00E70464"/>
    <w:rsid w:val="00E709FF"/>
    <w:rsid w:val="00E7156D"/>
    <w:rsid w:val="00E71DEB"/>
    <w:rsid w:val="00E73F18"/>
    <w:rsid w:val="00E74420"/>
    <w:rsid w:val="00E77498"/>
    <w:rsid w:val="00E8022F"/>
    <w:rsid w:val="00E8067D"/>
    <w:rsid w:val="00E80A07"/>
    <w:rsid w:val="00E81086"/>
    <w:rsid w:val="00E83584"/>
    <w:rsid w:val="00E83D11"/>
    <w:rsid w:val="00E90164"/>
    <w:rsid w:val="00E90515"/>
    <w:rsid w:val="00E925FD"/>
    <w:rsid w:val="00E9284F"/>
    <w:rsid w:val="00E9293E"/>
    <w:rsid w:val="00E92DA6"/>
    <w:rsid w:val="00E94190"/>
    <w:rsid w:val="00E94206"/>
    <w:rsid w:val="00E955EB"/>
    <w:rsid w:val="00E96538"/>
    <w:rsid w:val="00E9787E"/>
    <w:rsid w:val="00EA2F58"/>
    <w:rsid w:val="00EA30F7"/>
    <w:rsid w:val="00EA5E1D"/>
    <w:rsid w:val="00EA6460"/>
    <w:rsid w:val="00EA7631"/>
    <w:rsid w:val="00EB0626"/>
    <w:rsid w:val="00EB0BBF"/>
    <w:rsid w:val="00EB1B6D"/>
    <w:rsid w:val="00EB1E77"/>
    <w:rsid w:val="00EB548C"/>
    <w:rsid w:val="00EB6BD9"/>
    <w:rsid w:val="00EB7C16"/>
    <w:rsid w:val="00EC43FE"/>
    <w:rsid w:val="00EC6178"/>
    <w:rsid w:val="00EC7175"/>
    <w:rsid w:val="00EC7232"/>
    <w:rsid w:val="00ED0D00"/>
    <w:rsid w:val="00ED1337"/>
    <w:rsid w:val="00ED2993"/>
    <w:rsid w:val="00ED44A0"/>
    <w:rsid w:val="00ED58D3"/>
    <w:rsid w:val="00ED5E8A"/>
    <w:rsid w:val="00ED7164"/>
    <w:rsid w:val="00EE011F"/>
    <w:rsid w:val="00EE2DBD"/>
    <w:rsid w:val="00EE3A58"/>
    <w:rsid w:val="00EE3A65"/>
    <w:rsid w:val="00EE5D6C"/>
    <w:rsid w:val="00EE6380"/>
    <w:rsid w:val="00EE73D9"/>
    <w:rsid w:val="00EF279D"/>
    <w:rsid w:val="00EF46E4"/>
    <w:rsid w:val="00EF4A96"/>
    <w:rsid w:val="00EF5D21"/>
    <w:rsid w:val="00EF642D"/>
    <w:rsid w:val="00EF7D10"/>
    <w:rsid w:val="00F01C48"/>
    <w:rsid w:val="00F02A8E"/>
    <w:rsid w:val="00F0320F"/>
    <w:rsid w:val="00F03AC8"/>
    <w:rsid w:val="00F05348"/>
    <w:rsid w:val="00F10139"/>
    <w:rsid w:val="00F12C94"/>
    <w:rsid w:val="00F134AF"/>
    <w:rsid w:val="00F15BEA"/>
    <w:rsid w:val="00F165AB"/>
    <w:rsid w:val="00F22224"/>
    <w:rsid w:val="00F2415E"/>
    <w:rsid w:val="00F2445B"/>
    <w:rsid w:val="00F31308"/>
    <w:rsid w:val="00F33041"/>
    <w:rsid w:val="00F340A1"/>
    <w:rsid w:val="00F34976"/>
    <w:rsid w:val="00F356C5"/>
    <w:rsid w:val="00F40B9E"/>
    <w:rsid w:val="00F41DD1"/>
    <w:rsid w:val="00F4371C"/>
    <w:rsid w:val="00F451E7"/>
    <w:rsid w:val="00F455F0"/>
    <w:rsid w:val="00F46C54"/>
    <w:rsid w:val="00F47D75"/>
    <w:rsid w:val="00F51325"/>
    <w:rsid w:val="00F53B02"/>
    <w:rsid w:val="00F540C0"/>
    <w:rsid w:val="00F54631"/>
    <w:rsid w:val="00F549D7"/>
    <w:rsid w:val="00F5602B"/>
    <w:rsid w:val="00F6090E"/>
    <w:rsid w:val="00F60E86"/>
    <w:rsid w:val="00F6213F"/>
    <w:rsid w:val="00F63378"/>
    <w:rsid w:val="00F6353E"/>
    <w:rsid w:val="00F638C5"/>
    <w:rsid w:val="00F652F2"/>
    <w:rsid w:val="00F6574D"/>
    <w:rsid w:val="00F662A8"/>
    <w:rsid w:val="00F67843"/>
    <w:rsid w:val="00F71C80"/>
    <w:rsid w:val="00F71CD3"/>
    <w:rsid w:val="00F725B1"/>
    <w:rsid w:val="00F738F9"/>
    <w:rsid w:val="00F76679"/>
    <w:rsid w:val="00F76E2F"/>
    <w:rsid w:val="00F7724F"/>
    <w:rsid w:val="00F815C9"/>
    <w:rsid w:val="00F85E6D"/>
    <w:rsid w:val="00F905FF"/>
    <w:rsid w:val="00F90BDB"/>
    <w:rsid w:val="00F91239"/>
    <w:rsid w:val="00F91615"/>
    <w:rsid w:val="00F920FD"/>
    <w:rsid w:val="00F93ADD"/>
    <w:rsid w:val="00F93C55"/>
    <w:rsid w:val="00F95F82"/>
    <w:rsid w:val="00F967C5"/>
    <w:rsid w:val="00F96CE5"/>
    <w:rsid w:val="00FA0F7A"/>
    <w:rsid w:val="00FA1965"/>
    <w:rsid w:val="00FA358B"/>
    <w:rsid w:val="00FA409E"/>
    <w:rsid w:val="00FA46F8"/>
    <w:rsid w:val="00FA4D2C"/>
    <w:rsid w:val="00FA6735"/>
    <w:rsid w:val="00FB0CEC"/>
    <w:rsid w:val="00FB12A5"/>
    <w:rsid w:val="00FB37E0"/>
    <w:rsid w:val="00FB5187"/>
    <w:rsid w:val="00FB6D4A"/>
    <w:rsid w:val="00FC0595"/>
    <w:rsid w:val="00FC2726"/>
    <w:rsid w:val="00FC5F5B"/>
    <w:rsid w:val="00FC6164"/>
    <w:rsid w:val="00FC7FE3"/>
    <w:rsid w:val="00FD1627"/>
    <w:rsid w:val="00FD16F2"/>
    <w:rsid w:val="00FD1C17"/>
    <w:rsid w:val="00FD324E"/>
    <w:rsid w:val="00FD38E3"/>
    <w:rsid w:val="00FD49AF"/>
    <w:rsid w:val="00FD4DFF"/>
    <w:rsid w:val="00FD5EF8"/>
    <w:rsid w:val="00FD7062"/>
    <w:rsid w:val="00FD78BB"/>
    <w:rsid w:val="00FE10B8"/>
    <w:rsid w:val="00FE1EBA"/>
    <w:rsid w:val="00FE4E5E"/>
    <w:rsid w:val="00FE5BEC"/>
    <w:rsid w:val="00FE62A3"/>
    <w:rsid w:val="00FE79A7"/>
    <w:rsid w:val="00FE7FF7"/>
    <w:rsid w:val="00FE7FFC"/>
    <w:rsid w:val="00FF1894"/>
    <w:rsid w:val="00FF20B9"/>
    <w:rsid w:val="00FF2A3B"/>
    <w:rsid w:val="00FF3B65"/>
    <w:rsid w:val="00FF3FEC"/>
    <w:rsid w:val="00FF4378"/>
    <w:rsid w:val="00FF5EF8"/>
    <w:rsid w:val="00FF6421"/>
    <w:rsid w:val="00FF6B22"/>
    <w:rsid w:val="04D5637C"/>
    <w:rsid w:val="05EF030B"/>
    <w:rsid w:val="086B1F68"/>
    <w:rsid w:val="1B29074E"/>
    <w:rsid w:val="21243CEE"/>
    <w:rsid w:val="220A5F40"/>
    <w:rsid w:val="253A647E"/>
    <w:rsid w:val="32AF7046"/>
    <w:rsid w:val="334E7C15"/>
    <w:rsid w:val="3C8B5A78"/>
    <w:rsid w:val="479E2B03"/>
    <w:rsid w:val="4B313C8F"/>
    <w:rsid w:val="57EC4139"/>
    <w:rsid w:val="598361E9"/>
    <w:rsid w:val="5C515F3F"/>
    <w:rsid w:val="73D56FFD"/>
    <w:rsid w:val="77102758"/>
    <w:rsid w:val="78C87131"/>
    <w:rsid w:val="7BAA3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Normal Indent"/>
    <w:basedOn w:val="1"/>
    <w:semiHidden/>
    <w:unhideWhenUsed/>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3">
    <w:name w:val="annotation text"/>
    <w:basedOn w:val="1"/>
    <w:link w:val="35"/>
    <w:unhideWhenUsed/>
    <w:qFormat/>
    <w:uiPriority w:val="99"/>
    <w:pPr>
      <w:keepNext w:val="0"/>
      <w:keepLines w:val="0"/>
      <w:widowControl w:val="0"/>
      <w:suppressLineNumbers w:val="0"/>
      <w:spacing w:before="0" w:beforeAutospacing="0" w:after="0" w:afterAutospacing="0"/>
      <w:ind w:left="0" w:right="0"/>
      <w:jc w:val="left"/>
    </w:pPr>
    <w:rPr>
      <w:rFonts w:hint="default" w:ascii="Calibri" w:hAnsi="Calibri" w:eastAsia="宋体" w:cs="Times New Roman"/>
      <w:kern w:val="2"/>
      <w:sz w:val="21"/>
      <w:szCs w:val="24"/>
      <w:lang w:val="en-US" w:eastAsia="zh-CN" w:bidi="ar"/>
    </w:rPr>
  </w:style>
  <w:style w:type="paragraph" w:styleId="4">
    <w:name w:val="Plain Text"/>
    <w:basedOn w:val="1"/>
    <w:link w:val="20"/>
    <w:qFormat/>
    <w:uiPriority w:val="0"/>
    <w:rPr>
      <w:rFonts w:ascii="宋体" w:hAnsi="Courier New" w:cstheme="minorBidi"/>
    </w:rPr>
  </w:style>
  <w:style w:type="paragraph" w:styleId="5">
    <w:name w:val="Balloon Text"/>
    <w:basedOn w:val="1"/>
    <w:link w:val="27"/>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link w:val="21"/>
    <w:qFormat/>
    <w:uiPriority w:val="0"/>
    <w:pPr>
      <w:spacing w:line="480" w:lineRule="exact"/>
      <w:ind w:left="1260" w:hanging="1260" w:hangingChars="600"/>
    </w:pPr>
    <w:rPr>
      <w:rFonts w:asciiTheme="minorHAnsi" w:hAnsiTheme="minorHAnsi" w:eastAsiaTheme="minorEastAsia" w:cstheme="minorBidi"/>
    </w:rPr>
  </w:style>
  <w:style w:type="paragraph" w:styleId="9">
    <w:name w:val="Normal (Web)"/>
    <w:basedOn w:val="1"/>
    <w:semiHidden/>
    <w:unhideWhenUsed/>
    <w:qFormat/>
    <w:uiPriority w:val="99"/>
    <w:rPr>
      <w:sz w:val="24"/>
    </w:rPr>
  </w:style>
  <w:style w:type="paragraph" w:styleId="10">
    <w:name w:val="Title"/>
    <w:basedOn w:val="1"/>
    <w:next w:val="1"/>
    <w:link w:val="30"/>
    <w:qFormat/>
    <w:uiPriority w:val="10"/>
    <w:pPr>
      <w:numPr>
        <w:ilvl w:val="0"/>
        <w:numId w:val="1"/>
      </w:numPr>
      <w:spacing w:before="240" w:after="60"/>
      <w:jc w:val="left"/>
      <w:outlineLvl w:val="0"/>
    </w:pPr>
    <w:rPr>
      <w:rFonts w:ascii="Cambria" w:hAnsi="Cambria"/>
      <w:b/>
      <w:bCs/>
      <w:szCs w:val="21"/>
    </w:rPr>
  </w:style>
  <w:style w:type="paragraph" w:styleId="11">
    <w:name w:val="annotation subject"/>
    <w:basedOn w:val="3"/>
    <w:next w:val="3"/>
    <w:link w:val="28"/>
    <w:semiHidden/>
    <w:unhideWhenUsed/>
    <w:qFormat/>
    <w:uiPriority w:val="99"/>
    <w:rPr>
      <w:b/>
      <w:bCs/>
    </w:rPr>
  </w:style>
  <w:style w:type="character" w:styleId="14">
    <w:name w:val="Strong"/>
    <w:basedOn w:val="13"/>
    <w:qFormat/>
    <w:uiPriority w:val="22"/>
    <w:rPr>
      <w:b/>
      <w:bCs/>
    </w:rPr>
  </w:style>
  <w:style w:type="character" w:styleId="15">
    <w:name w:val="FollowedHyperlink"/>
    <w:basedOn w:val="13"/>
    <w:semiHidden/>
    <w:unhideWhenUsed/>
    <w:qFormat/>
    <w:uiPriority w:val="99"/>
    <w:rPr>
      <w:color w:val="954F72"/>
      <w:u w:val="single"/>
    </w:rPr>
  </w:style>
  <w:style w:type="character" w:styleId="16">
    <w:name w:val="Hyperlink"/>
    <w:qFormat/>
    <w:uiPriority w:val="99"/>
    <w:rPr>
      <w:rFonts w:eastAsia="宋体"/>
      <w:color w:val="3366CC"/>
      <w:kern w:val="2"/>
      <w:sz w:val="24"/>
      <w:szCs w:val="24"/>
      <w:u w:val="none"/>
      <w:lang w:val="en-US" w:eastAsia="zh-CN" w:bidi="ar-SA"/>
    </w:rPr>
  </w:style>
  <w:style w:type="character" w:styleId="17">
    <w:name w:val="annotation reference"/>
    <w:basedOn w:val="13"/>
    <w:unhideWhenUsed/>
    <w:qFormat/>
    <w:uiPriority w:val="99"/>
    <w:rPr>
      <w:sz w:val="21"/>
      <w:szCs w:val="21"/>
    </w:rPr>
  </w:style>
  <w:style w:type="character" w:customStyle="1" w:styleId="18">
    <w:name w:val="页眉 字符"/>
    <w:basedOn w:val="13"/>
    <w:link w:val="7"/>
    <w:qFormat/>
    <w:uiPriority w:val="99"/>
    <w:rPr>
      <w:sz w:val="18"/>
      <w:szCs w:val="18"/>
    </w:rPr>
  </w:style>
  <w:style w:type="character" w:customStyle="1" w:styleId="19">
    <w:name w:val="页脚 字符"/>
    <w:basedOn w:val="13"/>
    <w:link w:val="6"/>
    <w:qFormat/>
    <w:uiPriority w:val="99"/>
    <w:rPr>
      <w:sz w:val="18"/>
      <w:szCs w:val="18"/>
    </w:rPr>
  </w:style>
  <w:style w:type="character" w:customStyle="1" w:styleId="20">
    <w:name w:val="纯文本 字符"/>
    <w:link w:val="4"/>
    <w:qFormat/>
    <w:locked/>
    <w:uiPriority w:val="0"/>
    <w:rPr>
      <w:rFonts w:ascii="宋体" w:hAnsi="Courier New" w:eastAsia="宋体"/>
      <w:szCs w:val="24"/>
    </w:rPr>
  </w:style>
  <w:style w:type="character" w:customStyle="1" w:styleId="21">
    <w:name w:val="正文文本缩进 3 字符"/>
    <w:link w:val="8"/>
    <w:qFormat/>
    <w:uiPriority w:val="0"/>
    <w:rPr>
      <w:szCs w:val="24"/>
    </w:rPr>
  </w:style>
  <w:style w:type="character" w:customStyle="1" w:styleId="22">
    <w:name w:val="正文文本缩进 3 Char1"/>
    <w:basedOn w:val="13"/>
    <w:semiHidden/>
    <w:qFormat/>
    <w:uiPriority w:val="99"/>
    <w:rPr>
      <w:rFonts w:ascii="Times New Roman" w:hAnsi="Times New Roman" w:eastAsia="宋体" w:cs="Times New Roman"/>
      <w:sz w:val="16"/>
      <w:szCs w:val="16"/>
    </w:rPr>
  </w:style>
  <w:style w:type="character" w:customStyle="1" w:styleId="23">
    <w:name w:val="纯文本 Char1"/>
    <w:basedOn w:val="13"/>
    <w:semiHidden/>
    <w:qFormat/>
    <w:uiPriority w:val="99"/>
    <w:rPr>
      <w:rFonts w:ascii="宋体" w:hAnsi="Courier New" w:eastAsia="宋体" w:cs="Courier New"/>
      <w:szCs w:val="21"/>
    </w:rPr>
  </w:style>
  <w:style w:type="paragraph" w:styleId="24">
    <w:name w:val="List Paragraph"/>
    <w:basedOn w:val="1"/>
    <w:link w:val="25"/>
    <w:qFormat/>
    <w:uiPriority w:val="34"/>
    <w:pPr>
      <w:ind w:firstLine="420" w:firstLineChars="200"/>
    </w:pPr>
  </w:style>
  <w:style w:type="character" w:customStyle="1" w:styleId="25">
    <w:name w:val="列表段落 字符"/>
    <w:link w:val="24"/>
    <w:qFormat/>
    <w:locked/>
    <w:uiPriority w:val="34"/>
    <w:rPr>
      <w:rFonts w:ascii="Times New Roman" w:hAnsi="Times New Roman" w:eastAsia="宋体" w:cs="Times New Roman"/>
      <w:szCs w:val="24"/>
    </w:rPr>
  </w:style>
  <w:style w:type="character" w:customStyle="1" w:styleId="26">
    <w:name w:val="批注文字 字符"/>
    <w:basedOn w:val="13"/>
    <w:link w:val="3"/>
    <w:qFormat/>
    <w:uiPriority w:val="99"/>
    <w:rPr>
      <w:rFonts w:ascii="Times New Roman" w:hAnsi="Times New Roman" w:eastAsia="宋体" w:cs="Times New Roman"/>
      <w:szCs w:val="24"/>
    </w:rPr>
  </w:style>
  <w:style w:type="character" w:customStyle="1" w:styleId="27">
    <w:name w:val="批注框文本 字符"/>
    <w:basedOn w:val="13"/>
    <w:link w:val="5"/>
    <w:semiHidden/>
    <w:qFormat/>
    <w:uiPriority w:val="99"/>
    <w:rPr>
      <w:rFonts w:ascii="Times New Roman" w:hAnsi="Times New Roman" w:eastAsia="宋体" w:cs="Times New Roman"/>
      <w:sz w:val="18"/>
      <w:szCs w:val="18"/>
    </w:rPr>
  </w:style>
  <w:style w:type="character" w:customStyle="1" w:styleId="28">
    <w:name w:val="批注主题 字符"/>
    <w:basedOn w:val="26"/>
    <w:link w:val="11"/>
    <w:semiHidden/>
    <w:qFormat/>
    <w:uiPriority w:val="99"/>
    <w:rPr>
      <w:rFonts w:ascii="Times New Roman" w:hAnsi="Times New Roman" w:eastAsia="宋体" w:cs="Times New Roman"/>
      <w:b/>
      <w:bCs/>
      <w:szCs w:val="24"/>
    </w:rPr>
  </w:style>
  <w:style w:type="paragraph" w:customStyle="1" w:styleId="29">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30">
    <w:name w:val="标题 字符"/>
    <w:basedOn w:val="13"/>
    <w:link w:val="10"/>
    <w:qFormat/>
    <w:uiPriority w:val="10"/>
    <w:rPr>
      <w:rFonts w:ascii="Cambria" w:hAnsi="Cambria" w:eastAsia="宋体" w:cs="Times New Roman"/>
      <w:b/>
      <w:bCs/>
      <w:szCs w:val="21"/>
    </w:rPr>
  </w:style>
  <w:style w:type="character" w:customStyle="1" w:styleId="31">
    <w:name w:val="fontstyle01"/>
    <w:qFormat/>
    <w:uiPriority w:val="0"/>
    <w:rPr>
      <w:rFonts w:hint="default" w:ascii="FEFBDACD875-Roman" w:hAnsi="FEFBDACD875-Roman"/>
      <w:color w:val="000000"/>
      <w:sz w:val="22"/>
      <w:szCs w:val="22"/>
    </w:rPr>
  </w:style>
  <w:style w:type="character" w:customStyle="1" w:styleId="32">
    <w:name w:val="fontstyle21"/>
    <w:qFormat/>
    <w:uiPriority w:val="0"/>
    <w:rPr>
      <w:rFonts w:hint="default" w:ascii="FEF9B83B7D0-Roman" w:hAnsi="FEF9B83B7D0-Roman"/>
      <w:color w:val="000000"/>
      <w:sz w:val="22"/>
      <w:szCs w:val="22"/>
    </w:rPr>
  </w:style>
  <w:style w:type="paragraph" w:customStyle="1" w:styleId="33">
    <w:name w:val="null3"/>
    <w:basedOn w:val="1"/>
    <w:qFormat/>
    <w:uiPriority w:val="0"/>
    <w:pPr>
      <w:keepNext w:val="0"/>
      <w:keepLines w:val="0"/>
      <w:widowControl/>
      <w:suppressLineNumbers w:val="0"/>
      <w:spacing w:before="0" w:beforeAutospacing="0" w:after="0" w:afterAutospacing="0"/>
      <w:ind w:left="0" w:right="0"/>
      <w:jc w:val="left"/>
    </w:pPr>
    <w:rPr>
      <w:rFonts w:hint="default" w:ascii="Calibri" w:hAnsi="Calibri" w:eastAsia="宋体" w:cs="Times New Roman"/>
      <w:kern w:val="0"/>
      <w:sz w:val="20"/>
      <w:szCs w:val="20"/>
      <w:lang w:val="en-US" w:eastAsia="zh-CN" w:bidi="ar"/>
    </w:rPr>
  </w:style>
  <w:style w:type="paragraph" w:customStyle="1" w:styleId="34">
    <w:name w:val="Table Paragraph"/>
    <w:basedOn w:val="1"/>
    <w:hidden/>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2"/>
      <w:sz w:val="21"/>
      <w:szCs w:val="21"/>
      <w:lang w:val="en-US" w:eastAsia="zh-CN" w:bidi="ar"/>
    </w:rPr>
  </w:style>
  <w:style w:type="character" w:customStyle="1" w:styleId="35">
    <w:name w:val="批注文字 字符1"/>
    <w:basedOn w:val="13"/>
    <w:link w:val="3"/>
    <w:qFormat/>
    <w:uiPriority w:val="0"/>
    <w:rPr>
      <w:kern w:val="2"/>
      <w:sz w:val="21"/>
      <w:szCs w:val="24"/>
    </w:rPr>
  </w:style>
  <w:style w:type="character" w:customStyle="1" w:styleId="36">
    <w:name w:val="font51"/>
    <w:basedOn w:val="13"/>
    <w:qFormat/>
    <w:uiPriority w:val="0"/>
    <w:rPr>
      <w:rFonts w:hint="eastAsia" w:ascii="仿宋" w:hAnsi="仿宋" w:eastAsia="仿宋" w:cs="仿宋"/>
      <w:color w:val="FF00FF"/>
      <w:sz w:val="24"/>
      <w:szCs w:val="24"/>
      <w:u w:val="none"/>
    </w:rPr>
  </w:style>
  <w:style w:type="character" w:customStyle="1" w:styleId="37">
    <w:name w:val="font11"/>
    <w:basedOn w:val="13"/>
    <w:qFormat/>
    <w:uiPriority w:val="0"/>
    <w:rPr>
      <w:rFonts w:hint="eastAsia" w:ascii="仿宋" w:hAnsi="仿宋" w:eastAsia="仿宋" w:cs="仿宋"/>
      <w:color w:val="000000"/>
      <w:sz w:val="24"/>
      <w:szCs w:val="24"/>
      <w:u w:val="none"/>
    </w:rPr>
  </w:style>
  <w:style w:type="character" w:customStyle="1" w:styleId="38">
    <w:name w:val="font21"/>
    <w:basedOn w:val="1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931E0-E99C-483D-B7D4-72FDB1B5456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1743</Words>
  <Characters>1884</Characters>
  <Lines>25</Lines>
  <Paragraphs>7</Paragraphs>
  <TotalTime>0</TotalTime>
  <ScaleCrop>false</ScaleCrop>
  <LinksUpToDate>false</LinksUpToDate>
  <CharactersWithSpaces>1889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2026-08-17T07:03:00Z</dcterms:created>
  <dc:creator>AutoBVT</dc:creator>
  <cp:lastModifiedBy>代理</cp:lastModifiedBy>
  <dcterms:modified xsi:type="dcterms:W3CDTF">2026-09-01T06:28:28Z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48FE4E8F8C8741DFA17318EBB664F233_13</vt:lpwstr>
  </property>
  <property fmtid="{D5CDD505-2E9C-101B-9397-08002B2CF9AE}" pid="4" name="KSOTemplateDocerSaveRecord">
    <vt:lpwstr>eyJoZGlkIjoiODlhZmY3NzdhYWI1Y2Q3YmYyYzJlZThjODg5ODI0YzYiLCJ1c2VySWQiOiI5MTQwODUyOTQifQ==</vt:lpwstr>
  </property>
</Properties>
</file>