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hint="eastAsia" w:ascii="华文中宋" w:hAnsi="华文中宋" w:eastAsia="华文中宋"/>
          <w:b/>
          <w:color w:val="auto"/>
          <w:sz w:val="72"/>
          <w:highlight w:val="none"/>
        </w:rPr>
      </w:pPr>
      <w:r>
        <w:rPr>
          <w:rFonts w:ascii="宋体" w:hAnsi="宋体" w:cs="宋体"/>
          <w:color w:val="auto"/>
          <w:sz w:val="24"/>
          <w:highlight w:val="none"/>
        </w:rPr>
        <w:drawing>
          <wp:inline distT="0" distB="0" distL="114300" distR="114300">
            <wp:extent cx="1334135" cy="1195705"/>
            <wp:effectExtent l="0" t="0" r="18415" b="4445"/>
            <wp:docPr id="3" name="图片 1" descr="{9KYQQ}GOZ1{]~8T6VE]_3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9KYQQ}GOZ1{]~8T6VE]_3Y"/>
                    <pic:cNvPicPr>
                      <a:picLocks noChangeAspect="1"/>
                    </pic:cNvPicPr>
                  </pic:nvPicPr>
                  <pic:blipFill>
                    <a:blip r:embed="rId9"/>
                    <a:stretch>
                      <a:fillRect/>
                    </a:stretch>
                  </pic:blipFill>
                  <pic:spPr>
                    <a:xfrm>
                      <a:off x="0" y="0"/>
                      <a:ext cx="1334135" cy="1195705"/>
                    </a:xfrm>
                    <a:prstGeom prst="rect">
                      <a:avLst/>
                    </a:prstGeom>
                    <a:noFill/>
                    <a:ln>
                      <a:noFill/>
                    </a:ln>
                  </pic:spPr>
                </pic:pic>
              </a:graphicData>
            </a:graphic>
          </wp:inline>
        </w:drawing>
      </w:r>
    </w:p>
    <w:p>
      <w:pPr>
        <w:spacing w:line="480" w:lineRule="auto"/>
        <w:rPr>
          <w:rFonts w:hint="eastAsia" w:ascii="华文中宋" w:hAnsi="华文中宋" w:eastAsia="华文中宋"/>
          <w:b/>
          <w:color w:val="auto"/>
          <w:sz w:val="60"/>
          <w:szCs w:val="22"/>
          <w:highlight w:val="none"/>
        </w:rPr>
      </w:pPr>
    </w:p>
    <w:p>
      <w:pPr>
        <w:snapToGrid w:val="0"/>
        <w:jc w:val="center"/>
        <w:rPr>
          <w:rFonts w:hint="eastAsia" w:ascii="黑体" w:eastAsia="黑体"/>
          <w:b/>
          <w:bCs/>
          <w:color w:val="auto"/>
          <w:sz w:val="72"/>
          <w:szCs w:val="72"/>
          <w:highlight w:val="none"/>
        </w:rPr>
      </w:pPr>
      <w:r>
        <w:rPr>
          <w:rFonts w:hint="eastAsia" w:ascii="黑体" w:hAnsi="华文中宋" w:eastAsia="黑体" w:cs="华文中宋"/>
          <w:b/>
          <w:bCs/>
          <w:color w:val="auto"/>
          <w:sz w:val="72"/>
          <w:szCs w:val="72"/>
          <w:highlight w:val="none"/>
          <w:lang w:eastAsia="zh-CN"/>
        </w:rPr>
        <w:t>服务</w:t>
      </w:r>
      <w:r>
        <w:rPr>
          <w:rFonts w:hint="eastAsia" w:ascii="黑体" w:hAnsi="华文中宋" w:eastAsia="黑体" w:cs="华文中宋"/>
          <w:b/>
          <w:bCs/>
          <w:color w:val="auto"/>
          <w:sz w:val="72"/>
          <w:szCs w:val="72"/>
          <w:highlight w:val="none"/>
        </w:rPr>
        <w:t>采购</w:t>
      </w:r>
    </w:p>
    <w:p>
      <w:pPr>
        <w:snapToGrid w:val="0"/>
        <w:spacing w:before="156" w:beforeLines="50"/>
        <w:jc w:val="center"/>
        <w:rPr>
          <w:rFonts w:hint="eastAsia" w:ascii="仿宋_GB2312" w:eastAsia="仿宋_GB2312"/>
          <w:b/>
          <w:bCs/>
          <w:color w:val="auto"/>
          <w:sz w:val="72"/>
          <w:szCs w:val="72"/>
          <w:highlight w:val="none"/>
        </w:rPr>
      </w:pPr>
      <w:r>
        <w:rPr>
          <w:rFonts w:hint="eastAsia" w:ascii="黑体" w:hAnsi="华文中宋" w:eastAsia="黑体" w:cs="华文中宋"/>
          <w:b/>
          <w:bCs/>
          <w:color w:val="auto"/>
          <w:sz w:val="72"/>
          <w:szCs w:val="72"/>
          <w:highlight w:val="none"/>
        </w:rPr>
        <w:t>公开招标文件</w:t>
      </w:r>
    </w:p>
    <w:p>
      <w:pPr>
        <w:spacing w:line="240" w:lineRule="auto"/>
        <w:rPr>
          <w:rFonts w:ascii="黑体" w:eastAsia="黑体"/>
          <w:b/>
          <w:bCs/>
          <w:color w:val="auto"/>
          <w:sz w:val="44"/>
          <w:szCs w:val="44"/>
          <w:highlight w:val="none"/>
        </w:rPr>
      </w:pPr>
    </w:p>
    <w:p>
      <w:pPr>
        <w:spacing w:line="240" w:lineRule="auto"/>
        <w:rPr>
          <w:rFonts w:hint="eastAsia" w:ascii="宋体" w:hAnsi="宋体"/>
          <w:color w:val="auto"/>
          <w:sz w:val="24"/>
          <w:highlight w:val="none"/>
        </w:rPr>
      </w:pPr>
    </w:p>
    <w:p>
      <w:pPr>
        <w:spacing w:line="240" w:lineRule="auto"/>
        <w:rPr>
          <w:rFonts w:hint="eastAsia" w:ascii="宋体" w:hAnsi="宋体"/>
          <w:color w:val="auto"/>
          <w:sz w:val="24"/>
          <w:highlight w:val="none"/>
        </w:rPr>
      </w:pPr>
    </w:p>
    <w:p>
      <w:pPr>
        <w:pStyle w:val="8"/>
        <w:spacing w:line="360" w:lineRule="auto"/>
        <w:ind w:left="0" w:leftChars="0" w:firstLine="1484" w:firstLineChars="462"/>
        <w:rPr>
          <w:rFonts w:hint="eastAsia" w:ascii="仿宋_GB2312" w:eastAsia="仿宋_GB2312"/>
          <w:b/>
          <w:color w:val="auto"/>
          <w:sz w:val="32"/>
          <w:highlight w:val="none"/>
        </w:rPr>
      </w:pPr>
    </w:p>
    <w:p>
      <w:pPr>
        <w:pStyle w:val="8"/>
        <w:spacing w:line="360" w:lineRule="auto"/>
        <w:ind w:left="0" w:leftChars="0" w:firstLine="0" w:firstLineChars="0"/>
        <w:jc w:val="center"/>
        <w:rPr>
          <w:rFonts w:hint="eastAsia" w:ascii="仿宋_GB2312" w:eastAsia="仿宋_GB2312"/>
          <w:b/>
          <w:color w:val="auto"/>
          <w:sz w:val="32"/>
          <w:highlight w:val="none"/>
        </w:rPr>
      </w:pPr>
      <w:r>
        <w:rPr>
          <w:rFonts w:hint="eastAsia" w:ascii="仿宋_GB2312" w:eastAsia="仿宋_GB2312"/>
          <w:b/>
          <w:color w:val="auto"/>
          <w:sz w:val="32"/>
          <w:highlight w:val="none"/>
        </w:rPr>
        <w:t>项目编号：</w:t>
      </w:r>
      <w:r>
        <w:rPr>
          <w:rFonts w:hint="eastAsia" w:ascii="仿宋_GB2312" w:eastAsia="仿宋_GB2312"/>
          <w:b/>
          <w:color w:val="auto"/>
          <w:sz w:val="32"/>
          <w:highlight w:val="none"/>
          <w:lang w:eastAsia="zh-CN"/>
        </w:rPr>
        <w:t>GDZC-26GZ092</w:t>
      </w:r>
    </w:p>
    <w:p>
      <w:pPr>
        <w:pStyle w:val="8"/>
        <w:spacing w:line="360" w:lineRule="auto"/>
        <w:ind w:left="0" w:leftChars="0" w:firstLine="0" w:firstLineChars="0"/>
        <w:jc w:val="center"/>
        <w:rPr>
          <w:rFonts w:hint="eastAsia" w:ascii="仿宋_GB2312" w:eastAsia="仿宋_GB2312"/>
          <w:b/>
          <w:color w:val="auto"/>
          <w:sz w:val="32"/>
          <w:highlight w:val="none"/>
          <w:lang w:eastAsia="zh-CN"/>
        </w:rPr>
      </w:pPr>
      <w:r>
        <w:rPr>
          <w:rFonts w:hint="eastAsia" w:ascii="仿宋_GB2312" w:eastAsia="仿宋_GB2312"/>
          <w:b/>
          <w:color w:val="auto"/>
          <w:sz w:val="32"/>
          <w:highlight w:val="none"/>
        </w:rPr>
        <w:t>项目名称：</w:t>
      </w:r>
      <w:bookmarkStart w:id="0" w:name="OLE_LINK1"/>
      <w:r>
        <w:rPr>
          <w:rFonts w:hint="eastAsia" w:ascii="仿宋_GB2312" w:eastAsia="仿宋_GB2312"/>
          <w:b/>
          <w:color w:val="auto"/>
          <w:sz w:val="32"/>
          <w:highlight w:val="none"/>
          <w:lang w:eastAsia="zh-CN"/>
        </w:rPr>
        <w:t>三水文化中心物业</w:t>
      </w:r>
      <w:r>
        <w:rPr>
          <w:rFonts w:hint="eastAsia" w:ascii="仿宋_GB2312" w:eastAsia="仿宋_GB2312"/>
          <w:b/>
          <w:color w:val="auto"/>
          <w:sz w:val="32"/>
          <w:highlight w:val="none"/>
          <w:lang w:val="en-US" w:eastAsia="zh-CN"/>
        </w:rPr>
        <w:tab/>
      </w:r>
      <w:r>
        <w:rPr>
          <w:rFonts w:hint="eastAsia" w:ascii="仿宋_GB2312" w:eastAsia="仿宋_GB2312"/>
          <w:b/>
          <w:color w:val="auto"/>
          <w:sz w:val="32"/>
          <w:highlight w:val="none"/>
          <w:lang w:eastAsia="zh-CN"/>
        </w:rPr>
        <w:t>管理服务项目</w:t>
      </w:r>
      <w:bookmarkEnd w:id="0"/>
    </w:p>
    <w:p>
      <w:pPr>
        <w:spacing w:line="360" w:lineRule="auto"/>
        <w:ind w:firstLine="1500" w:firstLineChars="500"/>
        <w:rPr>
          <w:rFonts w:hint="eastAsia" w:ascii="黑体" w:hAnsi="华文中宋" w:eastAsia="黑体" w:cs="华文中宋"/>
          <w:color w:val="auto"/>
          <w:sz w:val="30"/>
          <w:szCs w:val="30"/>
          <w:highlight w:val="none"/>
        </w:rPr>
      </w:pPr>
    </w:p>
    <w:p>
      <w:pPr>
        <w:spacing w:line="360" w:lineRule="auto"/>
        <w:ind w:left="0" w:leftChars="0" w:firstLine="0" w:firstLineChars="0"/>
        <w:jc w:val="center"/>
        <w:rPr>
          <w:rFonts w:hint="eastAsia" w:eastAsia="华文中宋"/>
          <w:color w:val="auto"/>
          <w:sz w:val="30"/>
          <w:highlight w:val="none"/>
        </w:rPr>
      </w:pPr>
      <w:r>
        <w:rPr>
          <w:rFonts w:hint="eastAsia" w:ascii="黑体" w:hAnsi="华文中宋" w:eastAsia="黑体" w:cs="华文中宋"/>
          <w:color w:val="auto"/>
          <w:sz w:val="30"/>
          <w:szCs w:val="30"/>
          <w:highlight w:val="none"/>
          <w:lang w:eastAsia="zh-CN"/>
        </w:rPr>
        <w:t>招标人</w:t>
      </w:r>
      <w:r>
        <w:rPr>
          <w:rFonts w:hint="eastAsia" w:ascii="黑体" w:hAnsi="华文中宋" w:eastAsia="黑体" w:cs="华文中宋"/>
          <w:color w:val="auto"/>
          <w:sz w:val="30"/>
          <w:szCs w:val="30"/>
          <w:highlight w:val="none"/>
        </w:rPr>
        <w:t>：</w:t>
      </w:r>
      <w:r>
        <w:rPr>
          <w:rFonts w:hint="eastAsia" w:ascii="黑体" w:hAnsi="华文中宋" w:eastAsia="黑体" w:cs="华文中宋"/>
          <w:color w:val="auto"/>
          <w:sz w:val="30"/>
          <w:szCs w:val="30"/>
          <w:highlight w:val="none"/>
          <w:lang w:eastAsia="zh-CN"/>
        </w:rPr>
        <w:t>佛山市三水云东海新城开发投资有限公司</w:t>
      </w:r>
    </w:p>
    <w:p>
      <w:pPr>
        <w:spacing w:line="360" w:lineRule="auto"/>
        <w:ind w:left="0" w:leftChars="0" w:firstLine="0" w:firstLineChars="0"/>
        <w:jc w:val="center"/>
        <w:rPr>
          <w:rFonts w:hint="eastAsia" w:ascii="黑体" w:hAnsi="华文中宋" w:eastAsia="黑体" w:cs="华文中宋"/>
          <w:color w:val="auto"/>
          <w:sz w:val="30"/>
          <w:szCs w:val="30"/>
          <w:highlight w:val="none"/>
        </w:rPr>
      </w:pPr>
      <w:r>
        <w:rPr>
          <w:rFonts w:hint="eastAsia" w:ascii="黑体" w:hAnsi="华文中宋" w:eastAsia="黑体" w:cs="华文中宋"/>
          <w:color w:val="auto"/>
          <w:sz w:val="30"/>
          <w:szCs w:val="30"/>
          <w:highlight w:val="none"/>
          <w:lang w:eastAsia="zh-CN"/>
        </w:rPr>
        <w:t>招标代理机构</w:t>
      </w:r>
      <w:r>
        <w:rPr>
          <w:rFonts w:hint="eastAsia" w:ascii="黑体" w:hAnsi="华文中宋" w:eastAsia="黑体" w:cs="华文中宋"/>
          <w:color w:val="auto"/>
          <w:sz w:val="30"/>
          <w:szCs w:val="30"/>
          <w:highlight w:val="none"/>
        </w:rPr>
        <w:t>：广东中采招标有限公司</w:t>
      </w:r>
    </w:p>
    <w:p>
      <w:pPr>
        <w:snapToGrid w:val="0"/>
        <w:spacing w:line="360" w:lineRule="auto"/>
        <w:jc w:val="center"/>
        <w:rPr>
          <w:rFonts w:hint="eastAsia" w:ascii="黑体" w:hAnsi="华文中宋" w:eastAsia="黑体" w:cs="华文中宋"/>
          <w:color w:val="auto"/>
          <w:sz w:val="30"/>
          <w:szCs w:val="30"/>
          <w:highlight w:val="none"/>
          <w:lang w:eastAsia="zh-CN"/>
        </w:rPr>
      </w:pPr>
    </w:p>
    <w:p>
      <w:pPr>
        <w:snapToGrid w:val="0"/>
        <w:spacing w:line="360" w:lineRule="auto"/>
        <w:jc w:val="center"/>
        <w:rPr>
          <w:b/>
          <w:color w:val="auto"/>
        </w:rPr>
      </w:pPr>
      <w:r>
        <w:rPr>
          <w:rFonts w:hint="eastAsia" w:ascii="黑体" w:hAnsi="华文中宋" w:eastAsia="黑体" w:cs="华文中宋"/>
          <w:color w:val="auto"/>
          <w:sz w:val="30"/>
          <w:szCs w:val="30"/>
          <w:highlight w:val="none"/>
          <w:lang w:eastAsia="zh-CN"/>
        </w:rPr>
        <w:t>2026年</w:t>
      </w:r>
      <w:r>
        <w:rPr>
          <w:rFonts w:hint="eastAsia" w:ascii="黑体" w:hAnsi="华文中宋" w:eastAsia="黑体" w:cs="华文中宋"/>
          <w:color w:val="auto"/>
          <w:sz w:val="30"/>
          <w:szCs w:val="30"/>
          <w:highlight w:val="none"/>
          <w:lang w:val="en-US" w:eastAsia="zh-CN"/>
        </w:rPr>
        <w:t>8月</w:t>
      </w:r>
      <w:r>
        <w:rPr>
          <w:b/>
          <w:color w:val="auto"/>
        </w:rPr>
        <w:br w:type="page"/>
      </w:r>
    </w:p>
    <w:p>
      <w:pPr>
        <w:jc w:val="center"/>
        <w:rPr>
          <w:rFonts w:hint="eastAsia" w:ascii="黑体" w:hAnsi="黑体" w:eastAsia="黑体"/>
          <w:b/>
          <w:bCs/>
          <w:color w:val="auto"/>
          <w:sz w:val="40"/>
          <w:szCs w:val="36"/>
        </w:rPr>
      </w:pPr>
      <w:bookmarkStart w:id="1" w:name="_Toc436739728"/>
      <w:r>
        <w:rPr>
          <w:rFonts w:hint="eastAsia" w:ascii="黑体" w:hAnsi="黑体" w:eastAsia="黑体"/>
          <w:b/>
          <w:bCs/>
          <w:color w:val="auto"/>
          <w:sz w:val="40"/>
          <w:szCs w:val="36"/>
        </w:rPr>
        <w:t>目  录</w:t>
      </w:r>
      <w:bookmarkEnd w:id="1"/>
    </w:p>
    <w:p>
      <w:pPr>
        <w:pStyle w:val="11"/>
        <w:tabs>
          <w:tab w:val="right" w:leader="dot" w:pos="9298"/>
          <w:tab w:val="clear" w:pos="9288"/>
        </w:tabs>
        <w:rPr>
          <w:color w:val="auto"/>
        </w:rPr>
      </w:pPr>
      <w:r>
        <w:rPr>
          <w:color w:val="auto"/>
          <w:szCs w:val="24"/>
        </w:rPr>
        <w:fldChar w:fldCharType="begin"/>
      </w:r>
      <w:r>
        <w:rPr>
          <w:color w:val="auto"/>
          <w:szCs w:val="24"/>
        </w:rPr>
        <w:instrText xml:space="preserve"> TOC \o "1-1" \h \z \u </w:instrText>
      </w:r>
      <w:r>
        <w:rPr>
          <w:color w:val="auto"/>
          <w:szCs w:val="24"/>
        </w:rPr>
        <w:fldChar w:fldCharType="separate"/>
      </w:r>
      <w:r>
        <w:rPr>
          <w:color w:val="auto"/>
          <w:szCs w:val="24"/>
        </w:rPr>
        <w:fldChar w:fldCharType="begin"/>
      </w:r>
      <w:r>
        <w:rPr>
          <w:color w:val="auto"/>
          <w:szCs w:val="24"/>
        </w:rPr>
        <w:instrText xml:space="preserve"> HYPERLINK \l _Toc16975 </w:instrText>
      </w:r>
      <w:r>
        <w:rPr>
          <w:color w:val="auto"/>
          <w:szCs w:val="24"/>
        </w:rPr>
        <w:fldChar w:fldCharType="separate"/>
      </w:r>
      <w:r>
        <w:rPr>
          <w:rFonts w:hint="eastAsia"/>
          <w:color w:val="auto"/>
        </w:rPr>
        <w:t>第一部分  投标邀请函</w:t>
      </w:r>
      <w:r>
        <w:rPr>
          <w:color w:val="auto"/>
        </w:rPr>
        <w:tab/>
      </w:r>
      <w:r>
        <w:rPr>
          <w:color w:val="auto"/>
        </w:rPr>
        <w:fldChar w:fldCharType="begin"/>
      </w:r>
      <w:r>
        <w:rPr>
          <w:color w:val="auto"/>
        </w:rPr>
        <w:instrText xml:space="preserve"> PAGEREF _Toc16975 \h </w:instrText>
      </w:r>
      <w:r>
        <w:rPr>
          <w:color w:val="auto"/>
        </w:rPr>
        <w:fldChar w:fldCharType="separate"/>
      </w:r>
      <w:r>
        <w:rPr>
          <w:color w:val="auto"/>
        </w:rPr>
        <w:t>3</w:t>
      </w:r>
      <w:r>
        <w:rPr>
          <w:color w:val="auto"/>
        </w:rPr>
        <w:fldChar w:fldCharType="end"/>
      </w:r>
      <w:r>
        <w:rPr>
          <w:color w:val="auto"/>
          <w:szCs w:val="24"/>
        </w:rPr>
        <w:fldChar w:fldCharType="end"/>
      </w:r>
    </w:p>
    <w:p>
      <w:pPr>
        <w:pStyle w:val="11"/>
        <w:tabs>
          <w:tab w:val="right" w:leader="dot" w:pos="9298"/>
          <w:tab w:val="clear" w:pos="9288"/>
        </w:tabs>
        <w:rPr>
          <w:color w:val="auto"/>
        </w:rPr>
      </w:pPr>
      <w:r>
        <w:rPr>
          <w:color w:val="auto"/>
          <w:szCs w:val="24"/>
        </w:rPr>
        <w:fldChar w:fldCharType="begin"/>
      </w:r>
      <w:r>
        <w:rPr>
          <w:color w:val="auto"/>
          <w:szCs w:val="24"/>
        </w:rPr>
        <w:instrText xml:space="preserve"> HYPERLINK \l _Toc4596 </w:instrText>
      </w:r>
      <w:r>
        <w:rPr>
          <w:color w:val="auto"/>
          <w:szCs w:val="24"/>
        </w:rPr>
        <w:fldChar w:fldCharType="separate"/>
      </w:r>
      <w:r>
        <w:rPr>
          <w:rFonts w:hint="eastAsia"/>
          <w:color w:val="auto"/>
        </w:rPr>
        <w:t>第二部分</w:t>
      </w:r>
      <w:r>
        <w:rPr>
          <w:color w:val="auto"/>
        </w:rPr>
        <w:t xml:space="preserve">  </w:t>
      </w:r>
      <w:r>
        <w:rPr>
          <w:rFonts w:hint="eastAsia"/>
          <w:color w:val="auto"/>
        </w:rPr>
        <w:t>招标项目内容</w:t>
      </w:r>
      <w:r>
        <w:rPr>
          <w:color w:val="auto"/>
        </w:rPr>
        <w:tab/>
      </w:r>
      <w:r>
        <w:rPr>
          <w:color w:val="auto"/>
        </w:rPr>
        <w:fldChar w:fldCharType="begin"/>
      </w:r>
      <w:r>
        <w:rPr>
          <w:color w:val="auto"/>
        </w:rPr>
        <w:instrText xml:space="preserve"> PAGEREF _Toc4596 \h </w:instrText>
      </w:r>
      <w:r>
        <w:rPr>
          <w:color w:val="auto"/>
        </w:rPr>
        <w:fldChar w:fldCharType="separate"/>
      </w:r>
      <w:r>
        <w:rPr>
          <w:color w:val="auto"/>
        </w:rPr>
        <w:t>8</w:t>
      </w:r>
      <w:r>
        <w:rPr>
          <w:color w:val="auto"/>
        </w:rPr>
        <w:fldChar w:fldCharType="end"/>
      </w:r>
      <w:r>
        <w:rPr>
          <w:color w:val="auto"/>
          <w:szCs w:val="24"/>
        </w:rPr>
        <w:fldChar w:fldCharType="end"/>
      </w:r>
    </w:p>
    <w:p>
      <w:pPr>
        <w:pStyle w:val="11"/>
        <w:tabs>
          <w:tab w:val="right" w:leader="dot" w:pos="9298"/>
          <w:tab w:val="clear" w:pos="9288"/>
        </w:tabs>
        <w:rPr>
          <w:color w:val="auto"/>
        </w:rPr>
      </w:pPr>
      <w:r>
        <w:rPr>
          <w:color w:val="auto"/>
          <w:szCs w:val="24"/>
        </w:rPr>
        <w:fldChar w:fldCharType="begin"/>
      </w:r>
      <w:r>
        <w:rPr>
          <w:color w:val="auto"/>
          <w:szCs w:val="24"/>
        </w:rPr>
        <w:instrText xml:space="preserve"> HYPERLINK \l _Toc12076 </w:instrText>
      </w:r>
      <w:r>
        <w:rPr>
          <w:color w:val="auto"/>
          <w:szCs w:val="24"/>
        </w:rPr>
        <w:fldChar w:fldCharType="separate"/>
      </w:r>
      <w:r>
        <w:rPr>
          <w:rFonts w:hint="eastAsia"/>
          <w:color w:val="auto"/>
        </w:rPr>
        <w:t>第三部分</w:t>
      </w:r>
      <w:r>
        <w:rPr>
          <w:color w:val="auto"/>
        </w:rPr>
        <w:t xml:space="preserve">  </w:t>
      </w:r>
      <w:r>
        <w:rPr>
          <w:rFonts w:hint="eastAsia"/>
          <w:color w:val="auto"/>
        </w:rPr>
        <w:t>投标人须知</w:t>
      </w:r>
      <w:r>
        <w:rPr>
          <w:color w:val="auto"/>
        </w:rPr>
        <w:tab/>
      </w:r>
      <w:r>
        <w:rPr>
          <w:color w:val="auto"/>
        </w:rPr>
        <w:fldChar w:fldCharType="begin"/>
      </w:r>
      <w:r>
        <w:rPr>
          <w:color w:val="auto"/>
        </w:rPr>
        <w:instrText xml:space="preserve"> PAGEREF _Toc12076 \h </w:instrText>
      </w:r>
      <w:r>
        <w:rPr>
          <w:color w:val="auto"/>
        </w:rPr>
        <w:fldChar w:fldCharType="separate"/>
      </w:r>
      <w:r>
        <w:rPr>
          <w:color w:val="auto"/>
        </w:rPr>
        <w:t>20</w:t>
      </w:r>
      <w:r>
        <w:rPr>
          <w:color w:val="auto"/>
        </w:rPr>
        <w:fldChar w:fldCharType="end"/>
      </w:r>
      <w:r>
        <w:rPr>
          <w:color w:val="auto"/>
          <w:szCs w:val="24"/>
        </w:rPr>
        <w:fldChar w:fldCharType="end"/>
      </w:r>
    </w:p>
    <w:p>
      <w:pPr>
        <w:pStyle w:val="11"/>
        <w:tabs>
          <w:tab w:val="right" w:leader="dot" w:pos="9298"/>
          <w:tab w:val="clear" w:pos="9288"/>
        </w:tabs>
        <w:rPr>
          <w:color w:val="auto"/>
        </w:rPr>
      </w:pPr>
      <w:r>
        <w:rPr>
          <w:color w:val="auto"/>
          <w:szCs w:val="24"/>
        </w:rPr>
        <w:fldChar w:fldCharType="begin"/>
      </w:r>
      <w:r>
        <w:rPr>
          <w:color w:val="auto"/>
          <w:szCs w:val="24"/>
        </w:rPr>
        <w:instrText xml:space="preserve"> HYPERLINK \l _Toc5947 </w:instrText>
      </w:r>
      <w:r>
        <w:rPr>
          <w:color w:val="auto"/>
          <w:szCs w:val="24"/>
        </w:rPr>
        <w:fldChar w:fldCharType="separate"/>
      </w:r>
      <w:r>
        <w:rPr>
          <w:rFonts w:hint="eastAsia" w:cs="Times New Roman"/>
          <w:color w:val="auto"/>
          <w:lang w:eastAsia="zh-CN"/>
        </w:rPr>
        <w:t>第四部分</w:t>
      </w:r>
      <w:r>
        <w:rPr>
          <w:rFonts w:hint="eastAsia" w:cs="Times New Roman"/>
          <w:color w:val="auto"/>
        </w:rPr>
        <w:t xml:space="preserve">  </w:t>
      </w:r>
      <w:r>
        <w:rPr>
          <w:rFonts w:hint="eastAsia" w:cs="Times New Roman"/>
          <w:color w:val="auto"/>
          <w:lang w:eastAsia="zh-CN"/>
        </w:rPr>
        <w:t>合同书范本</w:t>
      </w:r>
      <w:r>
        <w:rPr>
          <w:color w:val="auto"/>
        </w:rPr>
        <w:tab/>
      </w:r>
      <w:r>
        <w:rPr>
          <w:color w:val="auto"/>
        </w:rPr>
        <w:fldChar w:fldCharType="begin"/>
      </w:r>
      <w:r>
        <w:rPr>
          <w:color w:val="auto"/>
        </w:rPr>
        <w:instrText xml:space="preserve"> PAGEREF _Toc5947 \h </w:instrText>
      </w:r>
      <w:r>
        <w:rPr>
          <w:color w:val="auto"/>
        </w:rPr>
        <w:fldChar w:fldCharType="separate"/>
      </w:r>
      <w:r>
        <w:rPr>
          <w:color w:val="auto"/>
        </w:rPr>
        <w:t>48</w:t>
      </w:r>
      <w:r>
        <w:rPr>
          <w:color w:val="auto"/>
        </w:rPr>
        <w:fldChar w:fldCharType="end"/>
      </w:r>
      <w:r>
        <w:rPr>
          <w:color w:val="auto"/>
          <w:szCs w:val="24"/>
        </w:rPr>
        <w:fldChar w:fldCharType="end"/>
      </w:r>
    </w:p>
    <w:p>
      <w:pPr>
        <w:pStyle w:val="11"/>
        <w:tabs>
          <w:tab w:val="right" w:leader="dot" w:pos="9298"/>
          <w:tab w:val="clear" w:pos="9288"/>
        </w:tabs>
        <w:rPr>
          <w:color w:val="auto"/>
        </w:rPr>
      </w:pPr>
      <w:r>
        <w:rPr>
          <w:color w:val="auto"/>
          <w:szCs w:val="24"/>
        </w:rPr>
        <w:fldChar w:fldCharType="begin"/>
      </w:r>
      <w:r>
        <w:rPr>
          <w:color w:val="auto"/>
          <w:szCs w:val="24"/>
        </w:rPr>
        <w:instrText xml:space="preserve"> HYPERLINK \l _Toc2389 </w:instrText>
      </w:r>
      <w:r>
        <w:rPr>
          <w:color w:val="auto"/>
          <w:szCs w:val="24"/>
        </w:rPr>
        <w:fldChar w:fldCharType="separate"/>
      </w:r>
      <w:r>
        <w:rPr>
          <w:rFonts w:hint="eastAsia" w:cs="Times New Roman"/>
          <w:color w:val="auto"/>
          <w:lang w:eastAsia="zh-CN"/>
        </w:rPr>
        <w:t>第五部分  投标文件格式</w:t>
      </w:r>
      <w:r>
        <w:rPr>
          <w:color w:val="auto"/>
        </w:rPr>
        <w:tab/>
      </w:r>
      <w:r>
        <w:rPr>
          <w:color w:val="auto"/>
        </w:rPr>
        <w:fldChar w:fldCharType="begin"/>
      </w:r>
      <w:r>
        <w:rPr>
          <w:color w:val="auto"/>
        </w:rPr>
        <w:instrText xml:space="preserve"> PAGEREF _Toc2389 \h </w:instrText>
      </w:r>
      <w:r>
        <w:rPr>
          <w:color w:val="auto"/>
        </w:rPr>
        <w:fldChar w:fldCharType="separate"/>
      </w:r>
      <w:r>
        <w:rPr>
          <w:color w:val="auto"/>
        </w:rPr>
        <w:t>62</w:t>
      </w:r>
      <w:r>
        <w:rPr>
          <w:color w:val="auto"/>
        </w:rPr>
        <w:fldChar w:fldCharType="end"/>
      </w:r>
      <w:r>
        <w:rPr>
          <w:color w:val="auto"/>
          <w:szCs w:val="24"/>
        </w:rPr>
        <w:fldChar w:fldCharType="end"/>
      </w:r>
    </w:p>
    <w:p>
      <w:pPr>
        <w:rPr>
          <w:color w:val="auto"/>
          <w:szCs w:val="24"/>
        </w:rPr>
      </w:pPr>
      <w:r>
        <w:rPr>
          <w:color w:val="auto"/>
          <w:szCs w:val="24"/>
        </w:rPr>
        <w:fldChar w:fldCharType="end"/>
      </w:r>
    </w:p>
    <w:p>
      <w:pPr>
        <w:rPr>
          <w:rFonts w:hint="eastAsia"/>
          <w:color w:val="auto"/>
          <w:szCs w:val="24"/>
        </w:rPr>
      </w:pPr>
      <w:bookmarkStart w:id="43" w:name="_GoBack"/>
      <w:bookmarkEnd w:id="43"/>
    </w:p>
    <w:p>
      <w:pPr>
        <w:rPr>
          <w:color w:val="auto"/>
        </w:rPr>
      </w:pPr>
      <w:r>
        <w:rPr>
          <w:color w:val="auto"/>
        </w:rPr>
        <w:br w:type="page"/>
      </w:r>
    </w:p>
    <w:p>
      <w:pPr>
        <w:pStyle w:val="2"/>
        <w:jc w:val="center"/>
        <w:rPr>
          <w:rFonts w:hint="eastAsia"/>
          <w:color w:val="auto"/>
        </w:rPr>
      </w:pPr>
      <w:bookmarkStart w:id="2" w:name="_Toc16975"/>
      <w:r>
        <w:rPr>
          <w:rFonts w:hint="eastAsia"/>
          <w:color w:val="auto"/>
        </w:rPr>
        <w:t>第一部分  投标邀请函</w:t>
      </w:r>
      <w:bookmarkEnd w:id="2"/>
    </w:p>
    <w:p>
      <w:pPr>
        <w:spacing w:line="440" w:lineRule="exact"/>
        <w:ind w:firstLine="420"/>
        <w:rPr>
          <w:rFonts w:hint="eastAsia" w:ascii="宋体" w:hAnsi="宋体" w:cs="宋体"/>
          <w:color w:val="auto"/>
          <w:szCs w:val="21"/>
        </w:rPr>
      </w:pPr>
      <w:r>
        <w:rPr>
          <w:rFonts w:hint="eastAsia" w:cs="宋体"/>
          <w:color w:val="auto"/>
          <w:lang w:eastAsia="zh-CN"/>
        </w:rPr>
        <w:t>广东中采招标有限公司</w:t>
      </w:r>
      <w:r>
        <w:rPr>
          <w:rFonts w:hint="eastAsia" w:ascii="宋体" w:hAnsi="宋体" w:cs="宋体"/>
          <w:color w:val="auto"/>
        </w:rPr>
        <w:t>（以下简称“采购代理机构”）受</w:t>
      </w:r>
      <w:r>
        <w:rPr>
          <w:rFonts w:hint="eastAsia" w:cs="宋体"/>
          <w:color w:val="auto"/>
          <w:lang w:eastAsia="zh-CN"/>
        </w:rPr>
        <w:t>佛山市三水云东海新城开发投资有限公司</w:t>
      </w:r>
      <w:r>
        <w:rPr>
          <w:rFonts w:hint="eastAsia" w:ascii="宋体" w:hAnsi="宋体" w:cs="宋体"/>
          <w:color w:val="auto"/>
        </w:rPr>
        <w:t>（以下简称“采购人”）委托对</w:t>
      </w:r>
      <w:r>
        <w:rPr>
          <w:rFonts w:hint="eastAsia" w:cs="宋体"/>
          <w:color w:val="auto"/>
          <w:szCs w:val="21"/>
          <w:lang w:eastAsia="zh-CN"/>
        </w:rPr>
        <w:t>三水文化中心物业管理服务项目</w:t>
      </w:r>
      <w:r>
        <w:rPr>
          <w:rFonts w:hint="eastAsia" w:ascii="宋体" w:hAnsi="宋体" w:cs="宋体"/>
          <w:color w:val="auto"/>
          <w:szCs w:val="21"/>
        </w:rPr>
        <w:t>（项目编号：</w:t>
      </w:r>
      <w:r>
        <w:rPr>
          <w:rFonts w:hint="eastAsia" w:cs="宋体"/>
          <w:color w:val="auto"/>
          <w:szCs w:val="21"/>
          <w:lang w:eastAsia="zh-CN"/>
        </w:rPr>
        <w:t>GDZC-26GZ092</w:t>
      </w:r>
      <w:r>
        <w:rPr>
          <w:rFonts w:hint="eastAsia" w:ascii="宋体" w:hAnsi="宋体" w:cs="宋体"/>
          <w:color w:val="auto"/>
          <w:szCs w:val="21"/>
        </w:rPr>
        <w:t>）进行公开招标采购</w:t>
      </w:r>
      <w:r>
        <w:rPr>
          <w:rFonts w:hint="eastAsia" w:ascii="宋体" w:hAnsi="宋体" w:cs="宋体"/>
          <w:color w:val="auto"/>
        </w:rPr>
        <w:t>，</w:t>
      </w:r>
      <w:r>
        <w:rPr>
          <w:rFonts w:hint="eastAsia" w:ascii="宋体" w:hAnsi="宋体" w:cs="宋体"/>
          <w:color w:val="auto"/>
          <w:szCs w:val="21"/>
        </w:rPr>
        <w:t>欢迎符合资格条件的</w:t>
      </w:r>
      <w:r>
        <w:rPr>
          <w:rFonts w:hint="eastAsia" w:ascii="宋体" w:hAnsi="宋体" w:cs="宋体"/>
          <w:color w:val="auto"/>
          <w:szCs w:val="21"/>
          <w:lang w:eastAsia="zh-CN"/>
        </w:rPr>
        <w:t>投标人</w:t>
      </w:r>
      <w:r>
        <w:rPr>
          <w:rFonts w:hint="eastAsia" w:ascii="宋体" w:hAnsi="宋体" w:cs="宋体"/>
          <w:color w:val="auto"/>
          <w:szCs w:val="21"/>
        </w:rPr>
        <w:t>投标。</w:t>
      </w:r>
    </w:p>
    <w:p>
      <w:pPr>
        <w:widowControl/>
        <w:tabs>
          <w:tab w:val="left" w:pos="900"/>
          <w:tab w:val="left" w:pos="960"/>
        </w:tabs>
        <w:spacing w:line="440" w:lineRule="exact"/>
        <w:rPr>
          <w:rFonts w:ascii="宋体" w:hAnsi="宋体" w:cs="宋体"/>
          <w:b/>
          <w:bCs/>
          <w:color w:val="auto"/>
          <w:szCs w:val="21"/>
          <w:lang w:eastAsia="zh-CN"/>
        </w:rPr>
      </w:pPr>
      <w:r>
        <w:rPr>
          <w:rFonts w:hint="eastAsia" w:ascii="宋体" w:hAnsi="宋体" w:cs="宋体"/>
          <w:b/>
          <w:bCs/>
          <w:color w:val="auto"/>
          <w:szCs w:val="21"/>
        </w:rPr>
        <w:t>一、</w:t>
      </w:r>
      <w:r>
        <w:rPr>
          <w:rFonts w:hint="eastAsia" w:ascii="宋体" w:hAnsi="宋体" w:cs="宋体"/>
          <w:b/>
          <w:bCs/>
          <w:color w:val="auto"/>
          <w:szCs w:val="21"/>
          <w:lang w:eastAsia="zh-CN"/>
        </w:rPr>
        <w:t>项目基本情况</w:t>
      </w:r>
    </w:p>
    <w:p>
      <w:pPr>
        <w:keepNext w:val="0"/>
        <w:keepLines w:val="0"/>
        <w:pageBreakBefore w:val="0"/>
        <w:widowControl w:val="0"/>
        <w:numPr>
          <w:ilvl w:val="1"/>
          <w:numId w:val="1"/>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eastAsia="zh-CN"/>
        </w:rPr>
        <w:t>项目编号：GDZC-26GZ092</w:t>
      </w:r>
    </w:p>
    <w:p>
      <w:pPr>
        <w:keepNext w:val="0"/>
        <w:keepLines w:val="0"/>
        <w:pageBreakBefore w:val="0"/>
        <w:widowControl w:val="0"/>
        <w:numPr>
          <w:ilvl w:val="1"/>
          <w:numId w:val="1"/>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eastAsia="zh-CN"/>
        </w:rPr>
        <w:t>项目名称：三水文化中心物业管理服务项目</w:t>
      </w:r>
    </w:p>
    <w:p>
      <w:pPr>
        <w:keepNext w:val="0"/>
        <w:keepLines w:val="0"/>
        <w:pageBreakBefore w:val="0"/>
        <w:widowControl w:val="0"/>
        <w:numPr>
          <w:ilvl w:val="1"/>
          <w:numId w:val="1"/>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eastAsia="zh-CN"/>
        </w:rPr>
        <w:t>预算金额：</w:t>
      </w:r>
      <w:r>
        <w:rPr>
          <w:rFonts w:hint="eastAsia" w:asciiTheme="minorEastAsia" w:hAnsiTheme="minorEastAsia" w:eastAsiaTheme="minorEastAsia" w:cstheme="minorEastAsia"/>
          <w:bCs/>
          <w:color w:val="auto"/>
          <w:sz w:val="24"/>
          <w:szCs w:val="24"/>
          <w:highlight w:val="none"/>
          <w:lang w:val="en-US" w:eastAsia="zh-CN"/>
        </w:rPr>
        <w:t>人民币4,914,700.00元</w:t>
      </w:r>
    </w:p>
    <w:p>
      <w:pPr>
        <w:keepNext w:val="0"/>
        <w:keepLines w:val="0"/>
        <w:pageBreakBefore w:val="0"/>
        <w:widowControl w:val="0"/>
        <w:numPr>
          <w:ilvl w:val="1"/>
          <w:numId w:val="1"/>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eastAsia="zh-CN"/>
        </w:rPr>
        <w:t>采购项目内容及需求：三水文化中心物业管理服务，具体内容详见招标文件。</w:t>
      </w:r>
    </w:p>
    <w:p>
      <w:pPr>
        <w:widowControl/>
        <w:tabs>
          <w:tab w:val="left" w:pos="900"/>
          <w:tab w:val="left" w:pos="960"/>
        </w:tabs>
        <w:spacing w:line="440" w:lineRule="exact"/>
        <w:rPr>
          <w:rFonts w:hint="eastAsia" w:ascii="宋体" w:hAnsi="宋体" w:eastAsia="宋体" w:cs="宋体"/>
          <w:b/>
          <w:bCs/>
          <w:color w:val="auto"/>
          <w:szCs w:val="21"/>
        </w:rPr>
      </w:pPr>
      <w:r>
        <w:rPr>
          <w:rFonts w:hint="eastAsia" w:ascii="宋体" w:hAnsi="宋体" w:eastAsia="宋体" w:cs="宋体"/>
          <w:b/>
          <w:bCs/>
          <w:color w:val="auto"/>
          <w:szCs w:val="21"/>
          <w:lang w:eastAsia="zh-CN"/>
        </w:rPr>
        <w:t>二</w:t>
      </w:r>
      <w:r>
        <w:rPr>
          <w:rFonts w:hint="eastAsia" w:ascii="宋体" w:hAnsi="宋体" w:eastAsia="宋体" w:cs="宋体"/>
          <w:b/>
          <w:bCs/>
          <w:color w:val="auto"/>
          <w:szCs w:val="21"/>
        </w:rPr>
        <w:t>、</w:t>
      </w:r>
      <w:r>
        <w:rPr>
          <w:rFonts w:hint="eastAsia" w:ascii="宋体" w:hAnsi="宋体" w:eastAsia="宋体" w:cs="宋体"/>
          <w:b/>
          <w:bCs/>
          <w:color w:val="auto"/>
          <w:szCs w:val="21"/>
          <w:lang w:eastAsia="zh-CN"/>
        </w:rPr>
        <w:t>投标人</w:t>
      </w:r>
      <w:r>
        <w:rPr>
          <w:rFonts w:hint="eastAsia" w:ascii="宋体" w:hAnsi="宋体" w:eastAsia="宋体" w:cs="宋体"/>
          <w:b/>
          <w:bCs/>
          <w:color w:val="auto"/>
          <w:szCs w:val="21"/>
        </w:rPr>
        <w:t>资格：</w:t>
      </w:r>
    </w:p>
    <w:p>
      <w:pPr>
        <w:keepNext w:val="0"/>
        <w:keepLines w:val="0"/>
        <w:pageBreakBefore w:val="0"/>
        <w:widowControl w:val="0"/>
        <w:numPr>
          <w:ilvl w:val="1"/>
          <w:numId w:val="2"/>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eastAsia="zh-CN"/>
        </w:rPr>
        <w:t>具备以下资格条件，提供下列材料</w:t>
      </w:r>
      <w:r>
        <w:rPr>
          <w:rFonts w:hint="eastAsia" w:asciiTheme="minorEastAsia" w:hAnsiTheme="minorEastAsia" w:eastAsiaTheme="minorEastAsia" w:cstheme="minorEastAsia"/>
          <w:bCs/>
          <w:color w:val="auto"/>
          <w:sz w:val="24"/>
          <w:szCs w:val="24"/>
          <w:highlight w:val="none"/>
        </w:rPr>
        <w:t>：</w:t>
      </w:r>
    </w:p>
    <w:p>
      <w:pPr>
        <w:keepNext w:val="0"/>
        <w:keepLines w:val="0"/>
        <w:pageBreakBefore w:val="0"/>
        <w:widowControl w:val="0"/>
        <w:numPr>
          <w:ilvl w:val="0"/>
          <w:numId w:val="3"/>
        </w:numPr>
        <w:tabs>
          <w:tab w:val="left" w:pos="567"/>
        </w:tabs>
        <w:kinsoku/>
        <w:wordWrap/>
        <w:overflowPunct/>
        <w:topLinePunct w:val="0"/>
        <w:autoSpaceDE/>
        <w:autoSpaceDN/>
        <w:bidi w:val="0"/>
        <w:adjustRightInd/>
        <w:snapToGrid w:val="0"/>
        <w:spacing w:line="440" w:lineRule="exact"/>
        <w:ind w:left="825" w:leftChars="0" w:hanging="405" w:firstLineChars="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在中华人民共和国境内注册的法人或其他组织或自然人，</w:t>
      </w:r>
      <w:r>
        <w:rPr>
          <w:rFonts w:hint="eastAsia" w:asciiTheme="minorEastAsia" w:hAnsiTheme="minorEastAsia" w:eastAsiaTheme="minorEastAsia" w:cstheme="minorEastAsia"/>
          <w:bCs/>
          <w:color w:val="auto"/>
          <w:sz w:val="24"/>
          <w:szCs w:val="24"/>
          <w:highlight w:val="none"/>
          <w:lang w:eastAsia="zh-CN"/>
        </w:rPr>
        <w:t>投标时提供有效的营业执照</w:t>
      </w:r>
      <w:r>
        <w:rPr>
          <w:rFonts w:hint="eastAsia" w:asciiTheme="minorEastAsia" w:hAnsiTheme="minorEastAsia" w:eastAsiaTheme="minorEastAsia" w:cstheme="minorEastAsia"/>
          <w:bCs/>
          <w:color w:val="auto"/>
          <w:sz w:val="24"/>
          <w:szCs w:val="24"/>
          <w:highlight w:val="none"/>
        </w:rPr>
        <w:t>（或事业法人登记证或身份证等相关证明） 副本复印件，如投标人为自然人的需提供自然人身份证明复印件；</w:t>
      </w:r>
    </w:p>
    <w:p>
      <w:pPr>
        <w:keepNext w:val="0"/>
        <w:keepLines w:val="0"/>
        <w:pageBreakBefore w:val="0"/>
        <w:widowControl w:val="0"/>
        <w:numPr>
          <w:ilvl w:val="0"/>
          <w:numId w:val="3"/>
        </w:numPr>
        <w:tabs>
          <w:tab w:val="left" w:pos="567"/>
        </w:tabs>
        <w:kinsoku/>
        <w:wordWrap/>
        <w:overflowPunct/>
        <w:topLinePunct w:val="0"/>
        <w:autoSpaceDE/>
        <w:autoSpaceDN/>
        <w:bidi w:val="0"/>
        <w:adjustRightInd/>
        <w:snapToGrid w:val="0"/>
        <w:spacing w:line="440" w:lineRule="exact"/>
        <w:ind w:left="825" w:leftChars="0" w:hanging="405"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财务会计制度情况，须提供下列任一项证明材料：</w:t>
      </w:r>
    </w:p>
    <w:p>
      <w:pPr>
        <w:keepNext w:val="0"/>
        <w:keepLines w:val="0"/>
        <w:pageBreakBefore w:val="0"/>
        <w:widowControl w:val="0"/>
        <w:numPr>
          <w:ilvl w:val="0"/>
          <w:numId w:val="4"/>
        </w:numPr>
        <w:tabs>
          <w:tab w:val="left" w:pos="840"/>
        </w:tabs>
        <w:kinsoku/>
        <w:wordWrap/>
        <w:overflowPunct/>
        <w:topLinePunct w:val="0"/>
        <w:autoSpaceDE/>
        <w:autoSpaceDN/>
        <w:bidi w:val="0"/>
        <w:adjustRightInd/>
        <w:snapToGrid w:val="0"/>
        <w:spacing w:line="440" w:lineRule="exact"/>
        <w:ind w:left="960" w:leftChars="200" w:hanging="480" w:hanging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提供202</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年度的财务状况报告，财务状况报告须由第三方会计师事务所出具，并能清晰显示第三方会计师事务所的印章和注册会计师签字盖章，且能反映审计结论</w:t>
      </w:r>
      <w:r>
        <w:rPr>
          <w:rFonts w:hint="eastAsia" w:asciiTheme="minorEastAsia" w:hAnsiTheme="minorEastAsia" w:eastAsiaTheme="minorEastAsia" w:cstheme="minorEastAsia"/>
          <w:color w:val="auto"/>
          <w:sz w:val="24"/>
          <w:szCs w:val="24"/>
          <w:highlight w:val="none"/>
          <w:lang w:eastAsia="zh-CN"/>
        </w:rPr>
        <w:t>；</w:t>
      </w:r>
    </w:p>
    <w:p>
      <w:pPr>
        <w:keepNext w:val="0"/>
        <w:keepLines w:val="0"/>
        <w:pageBreakBefore w:val="0"/>
        <w:widowControl w:val="0"/>
        <w:numPr>
          <w:ilvl w:val="0"/>
          <w:numId w:val="4"/>
        </w:numPr>
        <w:tabs>
          <w:tab w:val="left" w:pos="840"/>
        </w:tabs>
        <w:kinsoku/>
        <w:wordWrap/>
        <w:overflowPunct/>
        <w:topLinePunct w:val="0"/>
        <w:autoSpaceDE/>
        <w:autoSpaceDN/>
        <w:bidi w:val="0"/>
        <w:adjustRightInd/>
        <w:snapToGrid w:val="0"/>
        <w:spacing w:line="440" w:lineRule="exact"/>
        <w:ind w:left="960" w:leftChars="200" w:hanging="480" w:hanging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基本开户银行出具投标截止前6个月内（含投标截止当月，并往前顺推）任意1个月的资信证明，并同时提供基本开户银行的《开户许可证》或《基本存款账户信息》（公户账户主档）或其他可证明资信证明为基本开户银行出具的相关证明资料，以上文件均需加盖银行印章</w:t>
      </w:r>
      <w:r>
        <w:rPr>
          <w:rFonts w:hint="eastAsia" w:asciiTheme="minorEastAsia" w:hAnsiTheme="minorEastAsia" w:eastAsiaTheme="minorEastAsia" w:cstheme="minorEastAsia"/>
          <w:color w:val="auto"/>
          <w:sz w:val="24"/>
          <w:szCs w:val="24"/>
          <w:highlight w:val="none"/>
          <w:lang w:eastAsia="zh-CN"/>
        </w:rPr>
        <w:t>。</w:t>
      </w:r>
    </w:p>
    <w:p>
      <w:pPr>
        <w:keepNext w:val="0"/>
        <w:keepLines w:val="0"/>
        <w:pageBreakBefore w:val="0"/>
        <w:widowControl w:val="0"/>
        <w:numPr>
          <w:ilvl w:val="0"/>
          <w:numId w:val="3"/>
        </w:numPr>
        <w:tabs>
          <w:tab w:val="left" w:pos="567"/>
        </w:tabs>
        <w:kinsoku/>
        <w:wordWrap/>
        <w:overflowPunct/>
        <w:topLinePunct w:val="0"/>
        <w:autoSpaceDE/>
        <w:autoSpaceDN/>
        <w:bidi w:val="0"/>
        <w:adjustRightInd/>
        <w:snapToGrid w:val="0"/>
        <w:spacing w:line="440" w:lineRule="exact"/>
        <w:ind w:left="825" w:leftChars="0" w:hanging="405" w:firstLineChars="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提供投标截止日前6个月内（含投标截止时间当月）任意1个月依法缴纳税收和社会保障资金的相关材料。如依法免税或不需要缴纳社会保障资金的，提供相应证明材料</w:t>
      </w:r>
      <w:r>
        <w:rPr>
          <w:rFonts w:hint="eastAsia" w:asciiTheme="minorEastAsia" w:hAnsiTheme="minorEastAsia" w:eastAsiaTheme="minorEastAsia" w:cstheme="minorEastAsia"/>
          <w:color w:val="auto"/>
          <w:sz w:val="24"/>
          <w:szCs w:val="24"/>
          <w:highlight w:val="none"/>
        </w:rPr>
        <w:t>；</w:t>
      </w:r>
    </w:p>
    <w:p>
      <w:pPr>
        <w:keepNext w:val="0"/>
        <w:keepLines w:val="0"/>
        <w:pageBreakBefore w:val="0"/>
        <w:widowControl w:val="0"/>
        <w:numPr>
          <w:ilvl w:val="0"/>
          <w:numId w:val="3"/>
        </w:numPr>
        <w:tabs>
          <w:tab w:val="left" w:pos="567"/>
        </w:tabs>
        <w:kinsoku/>
        <w:wordWrap/>
        <w:overflowPunct/>
        <w:topLinePunct w:val="0"/>
        <w:autoSpaceDE/>
        <w:autoSpaceDN/>
        <w:bidi w:val="0"/>
        <w:adjustRightInd/>
        <w:snapToGrid w:val="0"/>
        <w:spacing w:line="440" w:lineRule="exact"/>
        <w:ind w:left="825" w:leftChars="0" w:hanging="405" w:firstLineChars="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履行合同所必需的设备和专业技术能力的书面声明</w:t>
      </w:r>
      <w:r>
        <w:rPr>
          <w:rFonts w:hint="eastAsia" w:asciiTheme="minorEastAsia" w:hAnsiTheme="minorEastAsia" w:eastAsiaTheme="minorEastAsia" w:cstheme="minorEastAsia"/>
          <w:color w:val="auto"/>
          <w:kern w:val="0"/>
          <w:sz w:val="24"/>
          <w:szCs w:val="24"/>
          <w:highlight w:val="none"/>
        </w:rPr>
        <w:t>（提供《投标人资格声明函》）；</w:t>
      </w:r>
    </w:p>
    <w:p>
      <w:pPr>
        <w:keepNext w:val="0"/>
        <w:keepLines w:val="0"/>
        <w:pageBreakBefore w:val="0"/>
        <w:widowControl w:val="0"/>
        <w:numPr>
          <w:ilvl w:val="0"/>
          <w:numId w:val="3"/>
        </w:numPr>
        <w:tabs>
          <w:tab w:val="left" w:pos="567"/>
        </w:tabs>
        <w:kinsoku/>
        <w:wordWrap/>
        <w:overflowPunct/>
        <w:topLinePunct w:val="0"/>
        <w:autoSpaceDE/>
        <w:autoSpaceDN/>
        <w:bidi w:val="0"/>
        <w:adjustRightInd/>
        <w:snapToGrid w:val="0"/>
        <w:spacing w:line="440" w:lineRule="exact"/>
        <w:ind w:left="825" w:leftChars="0" w:hanging="405" w:firstLineChars="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参加政府采购活动前3年内在经营活动中没有重大违法记录的书面声明（提供《投标人资格声明函》）。</w:t>
      </w:r>
    </w:p>
    <w:p>
      <w:pPr>
        <w:keepNext w:val="0"/>
        <w:keepLines w:val="0"/>
        <w:pageBreakBefore w:val="0"/>
        <w:widowControl w:val="0"/>
        <w:numPr>
          <w:ilvl w:val="1"/>
          <w:numId w:val="2"/>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未被列入“信用中国”网站</w:t>
      </w:r>
      <w:r>
        <w:rPr>
          <w:rFonts w:hint="eastAsia" w:asciiTheme="minorEastAsia" w:hAnsiTheme="minorEastAsia" w:eastAsiaTheme="minorEastAsia" w:cstheme="minorEastAsia"/>
          <w:bCs/>
          <w:color w:val="auto"/>
          <w:sz w:val="24"/>
          <w:szCs w:val="24"/>
          <w:highlight w:val="none"/>
          <w:lang w:eastAsia="zh-CN"/>
        </w:rPr>
        <w:t>（</w:t>
      </w:r>
      <w:r>
        <w:rPr>
          <w:rFonts w:hint="eastAsia" w:asciiTheme="minorEastAsia" w:hAnsiTheme="minorEastAsia" w:eastAsiaTheme="minorEastAsia" w:cstheme="minorEastAsia"/>
          <w:bCs/>
          <w:color w:val="auto"/>
          <w:sz w:val="24"/>
          <w:szCs w:val="24"/>
          <w:highlight w:val="none"/>
        </w:rPr>
        <w:t>www.creditchina.gov.cn</w:t>
      </w:r>
      <w:r>
        <w:rPr>
          <w:rFonts w:hint="eastAsia" w:asciiTheme="minorEastAsia" w:hAnsiTheme="minorEastAsia" w:eastAsiaTheme="minorEastAsia" w:cstheme="minorEastAsia"/>
          <w:bCs/>
          <w:color w:val="auto"/>
          <w:sz w:val="24"/>
          <w:szCs w:val="24"/>
          <w:highlight w:val="none"/>
          <w:lang w:eastAsia="zh-CN"/>
        </w:rPr>
        <w:t>）</w:t>
      </w:r>
      <w:r>
        <w:rPr>
          <w:rFonts w:hint="eastAsia" w:asciiTheme="minorEastAsia" w:hAnsiTheme="minorEastAsia" w:eastAsiaTheme="minorEastAsia" w:cstheme="minorEastAsia"/>
          <w:bCs/>
          <w:color w:val="auto"/>
          <w:sz w:val="24"/>
          <w:szCs w:val="24"/>
          <w:highlight w:val="none"/>
        </w:rPr>
        <w:t>“记录失信被执行人或重大税收违法失信主体或政府采购严重违法失信行为”记录名单；不处于中国政府采购网</w:t>
      </w:r>
      <w:r>
        <w:rPr>
          <w:rFonts w:hint="eastAsia" w:asciiTheme="minorEastAsia" w:hAnsiTheme="minorEastAsia" w:eastAsiaTheme="minorEastAsia" w:cstheme="minorEastAsia"/>
          <w:bCs/>
          <w:color w:val="auto"/>
          <w:sz w:val="24"/>
          <w:szCs w:val="24"/>
          <w:highlight w:val="none"/>
          <w:lang w:eastAsia="zh-CN"/>
        </w:rPr>
        <w:t>（</w:t>
      </w:r>
      <w:r>
        <w:rPr>
          <w:rFonts w:hint="eastAsia" w:asciiTheme="minorEastAsia" w:hAnsiTheme="minorEastAsia" w:eastAsiaTheme="minorEastAsia" w:cstheme="minorEastAsia"/>
          <w:bCs/>
          <w:color w:val="auto"/>
          <w:sz w:val="24"/>
          <w:szCs w:val="24"/>
          <w:highlight w:val="none"/>
        </w:rPr>
        <w:t>www.ccgp.gov.cn</w:t>
      </w:r>
      <w:r>
        <w:rPr>
          <w:rFonts w:hint="eastAsia" w:asciiTheme="minorEastAsia" w:hAnsiTheme="minorEastAsia" w:eastAsiaTheme="minorEastAsia" w:cstheme="minorEastAsia"/>
          <w:bCs/>
          <w:color w:val="auto"/>
          <w:sz w:val="24"/>
          <w:szCs w:val="24"/>
          <w:highlight w:val="none"/>
          <w:lang w:eastAsia="zh-CN"/>
        </w:rPr>
        <w:t>）</w:t>
      </w:r>
      <w:r>
        <w:rPr>
          <w:rFonts w:hint="eastAsia" w:asciiTheme="minorEastAsia" w:hAnsiTheme="minorEastAsia" w:eastAsiaTheme="minorEastAsia" w:cstheme="minorEastAsia"/>
          <w:bCs/>
          <w:color w:val="auto"/>
          <w:sz w:val="24"/>
          <w:szCs w:val="24"/>
          <w:highlight w:val="none"/>
        </w:rPr>
        <w:t>“政府采购严重违法失信行为信息记录”中的禁止参加</w:t>
      </w:r>
      <w:r>
        <w:rPr>
          <w:rFonts w:hint="eastAsia" w:asciiTheme="minorEastAsia" w:hAnsiTheme="minorEastAsia" w:eastAsiaTheme="minorEastAsia" w:cstheme="minorEastAsia"/>
          <w:bCs/>
          <w:color w:val="auto"/>
          <w:sz w:val="24"/>
          <w:szCs w:val="24"/>
          <w:highlight w:val="none"/>
          <w:lang w:eastAsia="zh-CN"/>
        </w:rPr>
        <w:t>政府采购活动期间【</w:t>
      </w:r>
      <w:r>
        <w:rPr>
          <w:rFonts w:hint="eastAsia" w:asciiTheme="minorEastAsia" w:hAnsiTheme="minorEastAsia" w:eastAsiaTheme="minorEastAsia" w:cstheme="minorEastAsia"/>
          <w:bCs/>
          <w:color w:val="auto"/>
          <w:sz w:val="24"/>
          <w:szCs w:val="24"/>
          <w:highlight w:val="none"/>
        </w:rPr>
        <w:t>以采购代理机构于</w:t>
      </w:r>
      <w:r>
        <w:rPr>
          <w:rFonts w:hint="eastAsia" w:asciiTheme="minorEastAsia" w:hAnsiTheme="minorEastAsia" w:eastAsiaTheme="minorEastAsia" w:cstheme="minorEastAsia"/>
          <w:bCs/>
          <w:color w:val="auto"/>
          <w:sz w:val="24"/>
          <w:szCs w:val="24"/>
          <w:highlight w:val="none"/>
          <w:lang w:val="en-US" w:eastAsia="zh-CN"/>
        </w:rPr>
        <w:t>投标</w:t>
      </w:r>
      <w:r>
        <w:rPr>
          <w:rFonts w:hint="eastAsia" w:asciiTheme="minorEastAsia" w:hAnsiTheme="minorEastAsia" w:eastAsiaTheme="minorEastAsia" w:cstheme="minorEastAsia"/>
          <w:bCs/>
          <w:color w:val="auto"/>
          <w:sz w:val="24"/>
          <w:szCs w:val="24"/>
          <w:highlight w:val="none"/>
        </w:rPr>
        <w:t>截止日当天在“信用中国”网站（www.creditchina.gov.cn）及中国政府采购网</w:t>
      </w:r>
      <w:r>
        <w:rPr>
          <w:rFonts w:hint="eastAsia" w:asciiTheme="minorEastAsia" w:hAnsiTheme="minorEastAsia" w:eastAsiaTheme="minorEastAsia" w:cstheme="minorEastAsia"/>
          <w:bCs/>
          <w:color w:val="auto"/>
          <w:sz w:val="24"/>
          <w:szCs w:val="24"/>
          <w:highlight w:val="none"/>
          <w:lang w:eastAsia="zh-CN"/>
        </w:rPr>
        <w:t>（</w:t>
      </w:r>
      <w:r>
        <w:rPr>
          <w:rFonts w:hint="eastAsia" w:asciiTheme="minorEastAsia" w:hAnsiTheme="minorEastAsia" w:eastAsiaTheme="minorEastAsia" w:cstheme="minorEastAsia"/>
          <w:bCs/>
          <w:color w:val="auto"/>
          <w:sz w:val="24"/>
          <w:szCs w:val="24"/>
          <w:highlight w:val="none"/>
        </w:rPr>
        <w:t>www.ccgp.gov.cn</w:t>
      </w:r>
      <w:r>
        <w:rPr>
          <w:rFonts w:hint="eastAsia" w:asciiTheme="minorEastAsia" w:hAnsiTheme="minorEastAsia" w:eastAsiaTheme="minorEastAsia" w:cstheme="minorEastAsia"/>
          <w:bCs/>
          <w:color w:val="auto"/>
          <w:sz w:val="24"/>
          <w:szCs w:val="24"/>
          <w:highlight w:val="none"/>
          <w:lang w:eastAsia="zh-CN"/>
        </w:rPr>
        <w:t>）</w:t>
      </w:r>
      <w:r>
        <w:rPr>
          <w:rFonts w:hint="eastAsia" w:asciiTheme="minorEastAsia" w:hAnsiTheme="minorEastAsia" w:eastAsiaTheme="minorEastAsia" w:cstheme="minorEastAsia"/>
          <w:bCs/>
          <w:color w:val="auto"/>
          <w:sz w:val="24"/>
          <w:szCs w:val="24"/>
          <w:highlight w:val="none"/>
        </w:rPr>
        <w:t>查询结果为准，如相关失信记录已失效，供应商需提供相关证明资料】。</w:t>
      </w:r>
    </w:p>
    <w:p>
      <w:pPr>
        <w:keepNext w:val="0"/>
        <w:keepLines w:val="0"/>
        <w:pageBreakBefore w:val="0"/>
        <w:widowControl w:val="0"/>
        <w:numPr>
          <w:ilvl w:val="1"/>
          <w:numId w:val="2"/>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为采购项目提供整体设计、规范编制或者项目管理、监理、检测等服务的供应商，不得再参加该采购项目的其他采购活动（提供《投标人资格声明函》）。</w:t>
      </w:r>
    </w:p>
    <w:p>
      <w:pPr>
        <w:keepNext w:val="0"/>
        <w:keepLines w:val="0"/>
        <w:pageBreakBefore w:val="0"/>
        <w:widowControl w:val="0"/>
        <w:numPr>
          <w:ilvl w:val="1"/>
          <w:numId w:val="2"/>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单位负责人为同一人或者存在直接控股、管理关系的不同供应商，不得参加同一合同项下的政府采购活动（提供《投标人资格声明函》）。</w:t>
      </w:r>
    </w:p>
    <w:p>
      <w:pPr>
        <w:keepNext w:val="0"/>
        <w:keepLines w:val="0"/>
        <w:pageBreakBefore w:val="0"/>
        <w:widowControl w:val="0"/>
        <w:numPr>
          <w:ilvl w:val="1"/>
          <w:numId w:val="2"/>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本项目不接受联合体投标</w:t>
      </w:r>
      <w:r>
        <w:rPr>
          <w:rFonts w:hint="eastAsia" w:asciiTheme="minorEastAsia" w:hAnsiTheme="minorEastAsia" w:eastAsiaTheme="minorEastAsia" w:cstheme="minorEastAsia"/>
          <w:color w:val="auto"/>
          <w:sz w:val="24"/>
          <w:szCs w:val="24"/>
          <w:highlight w:val="none"/>
          <w:lang w:eastAsia="zh-CN"/>
        </w:rPr>
        <w:t>。</w:t>
      </w:r>
    </w:p>
    <w:p>
      <w:pPr>
        <w:widowControl/>
        <w:tabs>
          <w:tab w:val="left" w:pos="900"/>
          <w:tab w:val="left" w:pos="960"/>
        </w:tabs>
        <w:spacing w:line="440" w:lineRule="exact"/>
        <w:rPr>
          <w:rFonts w:ascii="宋体" w:hAnsi="宋体" w:cs="宋体"/>
          <w:b/>
          <w:color w:val="auto"/>
          <w:szCs w:val="21"/>
          <w:lang w:eastAsia="zh-CN"/>
        </w:rPr>
      </w:pPr>
      <w:r>
        <w:rPr>
          <w:rFonts w:hint="eastAsia" w:ascii="宋体" w:hAnsi="宋体" w:cs="宋体"/>
          <w:b/>
          <w:color w:val="auto"/>
          <w:szCs w:val="21"/>
          <w:lang w:eastAsia="zh-CN"/>
        </w:rPr>
        <w:t>三</w:t>
      </w:r>
      <w:r>
        <w:rPr>
          <w:rFonts w:hint="eastAsia" w:ascii="宋体" w:hAnsi="宋体" w:cs="宋体"/>
          <w:b/>
          <w:color w:val="auto"/>
          <w:szCs w:val="21"/>
        </w:rPr>
        <w:t>、</w:t>
      </w:r>
      <w:r>
        <w:rPr>
          <w:rFonts w:hint="eastAsia" w:ascii="宋体" w:hAnsi="宋体" w:cs="宋体"/>
          <w:b/>
          <w:color w:val="auto"/>
          <w:szCs w:val="21"/>
          <w:lang w:eastAsia="zh-CN"/>
        </w:rPr>
        <w:t>获取招标文件</w:t>
      </w:r>
    </w:p>
    <w:p>
      <w:pPr>
        <w:keepNext w:val="0"/>
        <w:keepLines w:val="0"/>
        <w:pageBreakBefore w:val="0"/>
        <w:widowControl w:val="0"/>
        <w:numPr>
          <w:ilvl w:val="1"/>
          <w:numId w:val="5"/>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获取招标文件时间：</w:t>
      </w:r>
      <w:r>
        <w:rPr>
          <w:rFonts w:hint="eastAsia" w:asciiTheme="minorEastAsia" w:hAnsiTheme="minorEastAsia" w:eastAsiaTheme="minorEastAsia" w:cstheme="minorEastAsia"/>
          <w:color w:val="auto"/>
          <w:sz w:val="24"/>
          <w:szCs w:val="24"/>
          <w:highlight w:val="none"/>
          <w:lang w:eastAsia="zh-CN"/>
        </w:rPr>
        <w:t>2026年8月</w:t>
      </w:r>
      <w:r>
        <w:rPr>
          <w:rFonts w:hint="eastAsia" w:asciiTheme="minorEastAsia" w:hAnsiTheme="minorEastAsia" w:eastAsiaTheme="minorEastAsia" w:cstheme="minorEastAsia"/>
          <w:color w:val="auto"/>
          <w:sz w:val="24"/>
          <w:szCs w:val="24"/>
          <w:highlight w:val="none"/>
          <w:lang w:val="en-US" w:eastAsia="zh-CN"/>
        </w:rPr>
        <w:t>29</w:t>
      </w:r>
      <w:r>
        <w:rPr>
          <w:rFonts w:hint="eastAsia" w:asciiTheme="minorEastAsia" w:hAnsiTheme="minorEastAsia" w:eastAsiaTheme="minorEastAsia" w:cstheme="minorEastAsia"/>
          <w:color w:val="auto"/>
          <w:sz w:val="24"/>
          <w:szCs w:val="24"/>
          <w:highlight w:val="none"/>
          <w:lang w:eastAsia="zh-CN"/>
        </w:rPr>
        <w:t>日</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lang w:eastAsia="zh-CN"/>
        </w:rPr>
        <w:t>2026年</w:t>
      </w: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lang w:eastAsia="zh-CN"/>
        </w:rPr>
        <w:t>月</w:t>
      </w:r>
      <w:r>
        <w:rPr>
          <w:rFonts w:hint="eastAsia" w:asciiTheme="minorEastAsia" w:hAnsiTheme="minorEastAsia" w:eastAsiaTheme="minorEastAsia" w:cstheme="minorEastAsia"/>
          <w:color w:val="auto"/>
          <w:sz w:val="24"/>
          <w:szCs w:val="24"/>
          <w:highlight w:val="none"/>
          <w:lang w:val="en-US" w:eastAsia="zh-CN"/>
        </w:rPr>
        <w:t>14</w:t>
      </w:r>
      <w:r>
        <w:rPr>
          <w:rFonts w:hint="eastAsia" w:asciiTheme="minorEastAsia" w:hAnsiTheme="minorEastAsia" w:eastAsiaTheme="minorEastAsia" w:cstheme="minorEastAsia"/>
          <w:color w:val="auto"/>
          <w:sz w:val="24"/>
          <w:szCs w:val="24"/>
          <w:highlight w:val="none"/>
          <w:lang w:eastAsia="zh-CN"/>
        </w:rPr>
        <w:t>日</w:t>
      </w:r>
      <w:r>
        <w:rPr>
          <w:rFonts w:hint="eastAsia" w:asciiTheme="minorEastAsia" w:hAnsiTheme="minorEastAsia" w:eastAsiaTheme="minorEastAsia" w:cstheme="minorEastAsia"/>
          <w:color w:val="auto"/>
          <w:sz w:val="24"/>
          <w:szCs w:val="24"/>
          <w:highlight w:val="none"/>
        </w:rPr>
        <w:t>（自本公告发布之日起不得少于5个工作日）</w:t>
      </w:r>
      <w:r>
        <w:rPr>
          <w:rFonts w:hint="eastAsia" w:asciiTheme="minorEastAsia" w:hAnsiTheme="minorEastAsia" w:eastAsiaTheme="minorEastAsia" w:cstheme="minorEastAsia"/>
          <w:color w:val="auto"/>
          <w:sz w:val="24"/>
          <w:szCs w:val="24"/>
          <w:highlight w:val="none"/>
          <w:lang w:eastAsia="zh-CN"/>
        </w:rPr>
        <w:t>。</w:t>
      </w:r>
    </w:p>
    <w:p>
      <w:pPr>
        <w:keepNext w:val="0"/>
        <w:keepLines w:val="0"/>
        <w:pageBreakBefore w:val="0"/>
        <w:widowControl w:val="0"/>
        <w:numPr>
          <w:ilvl w:val="1"/>
          <w:numId w:val="5"/>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获取地点：</w:t>
      </w:r>
      <w:r>
        <w:rPr>
          <w:rFonts w:hint="eastAsia" w:asciiTheme="minorEastAsia" w:hAnsiTheme="minorEastAsia" w:eastAsiaTheme="minorEastAsia" w:cstheme="minorEastAsia"/>
          <w:color w:val="auto"/>
          <w:sz w:val="24"/>
          <w:szCs w:val="24"/>
          <w:highlight w:val="none"/>
          <w:lang w:eastAsia="zh-CN"/>
        </w:rPr>
        <w:t>佛山市公共资源交易综合管理云平台（https://ggzyjy.zsj.foshan.gov.cn:55524/tpbidder）</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投标人</w:t>
      </w:r>
      <w:r>
        <w:rPr>
          <w:rFonts w:hint="eastAsia" w:asciiTheme="minorEastAsia" w:hAnsiTheme="minorEastAsia" w:eastAsiaTheme="minorEastAsia" w:cstheme="minorEastAsia"/>
          <w:color w:val="auto"/>
          <w:sz w:val="24"/>
          <w:szCs w:val="24"/>
          <w:highlight w:val="none"/>
        </w:rPr>
        <w:t>通过网上免费获取</w:t>
      </w:r>
      <w:r>
        <w:rPr>
          <w:rFonts w:hint="eastAsia" w:asciiTheme="minorEastAsia" w:hAnsiTheme="minorEastAsia" w:eastAsiaTheme="minorEastAsia" w:cstheme="minorEastAsia"/>
          <w:color w:val="auto"/>
          <w:sz w:val="24"/>
          <w:szCs w:val="24"/>
          <w:highlight w:val="none"/>
          <w:lang w:eastAsia="zh-CN"/>
        </w:rPr>
        <w:t>招标文件</w:t>
      </w:r>
      <w:r>
        <w:rPr>
          <w:rFonts w:hint="eastAsia" w:asciiTheme="minorEastAsia" w:hAnsiTheme="minorEastAsia" w:eastAsiaTheme="minorEastAsia" w:cstheme="minorEastAsia"/>
          <w:color w:val="auto"/>
          <w:sz w:val="24"/>
          <w:szCs w:val="24"/>
          <w:highlight w:val="none"/>
        </w:rPr>
        <w:t>，具体要求详见“其他补充事宜”。</w:t>
      </w:r>
    </w:p>
    <w:p>
      <w:pPr>
        <w:keepNext w:val="0"/>
        <w:keepLines w:val="0"/>
        <w:pageBreakBefore w:val="0"/>
        <w:widowControl w:val="0"/>
        <w:numPr>
          <w:ilvl w:val="1"/>
          <w:numId w:val="5"/>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方式：本项目通过网上获取</w:t>
      </w:r>
      <w:r>
        <w:rPr>
          <w:rFonts w:hint="eastAsia" w:asciiTheme="minorEastAsia" w:hAnsiTheme="minorEastAsia" w:eastAsiaTheme="minorEastAsia" w:cstheme="minorEastAsia"/>
          <w:color w:val="auto"/>
          <w:sz w:val="24"/>
          <w:szCs w:val="24"/>
          <w:highlight w:val="none"/>
          <w:lang w:eastAsia="zh-CN"/>
        </w:rPr>
        <w:t>招标文件</w:t>
      </w:r>
      <w:r>
        <w:rPr>
          <w:rFonts w:hint="eastAsia" w:asciiTheme="minorEastAsia" w:hAnsiTheme="minorEastAsia" w:eastAsiaTheme="minorEastAsia" w:cstheme="minorEastAsia"/>
          <w:color w:val="auto"/>
          <w:sz w:val="24"/>
          <w:szCs w:val="24"/>
          <w:highlight w:val="none"/>
        </w:rPr>
        <w:t>。</w:t>
      </w:r>
    </w:p>
    <w:p>
      <w:pPr>
        <w:keepNext w:val="0"/>
        <w:keepLines w:val="0"/>
        <w:pageBreakBefore w:val="0"/>
        <w:widowControl w:val="0"/>
        <w:numPr>
          <w:ilvl w:val="1"/>
          <w:numId w:val="5"/>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售价（元）：</w:t>
      </w:r>
      <w:r>
        <w:rPr>
          <w:rFonts w:hint="eastAsia" w:asciiTheme="minorEastAsia" w:hAnsiTheme="minorEastAsia" w:eastAsiaTheme="minorEastAsia" w:cstheme="minorEastAsia"/>
          <w:color w:val="auto"/>
          <w:sz w:val="24"/>
          <w:szCs w:val="24"/>
          <w:highlight w:val="none"/>
          <w:lang w:eastAsia="zh-CN"/>
        </w:rPr>
        <w:t>0元</w:t>
      </w:r>
      <w:r>
        <w:rPr>
          <w:rFonts w:hint="eastAsia" w:asciiTheme="minorEastAsia" w:hAnsiTheme="minorEastAsia" w:eastAsiaTheme="minorEastAsia" w:cstheme="minorEastAsia"/>
          <w:color w:val="auto"/>
          <w:sz w:val="24"/>
          <w:szCs w:val="24"/>
          <w:highlight w:val="none"/>
        </w:rPr>
        <w:t>。</w:t>
      </w:r>
    </w:p>
    <w:p>
      <w:pPr>
        <w:spacing w:line="440" w:lineRule="exact"/>
        <w:jc w:val="left"/>
        <w:rPr>
          <w:rFonts w:hint="eastAsia" w:ascii="宋体" w:hAnsi="宋体" w:cs="宋体"/>
          <w:b/>
          <w:bCs/>
          <w:color w:val="auto"/>
          <w:szCs w:val="21"/>
        </w:rPr>
      </w:pPr>
      <w:r>
        <w:rPr>
          <w:rFonts w:hint="eastAsia" w:ascii="宋体" w:hAnsi="宋体" w:cs="宋体"/>
          <w:b/>
          <w:bCs/>
          <w:color w:val="auto"/>
          <w:szCs w:val="21"/>
        </w:rPr>
        <w:t>四、提交投标文件截止时间和地点</w:t>
      </w:r>
    </w:p>
    <w:p>
      <w:pPr>
        <w:keepNext w:val="0"/>
        <w:keepLines w:val="0"/>
        <w:pageBreakBefore w:val="0"/>
        <w:widowControl w:val="0"/>
        <w:numPr>
          <w:ilvl w:val="1"/>
          <w:numId w:val="6"/>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提交投标文件截止时间：</w:t>
      </w:r>
      <w:r>
        <w:rPr>
          <w:rFonts w:hint="eastAsia" w:asciiTheme="minorEastAsia" w:hAnsiTheme="minorEastAsia" w:eastAsiaTheme="minorEastAsia" w:cstheme="minorEastAsia"/>
          <w:b/>
          <w:bCs/>
          <w:color w:val="auto"/>
          <w:sz w:val="24"/>
          <w:szCs w:val="24"/>
          <w:highlight w:val="none"/>
          <w:lang w:eastAsia="zh-CN"/>
        </w:rPr>
        <w:t>2026年</w:t>
      </w:r>
      <w:r>
        <w:rPr>
          <w:rFonts w:hint="eastAsia" w:asciiTheme="minorEastAsia" w:hAnsiTheme="minorEastAsia" w:eastAsiaTheme="minorEastAsia" w:cstheme="minorEastAsia"/>
          <w:b/>
          <w:bCs/>
          <w:color w:val="auto"/>
          <w:sz w:val="24"/>
          <w:szCs w:val="24"/>
          <w:highlight w:val="none"/>
          <w:lang w:val="en-US" w:eastAsia="zh-CN"/>
        </w:rPr>
        <w:t>9</w:t>
      </w:r>
      <w:r>
        <w:rPr>
          <w:rFonts w:hint="eastAsia" w:asciiTheme="minorEastAsia" w:hAnsiTheme="minorEastAsia" w:eastAsiaTheme="minorEastAsia" w:cstheme="minorEastAsia"/>
          <w:b/>
          <w:bCs/>
          <w:color w:val="auto"/>
          <w:sz w:val="24"/>
          <w:szCs w:val="24"/>
          <w:highlight w:val="none"/>
          <w:lang w:eastAsia="zh-CN"/>
        </w:rPr>
        <w:t>月</w:t>
      </w:r>
      <w:r>
        <w:rPr>
          <w:rFonts w:hint="eastAsia" w:asciiTheme="minorEastAsia" w:hAnsiTheme="minorEastAsia" w:eastAsiaTheme="minorEastAsia" w:cstheme="minorEastAsia"/>
          <w:b/>
          <w:bCs/>
          <w:color w:val="auto"/>
          <w:sz w:val="24"/>
          <w:szCs w:val="24"/>
          <w:highlight w:val="none"/>
          <w:lang w:val="en-US" w:eastAsia="zh-CN"/>
        </w:rPr>
        <w:t>18</w:t>
      </w:r>
      <w:r>
        <w:rPr>
          <w:rFonts w:hint="eastAsia" w:asciiTheme="minorEastAsia" w:hAnsiTheme="minorEastAsia" w:eastAsiaTheme="minorEastAsia" w:cstheme="minorEastAsia"/>
          <w:b/>
          <w:bCs/>
          <w:color w:val="auto"/>
          <w:sz w:val="24"/>
          <w:szCs w:val="24"/>
          <w:highlight w:val="none"/>
          <w:lang w:eastAsia="zh-CN"/>
        </w:rPr>
        <w:t>日9点30分</w:t>
      </w:r>
      <w:r>
        <w:rPr>
          <w:rFonts w:hint="eastAsia" w:asciiTheme="minorEastAsia" w:hAnsiTheme="minorEastAsia" w:eastAsiaTheme="minorEastAsia" w:cstheme="minorEastAsia"/>
          <w:color w:val="auto"/>
          <w:sz w:val="24"/>
          <w:szCs w:val="24"/>
          <w:highlight w:val="none"/>
        </w:rPr>
        <w:t xml:space="preserve">（北京时间）（自招标文件开始发出之日起至投标人提交投标文件截止之日止，不得少于20日） </w:t>
      </w:r>
    </w:p>
    <w:p>
      <w:pPr>
        <w:keepNext w:val="0"/>
        <w:keepLines w:val="0"/>
        <w:pageBreakBefore w:val="0"/>
        <w:widowControl w:val="0"/>
        <w:numPr>
          <w:ilvl w:val="1"/>
          <w:numId w:val="6"/>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提交投标文件</w:t>
      </w:r>
      <w:r>
        <w:rPr>
          <w:rFonts w:hint="eastAsia" w:asciiTheme="minorEastAsia" w:hAnsiTheme="minorEastAsia" w:eastAsiaTheme="minorEastAsia" w:cstheme="minorEastAsia"/>
          <w:color w:val="auto"/>
          <w:sz w:val="24"/>
          <w:szCs w:val="24"/>
          <w:highlight w:val="none"/>
        </w:rPr>
        <w:t>地点：投标人须在投标截止</w:t>
      </w:r>
      <w:r>
        <w:rPr>
          <w:rFonts w:hint="eastAsia" w:asciiTheme="minorEastAsia" w:hAnsiTheme="minorEastAsia" w:eastAsiaTheme="minorEastAsia" w:cstheme="minorEastAsia"/>
          <w:color w:val="auto"/>
          <w:sz w:val="24"/>
          <w:szCs w:val="24"/>
          <w:highlight w:val="none"/>
          <w:lang w:eastAsia="zh-CN"/>
        </w:rPr>
        <w:t>时间</w:t>
      </w:r>
      <w:r>
        <w:rPr>
          <w:rFonts w:hint="eastAsia" w:asciiTheme="minorEastAsia" w:hAnsiTheme="minorEastAsia" w:eastAsiaTheme="minorEastAsia" w:cstheme="minorEastAsia"/>
          <w:color w:val="auto"/>
          <w:sz w:val="24"/>
          <w:szCs w:val="24"/>
          <w:highlight w:val="none"/>
        </w:rPr>
        <w:t>前将加密的电子投标文件通过交易系统“</w:t>
      </w:r>
      <w:r>
        <w:rPr>
          <w:rFonts w:hint="eastAsia" w:asciiTheme="minorEastAsia" w:hAnsiTheme="minorEastAsia" w:eastAsiaTheme="minorEastAsia" w:cstheme="minorEastAsia"/>
          <w:color w:val="auto"/>
          <w:sz w:val="24"/>
          <w:szCs w:val="24"/>
          <w:highlight w:val="none"/>
          <w:lang w:eastAsia="zh-CN"/>
        </w:rPr>
        <w:t>佛山市公共资源交易综合管理云平台</w:t>
      </w:r>
      <w:r>
        <w:rPr>
          <w:rFonts w:hint="eastAsia" w:asciiTheme="minorEastAsia" w:hAnsiTheme="minorEastAsia" w:eastAsiaTheme="minorEastAsia" w:cstheme="minorEastAsia"/>
          <w:color w:val="auto"/>
          <w:sz w:val="24"/>
          <w:szCs w:val="24"/>
          <w:highlight w:val="none"/>
        </w:rPr>
        <w:t>”成功上传。</w:t>
      </w:r>
    </w:p>
    <w:p>
      <w:pPr>
        <w:widowControl/>
        <w:tabs>
          <w:tab w:val="left" w:pos="900"/>
          <w:tab w:val="left" w:pos="960"/>
        </w:tabs>
        <w:spacing w:line="440" w:lineRule="exact"/>
        <w:rPr>
          <w:rFonts w:hint="eastAsia" w:ascii="宋体" w:hAnsi="宋体" w:cs="宋体"/>
          <w:b/>
          <w:color w:val="auto"/>
          <w:szCs w:val="21"/>
          <w:lang w:eastAsia="zh-CN"/>
        </w:rPr>
      </w:pPr>
      <w:r>
        <w:rPr>
          <w:rFonts w:hint="eastAsia" w:ascii="宋体" w:hAnsi="宋体" w:cs="宋体"/>
          <w:b/>
          <w:color w:val="auto"/>
          <w:szCs w:val="21"/>
          <w:lang w:eastAsia="zh-CN"/>
        </w:rPr>
        <w:t>五、</w:t>
      </w:r>
      <w:r>
        <w:rPr>
          <w:rFonts w:hint="eastAsia" w:ascii="宋体" w:hAnsi="宋体" w:cs="宋体"/>
          <w:b/>
          <w:bCs/>
          <w:color w:val="auto"/>
          <w:szCs w:val="21"/>
        </w:rPr>
        <w:t>开标时间和地点</w:t>
      </w:r>
    </w:p>
    <w:p>
      <w:pPr>
        <w:keepNext w:val="0"/>
        <w:keepLines w:val="0"/>
        <w:pageBreakBefore w:val="0"/>
        <w:widowControl w:val="0"/>
        <w:numPr>
          <w:ilvl w:val="1"/>
          <w:numId w:val="7"/>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开标时间</w:t>
      </w:r>
      <w:r>
        <w:rPr>
          <w:rFonts w:hint="eastAsia" w:asciiTheme="minorEastAsia" w:hAnsiTheme="minorEastAsia" w:eastAsiaTheme="minorEastAsia" w:cstheme="minorEastAsia"/>
          <w:b/>
          <w:bCs/>
          <w:color w:val="auto"/>
          <w:sz w:val="24"/>
          <w:szCs w:val="24"/>
          <w:highlight w:val="none"/>
          <w:lang w:eastAsia="zh-CN"/>
        </w:rPr>
        <w:t>：2026年</w:t>
      </w:r>
      <w:r>
        <w:rPr>
          <w:rFonts w:hint="eastAsia" w:asciiTheme="minorEastAsia" w:hAnsiTheme="minorEastAsia" w:eastAsiaTheme="minorEastAsia" w:cstheme="minorEastAsia"/>
          <w:b/>
          <w:bCs/>
          <w:color w:val="auto"/>
          <w:sz w:val="24"/>
          <w:szCs w:val="24"/>
          <w:highlight w:val="none"/>
          <w:lang w:val="en-US" w:eastAsia="zh-CN"/>
        </w:rPr>
        <w:t>9</w:t>
      </w:r>
      <w:r>
        <w:rPr>
          <w:rFonts w:hint="eastAsia" w:asciiTheme="minorEastAsia" w:hAnsiTheme="minorEastAsia" w:eastAsiaTheme="minorEastAsia" w:cstheme="minorEastAsia"/>
          <w:b/>
          <w:bCs/>
          <w:color w:val="auto"/>
          <w:sz w:val="24"/>
          <w:szCs w:val="24"/>
          <w:highlight w:val="none"/>
          <w:lang w:eastAsia="zh-CN"/>
        </w:rPr>
        <w:t>月</w:t>
      </w:r>
      <w:r>
        <w:rPr>
          <w:rFonts w:hint="eastAsia" w:asciiTheme="minorEastAsia" w:hAnsiTheme="minorEastAsia" w:eastAsiaTheme="minorEastAsia" w:cstheme="minorEastAsia"/>
          <w:b/>
          <w:bCs/>
          <w:color w:val="auto"/>
          <w:sz w:val="24"/>
          <w:szCs w:val="24"/>
          <w:highlight w:val="none"/>
          <w:lang w:val="en-US" w:eastAsia="zh-CN"/>
        </w:rPr>
        <w:t>18</w:t>
      </w:r>
      <w:r>
        <w:rPr>
          <w:rFonts w:hint="eastAsia" w:asciiTheme="minorEastAsia" w:hAnsiTheme="minorEastAsia" w:eastAsiaTheme="minorEastAsia" w:cstheme="minorEastAsia"/>
          <w:b/>
          <w:bCs/>
          <w:color w:val="auto"/>
          <w:sz w:val="24"/>
          <w:szCs w:val="24"/>
          <w:highlight w:val="none"/>
          <w:lang w:eastAsia="zh-CN"/>
        </w:rPr>
        <w:t>日9点30分</w:t>
      </w:r>
      <w:r>
        <w:rPr>
          <w:rFonts w:hint="eastAsia" w:asciiTheme="minorEastAsia" w:hAnsiTheme="minorEastAsia" w:eastAsiaTheme="minorEastAsia" w:cstheme="minorEastAsia"/>
          <w:color w:val="auto"/>
          <w:sz w:val="24"/>
          <w:szCs w:val="24"/>
          <w:highlight w:val="none"/>
          <w:lang w:eastAsia="zh-CN"/>
        </w:rPr>
        <w:t>（北京时间）</w:t>
      </w:r>
    </w:p>
    <w:p>
      <w:pPr>
        <w:keepNext w:val="0"/>
        <w:keepLines w:val="0"/>
        <w:pageBreakBefore w:val="0"/>
        <w:widowControl w:val="0"/>
        <w:numPr>
          <w:ilvl w:val="1"/>
          <w:numId w:val="7"/>
        </w:numPr>
        <w:kinsoku/>
        <w:wordWrap/>
        <w:overflowPunct/>
        <w:topLinePunct w:val="0"/>
        <w:autoSpaceDE/>
        <w:autoSpaceDN/>
        <w:bidi w:val="0"/>
        <w:adjustRightInd/>
        <w:snapToGrid w:val="0"/>
        <w:spacing w:line="440" w:lineRule="exact"/>
        <w:ind w:left="567" w:leftChars="0" w:hanging="347" w:firstLineChars="0"/>
        <w:textAlignment w:val="auto"/>
        <w:rPr>
          <w:rFonts w:hint="eastAsia" w:ascii="宋体" w:hAnsi="宋体" w:cs="宋体"/>
          <w:color w:val="auto"/>
          <w:szCs w:val="21"/>
        </w:rPr>
      </w:pPr>
      <w:r>
        <w:rPr>
          <w:rFonts w:hint="eastAsia" w:asciiTheme="minorEastAsia" w:hAnsiTheme="minorEastAsia" w:eastAsiaTheme="minorEastAsia" w:cstheme="minorEastAsia"/>
          <w:color w:val="auto"/>
          <w:sz w:val="24"/>
          <w:szCs w:val="24"/>
          <w:highlight w:val="none"/>
          <w:lang w:eastAsia="zh-CN"/>
        </w:rPr>
        <w:t>开标地点：佛山市公共资源交易综合管理云平台（</w:t>
      </w:r>
      <w:r>
        <w:rPr>
          <w:rFonts w:hint="eastAsia" w:asciiTheme="minorEastAsia" w:hAnsiTheme="minorEastAsia" w:eastAsiaTheme="minorEastAsia" w:cstheme="minorEastAsia"/>
          <w:color w:val="auto"/>
          <w:sz w:val="24"/>
          <w:szCs w:val="24"/>
          <w:highlight w:val="none"/>
          <w:lang w:val="en-US" w:eastAsia="zh-CN"/>
        </w:rPr>
        <w:t>登录网址：</w:t>
      </w:r>
      <w:r>
        <w:rPr>
          <w:rFonts w:hint="eastAsia" w:ascii="宋体" w:hAnsi="宋体" w:cs="宋体"/>
          <w:color w:val="auto"/>
          <w:szCs w:val="21"/>
          <w:lang w:eastAsia="zh-CN"/>
        </w:rPr>
        <w:t>https://ggzyjy.zsj.foshan.gov.cn:55524/tpbidder）</w:t>
      </w:r>
    </w:p>
    <w:p>
      <w:pPr>
        <w:widowControl/>
        <w:tabs>
          <w:tab w:val="left" w:pos="900"/>
          <w:tab w:val="left" w:pos="960"/>
        </w:tabs>
        <w:spacing w:line="440" w:lineRule="exact"/>
        <w:ind w:firstLine="420"/>
        <w:jc w:val="left"/>
        <w:rPr>
          <w:rFonts w:hint="eastAsia" w:ascii="宋体" w:hAnsi="宋体" w:cs="宋体"/>
          <w:color w:val="auto"/>
          <w:szCs w:val="21"/>
          <w:lang w:eastAsia="zh-CN"/>
        </w:rPr>
      </w:pPr>
      <w:r>
        <w:rPr>
          <w:rFonts w:hint="eastAsia" w:ascii="Times New Roman" w:hAnsi="Times New Roman"/>
          <w:b w:val="0"/>
          <w:bCs w:val="0"/>
          <w:color w:val="auto"/>
          <w:lang w:eastAsia="zh-CN"/>
        </w:rPr>
        <w:t>（佛山市公共资源交易中心三水分中心指定开标室（具体地址：佛山市三水区西南街道同福路10号区行政服务中心大院2号楼））</w:t>
      </w:r>
    </w:p>
    <w:p>
      <w:pPr>
        <w:widowControl/>
        <w:tabs>
          <w:tab w:val="left" w:pos="900"/>
          <w:tab w:val="left" w:pos="960"/>
        </w:tabs>
        <w:spacing w:line="440" w:lineRule="exact"/>
        <w:rPr>
          <w:rFonts w:hint="eastAsia" w:ascii="宋体" w:hAnsi="宋体" w:cs="宋体"/>
          <w:b/>
          <w:bCs/>
          <w:color w:val="auto"/>
          <w:szCs w:val="21"/>
          <w:lang w:eastAsia="zh-CN"/>
        </w:rPr>
      </w:pPr>
      <w:r>
        <w:rPr>
          <w:rFonts w:hint="eastAsia" w:ascii="宋体" w:hAnsi="宋体" w:cs="宋体"/>
          <w:b/>
          <w:bCs/>
          <w:color w:val="auto"/>
          <w:szCs w:val="21"/>
          <w:lang w:eastAsia="zh-CN"/>
        </w:rPr>
        <w:t>六、公告期限及发布媒介</w:t>
      </w:r>
    </w:p>
    <w:p>
      <w:pPr>
        <w:keepNext w:val="0"/>
        <w:keepLines w:val="0"/>
        <w:pageBreakBefore w:val="0"/>
        <w:widowControl w:val="0"/>
        <w:numPr>
          <w:ilvl w:val="1"/>
          <w:numId w:val="8"/>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公告期限：本公告期限（5个工作日）。</w:t>
      </w:r>
    </w:p>
    <w:p>
      <w:pPr>
        <w:keepNext w:val="0"/>
        <w:keepLines w:val="0"/>
        <w:pageBreakBefore w:val="0"/>
        <w:widowControl w:val="0"/>
        <w:numPr>
          <w:ilvl w:val="1"/>
          <w:numId w:val="8"/>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发布媒介：</w:t>
      </w:r>
    </w:p>
    <w:p>
      <w:pPr>
        <w:tabs>
          <w:tab w:val="left" w:pos="993"/>
        </w:tabs>
        <w:wordWrap w:val="0"/>
        <w:spacing w:line="440" w:lineRule="exact"/>
        <w:ind w:firstLine="480" w:firstLineChars="200"/>
        <w:rPr>
          <w:rFonts w:hint="eastAsia" w:ascii="宋体" w:hAnsi="宋体" w:cs="宋体"/>
          <w:color w:val="auto"/>
          <w:szCs w:val="21"/>
          <w:lang w:eastAsia="zh-CN"/>
        </w:rPr>
      </w:pPr>
      <w:r>
        <w:rPr>
          <w:rFonts w:hint="eastAsia" w:cs="宋体"/>
          <w:color w:val="auto"/>
          <w:szCs w:val="21"/>
          <w:lang w:eastAsia="zh-CN"/>
        </w:rPr>
        <w:t>全国公共资源交易平台（广东省·佛山市）（https://ygp.gdzwfw.gov.cn/#/440600/index）</w:t>
      </w:r>
      <w:r>
        <w:rPr>
          <w:rFonts w:hint="eastAsia" w:ascii="宋体" w:hAnsi="宋体" w:cs="宋体"/>
          <w:color w:val="auto"/>
          <w:szCs w:val="21"/>
        </w:rPr>
        <w:t>；</w:t>
      </w:r>
      <w:r>
        <w:rPr>
          <w:rFonts w:hint="eastAsia" w:cs="宋体"/>
          <w:color w:val="auto"/>
          <w:szCs w:val="21"/>
          <w:lang w:eastAsia="zh-CN"/>
        </w:rPr>
        <w:t>广东中采招标有限公司</w:t>
      </w:r>
      <w:r>
        <w:rPr>
          <w:rFonts w:hint="eastAsia" w:ascii="宋体" w:hAnsi="宋体" w:cs="宋体"/>
          <w:color w:val="auto"/>
          <w:szCs w:val="21"/>
        </w:rPr>
        <w:t>网（</w:t>
      </w:r>
      <w:r>
        <w:rPr>
          <w:color w:val="auto"/>
        </w:rPr>
        <w:fldChar w:fldCharType="begin"/>
      </w:r>
      <w:r>
        <w:rPr>
          <w:color w:val="auto"/>
        </w:rPr>
        <w:instrText xml:space="preserve"> HYPERLINK "http://www.gmgitc.com/"</w:instrText>
      </w:r>
      <w:r>
        <w:rPr>
          <w:color w:val="auto"/>
        </w:rPr>
        <w:fldChar w:fldCharType="separate"/>
      </w:r>
      <w:r>
        <w:rPr>
          <w:rStyle w:val="18"/>
          <w:rFonts w:hint="eastAsia" w:cs="宋体"/>
          <w:color w:val="auto"/>
          <w:szCs w:val="21"/>
          <w:lang w:eastAsia="zh-CN"/>
        </w:rPr>
        <w:t>http://www.gdzczb.com/</w:t>
      </w:r>
      <w:r>
        <w:rPr>
          <w:color w:val="auto"/>
        </w:rPr>
        <w:fldChar w:fldCharType="end"/>
      </w:r>
      <w:r>
        <w:rPr>
          <w:rFonts w:hint="eastAsia" w:ascii="宋体" w:hAnsi="宋体" w:cs="宋体"/>
          <w:color w:val="auto"/>
          <w:szCs w:val="21"/>
        </w:rPr>
        <w:t>）</w:t>
      </w:r>
      <w:r>
        <w:rPr>
          <w:rFonts w:hint="eastAsia" w:ascii="宋体" w:hAnsi="宋体" w:cs="宋体"/>
          <w:color w:val="auto"/>
          <w:szCs w:val="21"/>
          <w:lang w:eastAsia="zh-CN"/>
        </w:rPr>
        <w:t>。</w:t>
      </w:r>
    </w:p>
    <w:p>
      <w:pPr>
        <w:tabs>
          <w:tab w:val="left" w:pos="993"/>
        </w:tabs>
        <w:wordWrap w:val="0"/>
        <w:spacing w:line="440" w:lineRule="exact"/>
        <w:ind w:firstLine="480" w:firstLineChars="200"/>
        <w:rPr>
          <w:rFonts w:ascii="宋体" w:hAnsi="宋体" w:cs="宋体"/>
          <w:color w:val="auto"/>
          <w:szCs w:val="21"/>
          <w:lang w:eastAsia="zh-CN"/>
        </w:rPr>
      </w:pPr>
      <w:r>
        <w:rPr>
          <w:rFonts w:hint="eastAsia" w:ascii="宋体" w:hAnsi="宋体" w:cs="宋体"/>
          <w:color w:val="auto"/>
          <w:szCs w:val="21"/>
          <w:lang w:eastAsia="zh-CN"/>
        </w:rPr>
        <w:t>公告内容不一致时，以</w:t>
      </w:r>
      <w:r>
        <w:rPr>
          <w:rFonts w:hint="eastAsia" w:cs="宋体"/>
          <w:color w:val="auto"/>
          <w:szCs w:val="21"/>
          <w:lang w:eastAsia="zh-CN"/>
        </w:rPr>
        <w:t>全国公共资源交易平台（广东省·佛山市）</w:t>
      </w:r>
      <w:r>
        <w:rPr>
          <w:rFonts w:hint="eastAsia" w:ascii="宋体" w:hAnsi="宋体" w:cs="宋体"/>
          <w:color w:val="auto"/>
          <w:szCs w:val="21"/>
          <w:lang w:eastAsia="zh-CN"/>
        </w:rPr>
        <w:t>网站发布的为准。</w:t>
      </w:r>
    </w:p>
    <w:p>
      <w:pPr>
        <w:widowControl/>
        <w:tabs>
          <w:tab w:val="left" w:pos="900"/>
          <w:tab w:val="left" w:pos="960"/>
        </w:tabs>
        <w:spacing w:line="440" w:lineRule="exact"/>
        <w:rPr>
          <w:rFonts w:hint="eastAsia" w:ascii="宋体" w:hAnsi="宋体" w:cs="宋体"/>
          <w:b/>
          <w:bCs/>
          <w:color w:val="auto"/>
          <w:szCs w:val="21"/>
          <w:lang w:eastAsia="zh-CN"/>
        </w:rPr>
      </w:pPr>
      <w:r>
        <w:rPr>
          <w:rFonts w:hint="eastAsia" w:ascii="宋体" w:hAnsi="宋体" w:cs="宋体"/>
          <w:b/>
          <w:bCs/>
          <w:color w:val="auto"/>
          <w:szCs w:val="21"/>
          <w:lang w:eastAsia="zh-CN"/>
        </w:rPr>
        <w:t>七、其他补充事宜：</w:t>
      </w:r>
    </w:p>
    <w:p>
      <w:pPr>
        <w:keepNext w:val="0"/>
        <w:keepLines w:val="0"/>
        <w:pageBreakBefore w:val="0"/>
        <w:widowControl w:val="0"/>
        <w:numPr>
          <w:ilvl w:val="1"/>
          <w:numId w:val="9"/>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本项目</w:t>
      </w:r>
      <w:r>
        <w:rPr>
          <w:rFonts w:hint="eastAsia" w:asciiTheme="minorEastAsia" w:hAnsiTheme="minorEastAsia" w:eastAsiaTheme="minorEastAsia" w:cstheme="minorEastAsia"/>
          <w:b/>
          <w:bCs/>
          <w:color w:val="auto"/>
          <w:sz w:val="24"/>
          <w:szCs w:val="24"/>
          <w:highlight w:val="none"/>
          <w:lang w:val="en-US" w:eastAsia="zh-CN"/>
        </w:rPr>
        <w:t>为企业采购项目</w:t>
      </w:r>
      <w:r>
        <w:rPr>
          <w:rFonts w:hint="eastAsia" w:asciiTheme="minorEastAsia" w:hAnsiTheme="minorEastAsia" w:eastAsiaTheme="minorEastAsia" w:cstheme="minorEastAsia"/>
          <w:b/>
          <w:bCs/>
          <w:color w:val="auto"/>
          <w:sz w:val="24"/>
          <w:szCs w:val="24"/>
          <w:highlight w:val="none"/>
          <w:lang w:eastAsia="zh-CN"/>
        </w:rPr>
        <w:t>，不属于政府采购项目，</w:t>
      </w:r>
      <w:r>
        <w:rPr>
          <w:rFonts w:hint="eastAsia" w:asciiTheme="minorEastAsia" w:hAnsiTheme="minorEastAsia" w:eastAsiaTheme="minorEastAsia" w:cstheme="minorEastAsia"/>
          <w:b/>
          <w:bCs/>
          <w:color w:val="auto"/>
          <w:sz w:val="24"/>
          <w:szCs w:val="24"/>
          <w:highlight w:val="none"/>
          <w:lang w:val="en-US" w:eastAsia="zh-CN"/>
        </w:rPr>
        <w:t>不属于依法必须招标的项目，</w:t>
      </w:r>
      <w:r>
        <w:rPr>
          <w:rFonts w:hint="eastAsia" w:asciiTheme="minorEastAsia" w:hAnsiTheme="minorEastAsia" w:eastAsiaTheme="minorEastAsia" w:cstheme="minorEastAsia"/>
          <w:b/>
          <w:bCs/>
          <w:color w:val="auto"/>
          <w:sz w:val="24"/>
          <w:szCs w:val="24"/>
          <w:highlight w:val="none"/>
          <w:lang w:eastAsia="zh-CN"/>
        </w:rPr>
        <w:t>具体适用规则以本招标文件以及采购人、采购代理机构的要求、解释为准。</w:t>
      </w:r>
    </w:p>
    <w:p>
      <w:pPr>
        <w:keepNext w:val="0"/>
        <w:keepLines w:val="0"/>
        <w:pageBreakBefore w:val="0"/>
        <w:widowControl w:val="0"/>
        <w:numPr>
          <w:ilvl w:val="1"/>
          <w:numId w:val="9"/>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本项目采用电子化采购模式，投标人须按照电子招标文件要求，登录佛山市公共资源交易综合管理云平台--国企采购版块进行网上获取招标文件和提交投标文件参与投标（本项目招标文件及系统中的投标人与供应商同义）。</w:t>
      </w:r>
    </w:p>
    <w:p>
      <w:pPr>
        <w:keepNext w:val="0"/>
        <w:keepLines w:val="0"/>
        <w:pageBreakBefore w:val="0"/>
        <w:widowControl w:val="0"/>
        <w:numPr>
          <w:ilvl w:val="1"/>
          <w:numId w:val="9"/>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其他事项说明：</w:t>
      </w:r>
    </w:p>
    <w:tbl>
      <w:tblPr>
        <w:tblStyle w:val="13"/>
        <w:tblW w:w="8679" w:type="dxa"/>
        <w:tblInd w:w="411" w:type="dxa"/>
        <w:tblLayout w:type="fixed"/>
        <w:tblCellMar>
          <w:top w:w="0" w:type="dxa"/>
          <w:left w:w="108" w:type="dxa"/>
          <w:bottom w:w="0" w:type="dxa"/>
          <w:right w:w="108" w:type="dxa"/>
        </w:tblCellMar>
      </w:tblPr>
      <w:tblGrid>
        <w:gridCol w:w="1444"/>
        <w:gridCol w:w="7235"/>
      </w:tblGrid>
      <w:tr>
        <w:tblPrEx>
          <w:tblCellMar>
            <w:top w:w="0" w:type="dxa"/>
            <w:left w:w="108" w:type="dxa"/>
            <w:bottom w:w="0" w:type="dxa"/>
            <w:right w:w="108" w:type="dxa"/>
          </w:tblCellMar>
        </w:tblPrEx>
        <w:trPr>
          <w:trHeight w:val="805" w:hRule="atLeast"/>
        </w:trPr>
        <w:tc>
          <w:tcPr>
            <w:tcW w:w="1444" w:type="dxa"/>
            <w:tcBorders>
              <w:top w:val="single" w:color="000000" w:sz="4" w:space="0"/>
              <w:left w:val="single" w:color="000000" w:sz="4" w:space="0"/>
              <w:bottom w:val="single" w:color="000000" w:sz="4" w:space="0"/>
            </w:tcBorders>
            <w:noWrap w:val="0"/>
            <w:vAlign w:val="center"/>
          </w:tcPr>
          <w:p>
            <w:pPr>
              <w:tabs>
                <w:tab w:val="left" w:pos="993"/>
              </w:tabs>
              <w:spacing w:line="440" w:lineRule="exact"/>
              <w:jc w:val="center"/>
              <w:rPr>
                <w:rFonts w:hint="eastAsia" w:ascii="宋体" w:hAnsi="宋体" w:cs="宋体"/>
                <w:color w:val="auto"/>
                <w:szCs w:val="21"/>
              </w:rPr>
            </w:pPr>
            <w:r>
              <w:rPr>
                <w:rFonts w:hint="eastAsia" w:ascii="宋体" w:hAnsi="宋体" w:cs="宋体"/>
                <w:color w:val="auto"/>
                <w:szCs w:val="21"/>
              </w:rPr>
              <w:t>网上获取招标文件</w:t>
            </w:r>
          </w:p>
        </w:tc>
        <w:tc>
          <w:tcPr>
            <w:tcW w:w="7235" w:type="dxa"/>
            <w:tcBorders>
              <w:top w:val="single" w:color="000000" w:sz="4" w:space="0"/>
              <w:left w:val="single" w:color="000000" w:sz="4" w:space="0"/>
              <w:bottom w:val="single" w:color="000000" w:sz="4" w:space="0"/>
              <w:right w:val="single" w:color="000000" w:sz="4" w:space="0"/>
            </w:tcBorders>
            <w:noWrap w:val="0"/>
            <w:vAlign w:val="center"/>
          </w:tcPr>
          <w:p>
            <w:pPr>
              <w:tabs>
                <w:tab w:val="left" w:pos="993"/>
              </w:tabs>
              <w:spacing w:line="440" w:lineRule="exact"/>
              <w:rPr>
                <w:rFonts w:hint="eastAsia" w:ascii="宋体" w:hAnsi="宋体" w:cs="宋体"/>
                <w:color w:val="auto"/>
                <w:szCs w:val="21"/>
              </w:rPr>
            </w:pPr>
            <w:r>
              <w:rPr>
                <w:rFonts w:hint="eastAsia" w:ascii="宋体" w:hAnsi="宋体" w:cs="宋体"/>
                <w:color w:val="auto"/>
                <w:szCs w:val="21"/>
                <w:lang w:eastAsia="zh-CN"/>
              </w:rPr>
              <w:t>（1）</w:t>
            </w:r>
            <w:r>
              <w:rPr>
                <w:rFonts w:hint="eastAsia" w:ascii="宋体" w:hAnsi="宋体" w:cs="宋体"/>
                <w:color w:val="auto"/>
                <w:szCs w:val="21"/>
              </w:rPr>
              <w:t>本项目采用网上获取</w:t>
            </w:r>
            <w:r>
              <w:rPr>
                <w:rFonts w:hint="eastAsia" w:ascii="宋体" w:hAnsi="宋体" w:cs="宋体"/>
                <w:color w:val="auto"/>
                <w:szCs w:val="21"/>
                <w:lang w:eastAsia="zh-CN"/>
              </w:rPr>
              <w:t>招标文件</w:t>
            </w:r>
            <w:r>
              <w:rPr>
                <w:rFonts w:hint="eastAsia" w:ascii="宋体" w:hAnsi="宋体" w:cs="宋体"/>
                <w:color w:val="auto"/>
                <w:szCs w:val="21"/>
              </w:rPr>
              <w:t>。</w:t>
            </w:r>
            <w:r>
              <w:rPr>
                <w:rFonts w:hint="eastAsia" w:ascii="宋体" w:hAnsi="宋体" w:cs="宋体"/>
                <w:color w:val="auto"/>
                <w:szCs w:val="21"/>
                <w:lang w:eastAsia="zh-CN"/>
              </w:rPr>
              <w:t>投标人</w:t>
            </w:r>
            <w:r>
              <w:rPr>
                <w:rFonts w:hint="eastAsia" w:ascii="宋体" w:hAnsi="宋体" w:cs="宋体"/>
                <w:color w:val="auto"/>
                <w:szCs w:val="21"/>
              </w:rPr>
              <w:t>须先办理供应商信息入库后，并通过登录交易系统“</w:t>
            </w:r>
            <w:r>
              <w:rPr>
                <w:rFonts w:hint="eastAsia" w:ascii="宋体" w:hAnsi="宋体" w:cs="宋体"/>
                <w:color w:val="auto"/>
                <w:szCs w:val="21"/>
                <w:lang w:eastAsia="zh-CN"/>
              </w:rPr>
              <w:t>佛山市公共资源交易综合管理云平台</w:t>
            </w:r>
            <w:r>
              <w:rPr>
                <w:rFonts w:hint="eastAsia" w:ascii="宋体" w:hAnsi="宋体" w:cs="宋体"/>
                <w:color w:val="auto"/>
                <w:szCs w:val="21"/>
              </w:rPr>
              <w:t>”获取</w:t>
            </w:r>
            <w:r>
              <w:rPr>
                <w:rFonts w:hint="eastAsia" w:ascii="宋体" w:hAnsi="宋体" w:cs="宋体"/>
                <w:color w:val="auto"/>
                <w:szCs w:val="21"/>
                <w:lang w:eastAsia="zh-CN"/>
              </w:rPr>
              <w:t>招标文件</w:t>
            </w:r>
            <w:r>
              <w:rPr>
                <w:rFonts w:hint="eastAsia" w:ascii="宋体" w:hAnsi="宋体" w:cs="宋体"/>
                <w:color w:val="auto"/>
                <w:szCs w:val="21"/>
              </w:rPr>
              <w:t>后，才能参与本项目的投标。</w:t>
            </w:r>
          </w:p>
          <w:p>
            <w:pPr>
              <w:tabs>
                <w:tab w:val="left" w:pos="993"/>
              </w:tabs>
              <w:wordWrap w:val="0"/>
              <w:spacing w:line="440" w:lineRule="exact"/>
              <w:rPr>
                <w:rFonts w:hint="eastAsia" w:ascii="宋体" w:hAnsi="宋体" w:cs="宋体"/>
                <w:color w:val="auto"/>
                <w:szCs w:val="21"/>
              </w:rPr>
            </w:pPr>
            <w:r>
              <w:rPr>
                <w:rFonts w:hint="eastAsia" w:ascii="宋体" w:hAnsi="宋体" w:cs="宋体"/>
                <w:color w:val="auto"/>
                <w:szCs w:val="21"/>
                <w:lang w:eastAsia="zh-CN"/>
              </w:rPr>
              <w:t>（2）本项目采用佛山市公共资源交易综合管理云平台进行招投标，登录网址：https://ggzyjy.zsj.foshan.gov.cn:55524/tpbidder；请在投标前详细阅读佛山市公共资源交易综合管理云平台国企采购招投标业务投标人操作手册，手册获取网址：https://docs.qq.com/doc/DSFFCRUNzVXdrRUdj?u=d50417b20611435fa62710d048ece097。投标人在使用过程中遇到涉及系统使用的问题，可通过400-998-0000</w:t>
            </w:r>
            <w:r>
              <w:rPr>
                <w:rFonts w:hint="eastAsia" w:ascii="宋体" w:hAnsi="宋体" w:cs="宋体"/>
                <w:color w:val="auto"/>
                <w:szCs w:val="21"/>
              </w:rPr>
              <w:t>、0757-83991581</w:t>
            </w:r>
            <w:r>
              <w:rPr>
                <w:rFonts w:hint="eastAsia" w:ascii="宋体" w:hAnsi="宋体" w:cs="宋体"/>
                <w:color w:val="auto"/>
                <w:szCs w:val="21"/>
                <w:lang w:eastAsia="zh-CN"/>
              </w:rPr>
              <w:t>进行咨询。</w:t>
            </w:r>
          </w:p>
          <w:p>
            <w:pPr>
              <w:spacing w:line="440" w:lineRule="exact"/>
              <w:rPr>
                <w:rFonts w:hint="eastAsia" w:ascii="宋体" w:hAnsi="宋体" w:cs="宋体"/>
                <w:color w:val="auto"/>
                <w:szCs w:val="21"/>
                <w:lang w:eastAsia="zh-CN"/>
              </w:rPr>
            </w:pPr>
            <w:r>
              <w:rPr>
                <w:rFonts w:hint="eastAsia" w:ascii="宋体" w:hAnsi="宋体" w:cs="宋体"/>
                <w:color w:val="auto"/>
                <w:szCs w:val="21"/>
                <w:lang w:eastAsia="zh-CN"/>
              </w:rPr>
              <w:t>（3）投标人首次登录佛山市公共资源交易综合管理云平台的，可按以下步骤进行操作：①登录全国公共资源交易平台（广东省）注册，填写省入库基础信息；②切换至全国公共资源交易平台（广东省·佛山市）首页，从交易系统菜单跳转登录至佛山市公共资源交易综合管理云平台；③同步引用省入库基础信息并补充完善本单位的其他投标信息。</w:t>
            </w:r>
          </w:p>
          <w:p>
            <w:pPr>
              <w:widowControl/>
              <w:tabs>
                <w:tab w:val="left" w:pos="993"/>
              </w:tabs>
              <w:spacing w:line="440" w:lineRule="exact"/>
              <w:rPr>
                <w:rFonts w:hint="eastAsia" w:ascii="宋体" w:hAnsi="宋体" w:cs="宋体"/>
                <w:color w:val="auto"/>
                <w:szCs w:val="21"/>
              </w:rPr>
            </w:pPr>
            <w:r>
              <w:rPr>
                <w:rFonts w:hint="eastAsia" w:ascii="宋体" w:hAnsi="宋体" w:cs="宋体"/>
                <w:color w:val="auto"/>
                <w:szCs w:val="21"/>
                <w:lang w:eastAsia="zh-CN"/>
              </w:rPr>
              <w:t>（4）</w:t>
            </w:r>
            <w:r>
              <w:rPr>
                <w:rFonts w:hint="eastAsia" w:ascii="宋体" w:hAnsi="宋体" w:cs="宋体"/>
                <w:color w:val="auto"/>
                <w:szCs w:val="21"/>
              </w:rPr>
              <w:t xml:space="preserve"> 已办理供应商信息入库的供应商应当在采购公告规定时间内，登录交易系统“</w:t>
            </w:r>
            <w:r>
              <w:rPr>
                <w:rFonts w:hint="eastAsia" w:ascii="宋体" w:hAnsi="宋体" w:cs="宋体"/>
                <w:color w:val="auto"/>
                <w:szCs w:val="21"/>
                <w:lang w:eastAsia="zh-CN"/>
              </w:rPr>
              <w:t>佛山市公共资源交易综合管理云平台</w:t>
            </w:r>
            <w:r>
              <w:rPr>
                <w:rFonts w:hint="eastAsia" w:ascii="宋体" w:hAnsi="宋体" w:cs="宋体"/>
                <w:color w:val="auto"/>
                <w:szCs w:val="21"/>
              </w:rPr>
              <w:t>”国企采购板块，按照系统提示下载</w:t>
            </w:r>
            <w:r>
              <w:rPr>
                <w:rFonts w:hint="eastAsia" w:ascii="宋体" w:hAnsi="宋体" w:cs="宋体"/>
                <w:color w:val="auto"/>
                <w:szCs w:val="21"/>
                <w:lang w:eastAsia="zh-CN"/>
              </w:rPr>
              <w:t>招标文件</w:t>
            </w:r>
            <w:r>
              <w:rPr>
                <w:rFonts w:hint="eastAsia" w:ascii="宋体" w:hAnsi="宋体" w:cs="宋体"/>
                <w:color w:val="auto"/>
                <w:szCs w:val="21"/>
              </w:rPr>
              <w:t>。</w:t>
            </w:r>
          </w:p>
          <w:p>
            <w:pPr>
              <w:tabs>
                <w:tab w:val="left" w:pos="993"/>
              </w:tabs>
              <w:spacing w:line="440" w:lineRule="exact"/>
              <w:rPr>
                <w:color w:val="auto"/>
              </w:rPr>
            </w:pPr>
            <w:r>
              <w:rPr>
                <w:rFonts w:hint="eastAsia" w:ascii="宋体" w:hAnsi="宋体" w:cs="宋体"/>
                <w:color w:val="auto"/>
                <w:szCs w:val="21"/>
                <w:lang w:eastAsia="zh-CN"/>
              </w:rPr>
              <w:t>（5）</w:t>
            </w:r>
            <w:r>
              <w:rPr>
                <w:rFonts w:hint="eastAsia" w:ascii="宋体" w:hAnsi="宋体" w:cs="宋体"/>
                <w:color w:val="auto"/>
                <w:szCs w:val="21"/>
              </w:rPr>
              <w:t>请供应商及时维护、更新</w:t>
            </w:r>
            <w:r>
              <w:rPr>
                <w:rFonts w:hint="eastAsia" w:ascii="宋体" w:hAnsi="宋体" w:cs="宋体"/>
                <w:color w:val="auto"/>
                <w:szCs w:val="21"/>
                <w:lang w:eastAsia="zh-CN"/>
              </w:rPr>
              <w:t>佛山市公共资源交易综合管理云平台的</w:t>
            </w:r>
            <w:r>
              <w:rPr>
                <w:rFonts w:hint="eastAsia" w:ascii="宋体" w:hAnsi="宋体" w:cs="宋体"/>
                <w:color w:val="auto"/>
                <w:szCs w:val="21"/>
              </w:rPr>
              <w:t>相关信息及资料。</w:t>
            </w:r>
          </w:p>
        </w:tc>
      </w:tr>
      <w:tr>
        <w:tblPrEx>
          <w:tblCellMar>
            <w:top w:w="0" w:type="dxa"/>
            <w:left w:w="108" w:type="dxa"/>
            <w:bottom w:w="0" w:type="dxa"/>
            <w:right w:w="108" w:type="dxa"/>
          </w:tblCellMar>
        </w:tblPrEx>
        <w:trPr>
          <w:trHeight w:val="489" w:hRule="atLeast"/>
        </w:trPr>
        <w:tc>
          <w:tcPr>
            <w:tcW w:w="1444" w:type="dxa"/>
            <w:tcBorders>
              <w:top w:val="single" w:color="000000" w:sz="4" w:space="0"/>
              <w:left w:val="single" w:color="000000" w:sz="4" w:space="0"/>
              <w:bottom w:val="single" w:color="000000" w:sz="4" w:space="0"/>
            </w:tcBorders>
            <w:noWrap w:val="0"/>
            <w:vAlign w:val="center"/>
          </w:tcPr>
          <w:p>
            <w:pPr>
              <w:tabs>
                <w:tab w:val="left" w:pos="993"/>
              </w:tabs>
              <w:spacing w:line="440" w:lineRule="exact"/>
              <w:jc w:val="center"/>
              <w:rPr>
                <w:rFonts w:hint="eastAsia" w:ascii="宋体" w:hAnsi="宋体" w:cs="宋体"/>
                <w:color w:val="auto"/>
                <w:szCs w:val="21"/>
              </w:rPr>
            </w:pPr>
            <w:r>
              <w:rPr>
                <w:rFonts w:hint="eastAsia" w:ascii="宋体" w:hAnsi="宋体" w:cs="宋体"/>
                <w:color w:val="auto"/>
                <w:szCs w:val="21"/>
              </w:rPr>
              <w:t>电子投标文</w:t>
            </w:r>
          </w:p>
          <w:p>
            <w:pPr>
              <w:tabs>
                <w:tab w:val="left" w:pos="993"/>
              </w:tabs>
              <w:spacing w:line="440" w:lineRule="exact"/>
              <w:jc w:val="center"/>
              <w:rPr>
                <w:rFonts w:hint="eastAsia" w:ascii="宋体" w:hAnsi="宋体" w:cs="宋体"/>
                <w:color w:val="auto"/>
                <w:szCs w:val="21"/>
              </w:rPr>
            </w:pPr>
            <w:r>
              <w:rPr>
                <w:rFonts w:hint="eastAsia" w:ascii="宋体" w:hAnsi="宋体" w:cs="宋体"/>
                <w:color w:val="auto"/>
                <w:szCs w:val="21"/>
              </w:rPr>
              <w:t>件提交与解密要求</w:t>
            </w:r>
          </w:p>
        </w:tc>
        <w:tc>
          <w:tcPr>
            <w:tcW w:w="7235" w:type="dxa"/>
            <w:tcBorders>
              <w:top w:val="single" w:color="000000" w:sz="4" w:space="0"/>
              <w:left w:val="single" w:color="000000" w:sz="4" w:space="0"/>
              <w:bottom w:val="single" w:color="000000" w:sz="4" w:space="0"/>
              <w:right w:val="single" w:color="000000" w:sz="4" w:space="0"/>
            </w:tcBorders>
            <w:noWrap w:val="0"/>
            <w:vAlign w:val="center"/>
          </w:tcPr>
          <w:p>
            <w:pPr>
              <w:tabs>
                <w:tab w:val="left" w:pos="993"/>
              </w:tabs>
              <w:spacing w:line="440" w:lineRule="exact"/>
              <w:rPr>
                <w:rFonts w:hint="eastAsia" w:ascii="宋体" w:hAnsi="宋体" w:cs="宋体"/>
                <w:color w:val="auto"/>
                <w:szCs w:val="21"/>
              </w:rPr>
            </w:pPr>
            <w:r>
              <w:rPr>
                <w:rFonts w:hint="eastAsia" w:ascii="宋体" w:hAnsi="宋体" w:cs="宋体"/>
                <w:color w:val="auto"/>
                <w:szCs w:val="21"/>
                <w:lang w:eastAsia="zh-CN"/>
              </w:rPr>
              <w:t>（1）</w:t>
            </w:r>
            <w:r>
              <w:rPr>
                <w:rFonts w:hint="eastAsia" w:ascii="宋体" w:hAnsi="宋体" w:cs="宋体"/>
                <w:color w:val="auto"/>
                <w:szCs w:val="21"/>
              </w:rPr>
              <w:t>电子投标文件提交截止时间：北京时间</w:t>
            </w:r>
            <w:r>
              <w:rPr>
                <w:rFonts w:hint="eastAsia" w:ascii="宋体" w:hAnsi="宋体" w:cs="宋体"/>
                <w:b/>
                <w:bCs/>
                <w:color w:val="auto"/>
                <w:szCs w:val="21"/>
                <w:lang w:eastAsia="zh-CN"/>
              </w:rPr>
              <w:t>2026年</w:t>
            </w:r>
            <w:r>
              <w:rPr>
                <w:rFonts w:hint="eastAsia" w:cs="宋体"/>
                <w:b/>
                <w:bCs/>
                <w:color w:val="auto"/>
                <w:szCs w:val="21"/>
                <w:lang w:val="en-US" w:eastAsia="zh-CN"/>
              </w:rPr>
              <w:t>9</w:t>
            </w:r>
            <w:r>
              <w:rPr>
                <w:rFonts w:hint="eastAsia" w:ascii="宋体" w:hAnsi="宋体" w:cs="宋体"/>
                <w:b/>
                <w:bCs/>
                <w:color w:val="auto"/>
                <w:szCs w:val="21"/>
                <w:lang w:eastAsia="zh-CN"/>
              </w:rPr>
              <w:t>月</w:t>
            </w:r>
            <w:r>
              <w:rPr>
                <w:rFonts w:hint="eastAsia" w:cs="宋体"/>
                <w:b/>
                <w:bCs/>
                <w:color w:val="auto"/>
                <w:szCs w:val="21"/>
                <w:lang w:val="en-US" w:eastAsia="zh-CN"/>
              </w:rPr>
              <w:t>18</w:t>
            </w:r>
            <w:r>
              <w:rPr>
                <w:rFonts w:hint="eastAsia" w:ascii="宋体" w:hAnsi="宋体" w:cs="宋体"/>
                <w:b/>
                <w:bCs/>
                <w:color w:val="auto"/>
                <w:szCs w:val="21"/>
                <w:lang w:eastAsia="zh-CN"/>
              </w:rPr>
              <w:t>日</w:t>
            </w:r>
            <w:r>
              <w:rPr>
                <w:rFonts w:hint="eastAsia" w:ascii="宋体" w:hAnsi="宋体" w:cs="宋体"/>
                <w:b/>
                <w:bCs/>
                <w:color w:val="auto"/>
                <w:szCs w:val="21"/>
              </w:rPr>
              <w:t>9时</w:t>
            </w:r>
            <w:r>
              <w:rPr>
                <w:rFonts w:hint="eastAsia" w:cs="宋体"/>
                <w:b/>
                <w:bCs/>
                <w:color w:val="auto"/>
                <w:szCs w:val="21"/>
                <w:lang w:val="en-US" w:eastAsia="zh-CN"/>
              </w:rPr>
              <w:t>3</w:t>
            </w:r>
            <w:r>
              <w:rPr>
                <w:rFonts w:hint="eastAsia" w:ascii="宋体" w:hAnsi="宋体" w:cs="宋体"/>
                <w:b/>
                <w:bCs/>
                <w:color w:val="auto"/>
                <w:szCs w:val="21"/>
              </w:rPr>
              <w:t>0分</w:t>
            </w:r>
            <w:r>
              <w:rPr>
                <w:rFonts w:hint="eastAsia" w:ascii="宋体" w:hAnsi="宋体" w:cs="宋体"/>
                <w:color w:val="auto"/>
                <w:szCs w:val="21"/>
              </w:rPr>
              <w:t>。</w:t>
            </w:r>
          </w:p>
          <w:p>
            <w:pPr>
              <w:tabs>
                <w:tab w:val="left" w:pos="993"/>
              </w:tabs>
              <w:spacing w:line="440" w:lineRule="exact"/>
              <w:rPr>
                <w:rFonts w:hint="eastAsia" w:ascii="宋体" w:hAnsi="宋体" w:cs="宋体"/>
                <w:color w:val="auto"/>
                <w:szCs w:val="21"/>
              </w:rPr>
            </w:pPr>
            <w:r>
              <w:rPr>
                <w:rFonts w:hint="eastAsia" w:ascii="宋体" w:hAnsi="宋体" w:cs="宋体"/>
                <w:color w:val="auto"/>
                <w:szCs w:val="21"/>
                <w:lang w:eastAsia="zh-CN"/>
              </w:rPr>
              <w:t>（2）</w:t>
            </w:r>
            <w:r>
              <w:rPr>
                <w:rFonts w:hint="eastAsia" w:ascii="宋体" w:hAnsi="宋体" w:cs="宋体"/>
                <w:color w:val="auto"/>
                <w:szCs w:val="21"/>
              </w:rPr>
              <w:t>电子投标文件提交方式：投标人须在投标截止</w:t>
            </w:r>
            <w:r>
              <w:rPr>
                <w:rFonts w:hint="eastAsia" w:ascii="宋体" w:hAnsi="宋体" w:cs="宋体"/>
                <w:color w:val="auto"/>
                <w:szCs w:val="21"/>
                <w:lang w:eastAsia="zh-CN"/>
              </w:rPr>
              <w:t>时间</w:t>
            </w:r>
            <w:r>
              <w:rPr>
                <w:rFonts w:hint="eastAsia" w:ascii="宋体" w:hAnsi="宋体" w:cs="宋体"/>
                <w:color w:val="auto"/>
                <w:szCs w:val="21"/>
              </w:rPr>
              <w:t>前将加密的电子投标文件通过交易系统“</w:t>
            </w:r>
            <w:r>
              <w:rPr>
                <w:rFonts w:hint="eastAsia" w:ascii="宋体" w:hAnsi="宋体" w:cs="宋体"/>
                <w:color w:val="auto"/>
                <w:szCs w:val="21"/>
                <w:lang w:eastAsia="zh-CN"/>
              </w:rPr>
              <w:t>佛山市公共资源交易综合管理云平台</w:t>
            </w:r>
            <w:r>
              <w:rPr>
                <w:rFonts w:hint="eastAsia" w:ascii="宋体" w:hAnsi="宋体" w:cs="宋体"/>
                <w:color w:val="auto"/>
                <w:szCs w:val="21"/>
              </w:rPr>
              <w:t>”成功上传。</w:t>
            </w:r>
          </w:p>
          <w:p>
            <w:pPr>
              <w:tabs>
                <w:tab w:val="left" w:pos="993"/>
              </w:tabs>
              <w:spacing w:line="440" w:lineRule="exact"/>
              <w:rPr>
                <w:rFonts w:hint="eastAsia" w:ascii="宋体" w:hAnsi="宋体" w:cs="宋体"/>
                <w:color w:val="auto"/>
                <w:szCs w:val="21"/>
              </w:rPr>
            </w:pPr>
            <w:r>
              <w:rPr>
                <w:rFonts w:hint="eastAsia" w:ascii="宋体" w:hAnsi="宋体" w:cs="宋体"/>
                <w:color w:val="auto"/>
                <w:szCs w:val="21"/>
                <w:lang w:eastAsia="zh-CN"/>
              </w:rPr>
              <w:t>（3）</w:t>
            </w:r>
            <w:r>
              <w:rPr>
                <w:rFonts w:hint="eastAsia" w:ascii="宋体" w:hAnsi="宋体" w:cs="宋体"/>
                <w:color w:val="auto"/>
                <w:szCs w:val="21"/>
              </w:rPr>
              <w:t>投标文件解密（开启）：开标时，代理机构公布投标人名单后，</w:t>
            </w:r>
            <w:r>
              <w:rPr>
                <w:rFonts w:hint="eastAsia" w:ascii="宋体" w:hAnsi="宋体" w:cs="宋体"/>
                <w:color w:val="auto"/>
                <w:szCs w:val="21"/>
                <w:lang w:eastAsia="zh-CN"/>
              </w:rPr>
              <w:t>投标人</w:t>
            </w:r>
            <w:r>
              <w:rPr>
                <w:rFonts w:hint="eastAsia" w:ascii="宋体" w:hAnsi="宋体" w:cs="宋体"/>
                <w:color w:val="auto"/>
                <w:szCs w:val="21"/>
              </w:rPr>
              <w:t>应在招标文件规定的解密时间内对电子投标文件进行解密。</w:t>
            </w:r>
          </w:p>
          <w:p>
            <w:pPr>
              <w:tabs>
                <w:tab w:val="left" w:pos="993"/>
              </w:tabs>
              <w:spacing w:line="440" w:lineRule="exact"/>
              <w:rPr>
                <w:rFonts w:hint="eastAsia" w:ascii="宋体" w:hAnsi="宋体" w:cs="宋体"/>
                <w:color w:val="auto"/>
                <w:szCs w:val="21"/>
              </w:rPr>
            </w:pPr>
            <w:r>
              <w:rPr>
                <w:rFonts w:hint="eastAsia" w:ascii="宋体" w:hAnsi="宋体" w:cs="宋体"/>
                <w:color w:val="auto"/>
                <w:szCs w:val="21"/>
                <w:lang w:eastAsia="zh-CN"/>
              </w:rPr>
              <w:t>（4）</w:t>
            </w:r>
            <w:r>
              <w:rPr>
                <w:rFonts w:hint="eastAsia" w:ascii="宋体" w:hAnsi="宋体" w:cs="宋体"/>
                <w:color w:val="auto"/>
                <w:szCs w:val="21"/>
              </w:rPr>
              <w:t>编制电子投标文件的相关软件和工具，</w:t>
            </w:r>
            <w:r>
              <w:rPr>
                <w:rFonts w:hint="eastAsia" w:ascii="宋体" w:hAnsi="宋体" w:cs="宋体"/>
                <w:color w:val="auto"/>
                <w:szCs w:val="21"/>
                <w:lang w:eastAsia="zh-CN"/>
              </w:rPr>
              <w:t>请详细阅读佛山市公共资源交易综合管理云平台国企采购招投标业务投标人操作手册，手 册 获 取 网 址 ：https://docs.qq.com/doc/DSFFCRUNzVXdrRUdj?u=d50417b20611435fa62710d048ece097。</w:t>
            </w:r>
          </w:p>
        </w:tc>
      </w:tr>
      <w:tr>
        <w:tblPrEx>
          <w:tblCellMar>
            <w:top w:w="0" w:type="dxa"/>
            <w:left w:w="108" w:type="dxa"/>
            <w:bottom w:w="0" w:type="dxa"/>
            <w:right w:w="108" w:type="dxa"/>
          </w:tblCellMar>
        </w:tblPrEx>
        <w:trPr>
          <w:trHeight w:val="725" w:hRule="atLeast"/>
        </w:trPr>
        <w:tc>
          <w:tcPr>
            <w:tcW w:w="1444" w:type="dxa"/>
            <w:tcBorders>
              <w:top w:val="single" w:color="000000" w:sz="4" w:space="0"/>
              <w:left w:val="single" w:color="000000" w:sz="4" w:space="0"/>
              <w:bottom w:val="single" w:color="000000" w:sz="4" w:space="0"/>
            </w:tcBorders>
            <w:noWrap w:val="0"/>
            <w:vAlign w:val="center"/>
          </w:tcPr>
          <w:p>
            <w:pPr>
              <w:tabs>
                <w:tab w:val="left" w:pos="993"/>
              </w:tabs>
              <w:spacing w:line="440" w:lineRule="exact"/>
              <w:jc w:val="center"/>
              <w:rPr>
                <w:rFonts w:hint="eastAsia" w:ascii="宋体" w:hAnsi="宋体" w:cs="宋体"/>
                <w:color w:val="auto"/>
                <w:szCs w:val="21"/>
                <w:lang w:eastAsia="en-US"/>
              </w:rPr>
            </w:pPr>
            <w:r>
              <w:rPr>
                <w:rFonts w:hint="eastAsia" w:ascii="宋体" w:hAnsi="宋体" w:cs="宋体"/>
                <w:color w:val="auto"/>
                <w:szCs w:val="21"/>
              </w:rPr>
              <w:t>投标文件解密时间</w:t>
            </w:r>
          </w:p>
        </w:tc>
        <w:tc>
          <w:tcPr>
            <w:tcW w:w="7235" w:type="dxa"/>
            <w:tcBorders>
              <w:top w:val="single" w:color="000000" w:sz="4" w:space="0"/>
              <w:left w:val="single" w:color="000000" w:sz="4" w:space="0"/>
              <w:bottom w:val="single" w:color="000000" w:sz="4" w:space="0"/>
              <w:right w:val="single" w:color="000000" w:sz="4" w:space="0"/>
            </w:tcBorders>
            <w:noWrap w:val="0"/>
            <w:vAlign w:val="center"/>
          </w:tcPr>
          <w:p>
            <w:pPr>
              <w:tabs>
                <w:tab w:val="left" w:pos="993"/>
              </w:tabs>
              <w:spacing w:line="440" w:lineRule="exact"/>
              <w:rPr>
                <w:rFonts w:hint="eastAsia" w:ascii="宋体" w:hAnsi="宋体" w:cs="宋体"/>
                <w:color w:val="auto"/>
                <w:szCs w:val="21"/>
                <w:lang w:eastAsia="zh-CN"/>
              </w:rPr>
            </w:pPr>
            <w:r>
              <w:rPr>
                <w:rFonts w:hint="eastAsia" w:ascii="宋体" w:hAnsi="宋体" w:cs="宋体"/>
                <w:color w:val="auto"/>
                <w:szCs w:val="21"/>
              </w:rPr>
              <w:t>公布投标人名单后30分钟以内。</w:t>
            </w:r>
          </w:p>
        </w:tc>
      </w:tr>
      <w:tr>
        <w:tblPrEx>
          <w:tblCellMar>
            <w:top w:w="0" w:type="dxa"/>
            <w:left w:w="108" w:type="dxa"/>
            <w:bottom w:w="0" w:type="dxa"/>
            <w:right w:w="108" w:type="dxa"/>
          </w:tblCellMar>
        </w:tblPrEx>
        <w:trPr>
          <w:trHeight w:val="1672" w:hRule="atLeast"/>
        </w:trPr>
        <w:tc>
          <w:tcPr>
            <w:tcW w:w="1444" w:type="dxa"/>
            <w:tcBorders>
              <w:top w:val="single" w:color="000000" w:sz="4" w:space="0"/>
              <w:left w:val="single" w:color="000000" w:sz="4" w:space="0"/>
              <w:bottom w:val="single" w:color="000000" w:sz="4" w:space="0"/>
            </w:tcBorders>
            <w:noWrap w:val="0"/>
            <w:vAlign w:val="center"/>
          </w:tcPr>
          <w:p>
            <w:pPr>
              <w:tabs>
                <w:tab w:val="left" w:pos="993"/>
              </w:tabs>
              <w:spacing w:line="440" w:lineRule="exact"/>
              <w:jc w:val="center"/>
              <w:rPr>
                <w:rFonts w:hint="eastAsia" w:ascii="宋体" w:hAnsi="宋体" w:cs="宋体"/>
                <w:color w:val="auto"/>
                <w:szCs w:val="21"/>
              </w:rPr>
            </w:pPr>
            <w:r>
              <w:rPr>
                <w:rFonts w:hint="eastAsia" w:ascii="宋体" w:hAnsi="宋体" w:cs="宋体"/>
                <w:color w:val="auto"/>
                <w:szCs w:val="21"/>
              </w:rPr>
              <w:t>询问、质疑</w:t>
            </w:r>
          </w:p>
        </w:tc>
        <w:tc>
          <w:tcPr>
            <w:tcW w:w="7235" w:type="dxa"/>
            <w:tcBorders>
              <w:top w:val="single" w:color="000000" w:sz="4" w:space="0"/>
              <w:left w:val="single" w:color="000000" w:sz="4" w:space="0"/>
              <w:bottom w:val="single" w:color="000000" w:sz="4" w:space="0"/>
              <w:right w:val="single" w:color="000000" w:sz="4" w:space="0"/>
            </w:tcBorders>
            <w:noWrap w:val="0"/>
            <w:vAlign w:val="center"/>
          </w:tcPr>
          <w:p>
            <w:pPr>
              <w:tabs>
                <w:tab w:val="left" w:pos="993"/>
              </w:tabs>
              <w:spacing w:line="440" w:lineRule="exact"/>
              <w:rPr>
                <w:rFonts w:hint="eastAsia" w:ascii="宋体" w:hAnsi="宋体" w:cs="宋体"/>
                <w:color w:val="auto"/>
                <w:szCs w:val="21"/>
              </w:rPr>
            </w:pPr>
            <w:r>
              <w:rPr>
                <w:rFonts w:hint="eastAsia" w:ascii="宋体" w:hAnsi="宋体" w:cs="宋体"/>
                <w:color w:val="auto"/>
                <w:szCs w:val="21"/>
              </w:rPr>
              <w:t>1.各</w:t>
            </w:r>
            <w:r>
              <w:rPr>
                <w:rFonts w:hint="eastAsia" w:ascii="宋体" w:hAnsi="宋体" w:cs="宋体"/>
                <w:color w:val="auto"/>
                <w:szCs w:val="21"/>
                <w:lang w:eastAsia="zh-CN"/>
              </w:rPr>
              <w:t>投标人</w:t>
            </w:r>
            <w:r>
              <w:rPr>
                <w:rFonts w:hint="eastAsia" w:ascii="宋体" w:hAnsi="宋体" w:cs="宋体"/>
                <w:color w:val="auto"/>
                <w:szCs w:val="21"/>
              </w:rPr>
              <w:t>对招标文件（详见</w:t>
            </w:r>
            <w:r>
              <w:rPr>
                <w:rFonts w:hint="eastAsia" w:ascii="宋体" w:hAnsi="宋体" w:cs="宋体"/>
                <w:color w:val="auto"/>
                <w:szCs w:val="21"/>
                <w:lang w:eastAsia="zh-CN"/>
              </w:rPr>
              <w:t>采购公告</w:t>
            </w:r>
            <w:r>
              <w:rPr>
                <w:rFonts w:hint="eastAsia" w:ascii="宋体" w:hAnsi="宋体" w:cs="宋体"/>
                <w:color w:val="auto"/>
                <w:szCs w:val="21"/>
              </w:rPr>
              <w:t>附件）存有任何疑问，可在</w:t>
            </w:r>
            <w:r>
              <w:rPr>
                <w:rFonts w:hint="eastAsia" w:ascii="宋体" w:hAnsi="宋体" w:cs="宋体"/>
                <w:color w:val="auto"/>
                <w:szCs w:val="21"/>
                <w:lang w:eastAsia="zh-CN"/>
              </w:rPr>
              <w:t>采购公告</w:t>
            </w:r>
            <w:r>
              <w:rPr>
                <w:rFonts w:hint="eastAsia" w:ascii="宋体" w:hAnsi="宋体" w:cs="宋体"/>
                <w:color w:val="auto"/>
                <w:szCs w:val="21"/>
              </w:rPr>
              <w:t>期内及期限届满之日起七个工作日内，向采购人或者采购代理机构提出询问或质疑。</w:t>
            </w:r>
          </w:p>
          <w:p>
            <w:pPr>
              <w:tabs>
                <w:tab w:val="left" w:pos="993"/>
              </w:tabs>
              <w:spacing w:line="440" w:lineRule="exact"/>
              <w:rPr>
                <w:color w:val="auto"/>
              </w:rPr>
            </w:pPr>
            <w:r>
              <w:rPr>
                <w:rFonts w:hint="eastAsia" w:ascii="宋体" w:hAnsi="宋体" w:cs="宋体"/>
                <w:color w:val="auto"/>
                <w:szCs w:val="21"/>
              </w:rPr>
              <w:t>2.询问函、质疑函的内容和格式应符合法规及招标文件要求，并应按照招标文件规定方式进行提交。</w:t>
            </w:r>
          </w:p>
        </w:tc>
      </w:tr>
      <w:tr>
        <w:tblPrEx>
          <w:tblCellMar>
            <w:top w:w="0" w:type="dxa"/>
            <w:left w:w="108" w:type="dxa"/>
            <w:bottom w:w="0" w:type="dxa"/>
            <w:right w:w="108" w:type="dxa"/>
          </w:tblCellMar>
        </w:tblPrEx>
        <w:trPr>
          <w:trHeight w:val="1672" w:hRule="atLeast"/>
        </w:trPr>
        <w:tc>
          <w:tcPr>
            <w:tcW w:w="1444" w:type="dxa"/>
            <w:tcBorders>
              <w:top w:val="single" w:color="000000" w:sz="4" w:space="0"/>
              <w:left w:val="single" w:color="000000" w:sz="4" w:space="0"/>
              <w:bottom w:val="single" w:color="000000" w:sz="4" w:space="0"/>
            </w:tcBorders>
            <w:noWrap w:val="0"/>
            <w:vAlign w:val="center"/>
          </w:tcPr>
          <w:p>
            <w:pPr>
              <w:tabs>
                <w:tab w:val="left" w:pos="0"/>
              </w:tabs>
              <w:spacing w:line="440" w:lineRule="exact"/>
              <w:jc w:val="center"/>
              <w:rPr>
                <w:rFonts w:hint="eastAsia" w:ascii="宋体" w:hAnsi="宋体" w:cs="宋体"/>
                <w:color w:val="auto"/>
                <w:szCs w:val="21"/>
              </w:rPr>
            </w:pPr>
            <w:r>
              <w:rPr>
                <w:rFonts w:hint="eastAsia" w:ascii="宋体" w:hAnsi="宋体" w:cs="宋体"/>
                <w:color w:val="auto"/>
                <w:szCs w:val="21"/>
              </w:rPr>
              <w:t>询问受理方式</w:t>
            </w:r>
          </w:p>
        </w:tc>
        <w:tc>
          <w:tcPr>
            <w:tcW w:w="7235" w:type="dxa"/>
            <w:tcBorders>
              <w:top w:val="single" w:color="000000" w:sz="4" w:space="0"/>
              <w:left w:val="single" w:color="000000" w:sz="4" w:space="0"/>
              <w:bottom w:val="single" w:color="000000" w:sz="4" w:space="0"/>
              <w:right w:val="single" w:color="000000" w:sz="4" w:space="0"/>
            </w:tcBorders>
            <w:noWrap w:val="0"/>
            <w:vAlign w:val="center"/>
          </w:tcPr>
          <w:p>
            <w:pPr>
              <w:tabs>
                <w:tab w:val="left" w:pos="993"/>
              </w:tabs>
              <w:spacing w:line="440" w:lineRule="exact"/>
              <w:rPr>
                <w:color w:val="auto"/>
              </w:rPr>
            </w:pPr>
            <w:r>
              <w:rPr>
                <w:rFonts w:hint="eastAsia" w:ascii="宋体" w:hAnsi="宋体" w:cs="宋体"/>
                <w:color w:val="auto"/>
                <w:szCs w:val="21"/>
                <w:lang w:eastAsia="zh-CN"/>
              </w:rPr>
              <w:t>投标人</w:t>
            </w:r>
            <w:r>
              <w:rPr>
                <w:rFonts w:hint="eastAsia" w:ascii="宋体" w:hAnsi="宋体" w:cs="宋体"/>
                <w:color w:val="auto"/>
                <w:szCs w:val="21"/>
              </w:rPr>
              <w:t>登录“</w:t>
            </w:r>
            <w:r>
              <w:rPr>
                <w:rFonts w:hint="eastAsia" w:ascii="宋体" w:hAnsi="宋体" w:cs="宋体"/>
                <w:color w:val="auto"/>
                <w:szCs w:val="21"/>
                <w:lang w:eastAsia="zh-CN"/>
              </w:rPr>
              <w:t>佛山市公共资源交易综合管理云平台</w:t>
            </w:r>
            <w:r>
              <w:rPr>
                <w:rFonts w:hint="eastAsia" w:ascii="宋体" w:hAnsi="宋体" w:cs="宋体"/>
                <w:color w:val="auto"/>
                <w:szCs w:val="21"/>
              </w:rPr>
              <w:t>”，进入“提问”模块填写相关信息，并将</w:t>
            </w:r>
            <w:r>
              <w:rPr>
                <w:rFonts w:hint="eastAsia" w:ascii="宋体" w:hAnsi="宋体" w:cs="宋体"/>
                <w:color w:val="auto"/>
                <w:szCs w:val="21"/>
                <w:lang w:eastAsia="zh-CN"/>
              </w:rPr>
              <w:t>询问函及</w:t>
            </w:r>
            <w:r>
              <w:rPr>
                <w:rFonts w:hint="eastAsia" w:ascii="宋体" w:hAnsi="宋体" w:cs="宋体"/>
                <w:color w:val="auto"/>
                <w:szCs w:val="21"/>
              </w:rPr>
              <w:t>相关证明材料按</w:t>
            </w:r>
            <w:r>
              <w:rPr>
                <w:rFonts w:hint="eastAsia" w:ascii="宋体" w:hAnsi="宋体" w:cs="宋体"/>
                <w:color w:val="auto"/>
                <w:szCs w:val="21"/>
                <w:lang w:eastAsia="zh-CN"/>
              </w:rPr>
              <w:t>综合管理云平台</w:t>
            </w:r>
            <w:r>
              <w:rPr>
                <w:rFonts w:hint="eastAsia" w:ascii="宋体" w:hAnsi="宋体" w:cs="宋体"/>
                <w:color w:val="auto"/>
                <w:szCs w:val="21"/>
              </w:rPr>
              <w:t>要求进行提交，通过现场面对面、传真、邮件、电话等非“</w:t>
            </w:r>
            <w:r>
              <w:rPr>
                <w:rFonts w:hint="eastAsia" w:ascii="宋体" w:hAnsi="宋体" w:cs="宋体"/>
                <w:color w:val="auto"/>
                <w:szCs w:val="21"/>
                <w:lang w:eastAsia="zh-CN"/>
              </w:rPr>
              <w:t>佛山市公共资源交易综合管理云平台</w:t>
            </w:r>
            <w:r>
              <w:rPr>
                <w:rFonts w:hint="eastAsia" w:ascii="宋体" w:hAnsi="宋体" w:cs="宋体"/>
                <w:color w:val="auto"/>
                <w:szCs w:val="21"/>
              </w:rPr>
              <w:t>”方式提交的询问均不受理。</w:t>
            </w:r>
          </w:p>
        </w:tc>
      </w:tr>
      <w:tr>
        <w:tblPrEx>
          <w:tblCellMar>
            <w:top w:w="0" w:type="dxa"/>
            <w:left w:w="108" w:type="dxa"/>
            <w:bottom w:w="0" w:type="dxa"/>
            <w:right w:w="108" w:type="dxa"/>
          </w:tblCellMar>
        </w:tblPrEx>
        <w:trPr>
          <w:trHeight w:val="1672" w:hRule="atLeast"/>
        </w:trPr>
        <w:tc>
          <w:tcPr>
            <w:tcW w:w="1444" w:type="dxa"/>
            <w:tcBorders>
              <w:top w:val="single" w:color="000000" w:sz="4" w:space="0"/>
              <w:left w:val="single" w:color="000000" w:sz="4" w:space="0"/>
              <w:bottom w:val="single" w:color="000000" w:sz="4" w:space="0"/>
            </w:tcBorders>
            <w:noWrap w:val="0"/>
            <w:vAlign w:val="center"/>
          </w:tcPr>
          <w:p>
            <w:pPr>
              <w:tabs>
                <w:tab w:val="left" w:pos="0"/>
              </w:tabs>
              <w:spacing w:line="440" w:lineRule="exact"/>
              <w:jc w:val="center"/>
              <w:rPr>
                <w:rFonts w:hint="eastAsia" w:ascii="宋体" w:hAnsi="宋体" w:cs="宋体"/>
                <w:color w:val="auto"/>
                <w:szCs w:val="21"/>
              </w:rPr>
            </w:pPr>
            <w:r>
              <w:rPr>
                <w:rFonts w:hint="eastAsia" w:ascii="宋体" w:hAnsi="宋体" w:cs="宋体"/>
                <w:color w:val="auto"/>
                <w:szCs w:val="21"/>
              </w:rPr>
              <w:t>质疑受理方式</w:t>
            </w:r>
          </w:p>
        </w:tc>
        <w:tc>
          <w:tcPr>
            <w:tcW w:w="7235" w:type="dxa"/>
            <w:tcBorders>
              <w:top w:val="single" w:color="000000" w:sz="4" w:space="0"/>
              <w:left w:val="single" w:color="000000" w:sz="4" w:space="0"/>
              <w:bottom w:val="single" w:color="000000" w:sz="4" w:space="0"/>
              <w:right w:val="single" w:color="000000" w:sz="4" w:space="0"/>
            </w:tcBorders>
            <w:noWrap w:val="0"/>
            <w:vAlign w:val="center"/>
          </w:tcPr>
          <w:p>
            <w:pPr>
              <w:tabs>
                <w:tab w:val="left" w:pos="993"/>
              </w:tabs>
              <w:spacing w:line="440" w:lineRule="exact"/>
              <w:rPr>
                <w:color w:val="auto"/>
              </w:rPr>
            </w:pPr>
            <w:r>
              <w:rPr>
                <w:rFonts w:hint="eastAsia" w:ascii="宋体" w:hAnsi="宋体" w:cs="宋体"/>
                <w:color w:val="auto"/>
                <w:szCs w:val="21"/>
                <w:lang w:eastAsia="zh-CN"/>
              </w:rPr>
              <w:t>投标人</w:t>
            </w:r>
            <w:r>
              <w:rPr>
                <w:rFonts w:hint="eastAsia" w:ascii="宋体" w:hAnsi="宋体" w:cs="宋体"/>
                <w:color w:val="auto"/>
                <w:szCs w:val="21"/>
              </w:rPr>
              <w:t>登录“</w:t>
            </w:r>
            <w:r>
              <w:rPr>
                <w:rFonts w:hint="eastAsia" w:ascii="宋体" w:hAnsi="宋体" w:cs="宋体"/>
                <w:color w:val="auto"/>
                <w:szCs w:val="21"/>
                <w:lang w:eastAsia="zh-CN"/>
              </w:rPr>
              <w:t>佛山市公共资源交易综合管理云平台</w:t>
            </w:r>
            <w:r>
              <w:rPr>
                <w:rFonts w:hint="eastAsia" w:ascii="宋体" w:hAnsi="宋体" w:cs="宋体"/>
                <w:color w:val="auto"/>
                <w:szCs w:val="21"/>
              </w:rPr>
              <w:t>”，进入</w:t>
            </w:r>
            <w:r>
              <w:rPr>
                <w:rFonts w:hint="eastAsia" w:ascii="宋体" w:hAnsi="宋体" w:cs="宋体"/>
                <w:color w:val="auto"/>
                <w:szCs w:val="21"/>
                <w:lang w:eastAsia="zh-CN"/>
              </w:rPr>
              <w:t>“质疑”模块</w:t>
            </w:r>
            <w:r>
              <w:rPr>
                <w:rFonts w:hint="eastAsia" w:ascii="宋体" w:hAnsi="宋体" w:cs="宋体"/>
                <w:color w:val="auto"/>
                <w:szCs w:val="21"/>
              </w:rPr>
              <w:t>填写相关信息，并将质疑函及相关证明材料按</w:t>
            </w:r>
            <w:r>
              <w:rPr>
                <w:rFonts w:hint="eastAsia" w:ascii="宋体" w:hAnsi="宋体" w:cs="宋体"/>
                <w:color w:val="auto"/>
                <w:szCs w:val="21"/>
                <w:lang w:eastAsia="zh-CN"/>
              </w:rPr>
              <w:t>综合管理云平台</w:t>
            </w:r>
            <w:r>
              <w:rPr>
                <w:rFonts w:hint="eastAsia" w:ascii="宋体" w:hAnsi="宋体" w:cs="宋体"/>
                <w:color w:val="auto"/>
                <w:szCs w:val="21"/>
              </w:rPr>
              <w:t>要求进行提交，通过现场面对面、传真、邮件、电话等非“</w:t>
            </w:r>
            <w:r>
              <w:rPr>
                <w:rFonts w:hint="eastAsia" w:ascii="宋体" w:hAnsi="宋体" w:cs="宋体"/>
                <w:color w:val="auto"/>
                <w:szCs w:val="21"/>
                <w:lang w:eastAsia="zh-CN"/>
              </w:rPr>
              <w:t>佛山市公共资源交易综合管理云平台</w:t>
            </w:r>
            <w:r>
              <w:rPr>
                <w:rFonts w:hint="eastAsia" w:ascii="宋体" w:hAnsi="宋体" w:cs="宋体"/>
                <w:color w:val="auto"/>
                <w:szCs w:val="21"/>
              </w:rPr>
              <w:t>”方式提交的质疑函均不受理。</w:t>
            </w:r>
          </w:p>
        </w:tc>
      </w:tr>
      <w:tr>
        <w:tblPrEx>
          <w:tblCellMar>
            <w:top w:w="0" w:type="dxa"/>
            <w:left w:w="108" w:type="dxa"/>
            <w:bottom w:w="0" w:type="dxa"/>
            <w:right w:w="108" w:type="dxa"/>
          </w:tblCellMar>
        </w:tblPrEx>
        <w:trPr>
          <w:trHeight w:val="1672" w:hRule="atLeast"/>
        </w:trPr>
        <w:tc>
          <w:tcPr>
            <w:tcW w:w="1444" w:type="dxa"/>
            <w:tcBorders>
              <w:top w:val="single" w:color="000000" w:sz="4" w:space="0"/>
              <w:left w:val="single" w:color="000000" w:sz="4" w:space="0"/>
              <w:bottom w:val="single" w:color="000000" w:sz="4" w:space="0"/>
            </w:tcBorders>
            <w:noWrap w:val="0"/>
            <w:vAlign w:val="center"/>
          </w:tcPr>
          <w:p>
            <w:pPr>
              <w:tabs>
                <w:tab w:val="left" w:pos="0"/>
              </w:tabs>
              <w:spacing w:line="440" w:lineRule="exact"/>
              <w:jc w:val="center"/>
              <w:rPr>
                <w:rFonts w:hint="default" w:ascii="宋体" w:hAnsi="宋体" w:cs="宋体"/>
                <w:color w:val="auto"/>
                <w:szCs w:val="21"/>
                <w:lang w:val="en-US"/>
              </w:rPr>
            </w:pPr>
            <w:r>
              <w:rPr>
                <w:rFonts w:hint="eastAsia" w:ascii="宋体" w:hAnsi="宋体" w:cs="宋体"/>
                <w:color w:val="auto"/>
                <w:szCs w:val="21"/>
                <w:lang w:val="en-US" w:eastAsia="zh-CN"/>
              </w:rPr>
              <w:t>监督管理部门</w:t>
            </w:r>
          </w:p>
        </w:tc>
        <w:tc>
          <w:tcPr>
            <w:tcW w:w="7235" w:type="dxa"/>
            <w:tcBorders>
              <w:top w:val="single" w:color="000000" w:sz="4" w:space="0"/>
              <w:left w:val="single" w:color="000000" w:sz="4" w:space="0"/>
              <w:bottom w:val="single" w:color="000000" w:sz="4" w:space="0"/>
              <w:right w:val="single" w:color="000000" w:sz="4" w:space="0"/>
            </w:tcBorders>
            <w:noWrap w:val="0"/>
            <w:vAlign w:val="center"/>
          </w:tcPr>
          <w:p>
            <w:pPr>
              <w:tabs>
                <w:tab w:val="left" w:pos="993"/>
              </w:tabs>
              <w:spacing w:line="440" w:lineRule="exact"/>
              <w:rPr>
                <w:rFonts w:hint="eastAsia" w:ascii="宋体" w:hAnsi="宋体" w:cs="宋体"/>
                <w:color w:val="auto"/>
                <w:szCs w:val="21"/>
                <w:lang w:val="en-GB" w:eastAsia="zh-CN"/>
              </w:rPr>
            </w:pPr>
            <w:r>
              <w:rPr>
                <w:rFonts w:hint="eastAsia" w:ascii="宋体" w:hAnsi="宋体" w:cs="宋体"/>
                <w:color w:val="auto"/>
                <w:szCs w:val="21"/>
                <w:lang w:val="en-US" w:eastAsia="zh-CN"/>
              </w:rPr>
              <w:t>1）监督管理部门</w:t>
            </w:r>
            <w:r>
              <w:rPr>
                <w:rFonts w:hint="eastAsia" w:ascii="宋体" w:hAnsi="宋体" w:cs="宋体"/>
                <w:color w:val="auto"/>
                <w:szCs w:val="21"/>
                <w:lang w:val="en-GB" w:eastAsia="zh-CN"/>
              </w:rPr>
              <w:t>：佛山市三水区云东海街道财政和公有资产管理办公室</w:t>
            </w:r>
          </w:p>
          <w:p>
            <w:pPr>
              <w:tabs>
                <w:tab w:val="left" w:pos="993"/>
              </w:tabs>
              <w:spacing w:line="440" w:lineRule="exact"/>
              <w:rPr>
                <w:rFonts w:hint="eastAsia" w:ascii="宋体" w:hAnsi="宋体" w:cs="宋体"/>
                <w:color w:val="auto"/>
                <w:szCs w:val="21"/>
                <w:lang w:val="en-GB" w:eastAsia="zh-CN"/>
              </w:rPr>
            </w:pPr>
            <w:r>
              <w:rPr>
                <w:rFonts w:hint="eastAsia" w:ascii="宋体" w:hAnsi="宋体" w:cs="宋体"/>
                <w:color w:val="auto"/>
                <w:szCs w:val="21"/>
                <w:lang w:val="en-US" w:eastAsia="zh-CN"/>
              </w:rPr>
              <w:t>2）</w:t>
            </w:r>
            <w:r>
              <w:rPr>
                <w:rFonts w:hint="eastAsia" w:ascii="宋体" w:hAnsi="宋体" w:cs="宋体"/>
                <w:color w:val="auto"/>
                <w:szCs w:val="21"/>
                <w:lang w:val="en-GB" w:eastAsia="zh-CN"/>
              </w:rPr>
              <w:t>联系人：李</w:t>
            </w:r>
            <w:r>
              <w:rPr>
                <w:rFonts w:hint="eastAsia" w:ascii="宋体" w:hAnsi="宋体" w:cs="宋体"/>
                <w:color w:val="auto"/>
                <w:szCs w:val="21"/>
                <w:lang w:val="en-US" w:eastAsia="zh-CN"/>
              </w:rPr>
              <w:t>小姐</w:t>
            </w:r>
          </w:p>
          <w:p>
            <w:pPr>
              <w:tabs>
                <w:tab w:val="left" w:pos="993"/>
              </w:tabs>
              <w:spacing w:line="440" w:lineRule="exact"/>
              <w:rPr>
                <w:rFonts w:hint="eastAsia" w:ascii="宋体" w:hAnsi="宋体" w:cs="宋体"/>
                <w:color w:val="auto"/>
                <w:szCs w:val="21"/>
                <w:lang w:val="en-GB" w:eastAsia="zh-CN"/>
              </w:rPr>
            </w:pPr>
            <w:r>
              <w:rPr>
                <w:rFonts w:hint="eastAsia" w:ascii="宋体" w:hAnsi="宋体" w:cs="宋体"/>
                <w:color w:val="auto"/>
                <w:szCs w:val="21"/>
                <w:lang w:val="en-US" w:eastAsia="zh-CN"/>
              </w:rPr>
              <w:t>3）</w:t>
            </w:r>
            <w:r>
              <w:rPr>
                <w:rFonts w:hint="eastAsia" w:ascii="宋体" w:hAnsi="宋体" w:cs="宋体"/>
                <w:color w:val="auto"/>
                <w:szCs w:val="21"/>
                <w:lang w:val="en-GB" w:eastAsia="zh-CN"/>
              </w:rPr>
              <w:t>联系电话：0757-66897048</w:t>
            </w:r>
          </w:p>
          <w:p>
            <w:pPr>
              <w:tabs>
                <w:tab w:val="left" w:pos="993"/>
              </w:tabs>
              <w:spacing w:line="440" w:lineRule="exact"/>
              <w:rPr>
                <w:rFonts w:hint="eastAsia" w:ascii="宋体" w:hAnsi="宋体" w:cs="宋体"/>
                <w:color w:val="auto"/>
                <w:szCs w:val="21"/>
                <w:lang w:eastAsia="zh-CN"/>
              </w:rPr>
            </w:pPr>
            <w:r>
              <w:rPr>
                <w:rFonts w:hint="eastAsia" w:ascii="宋体" w:hAnsi="宋体" w:cs="宋体"/>
                <w:color w:val="auto"/>
                <w:szCs w:val="21"/>
                <w:lang w:val="en-US" w:eastAsia="zh-CN"/>
              </w:rPr>
              <w:t>4）</w:t>
            </w:r>
            <w:r>
              <w:rPr>
                <w:rFonts w:hint="eastAsia" w:ascii="宋体" w:hAnsi="宋体" w:cs="宋体"/>
                <w:color w:val="auto"/>
                <w:szCs w:val="21"/>
                <w:lang w:val="en-GB" w:eastAsia="zh-CN"/>
              </w:rPr>
              <w:t>地址：广东省佛山市三水区云东海大道大学路</w:t>
            </w:r>
          </w:p>
        </w:tc>
      </w:tr>
    </w:tbl>
    <w:p>
      <w:pPr>
        <w:tabs>
          <w:tab w:val="left" w:pos="567"/>
        </w:tabs>
        <w:autoSpaceDE w:val="0"/>
        <w:spacing w:line="440" w:lineRule="exact"/>
        <w:textAlignment w:val="bottom"/>
        <w:rPr>
          <w:rFonts w:hint="eastAsia" w:ascii="宋体" w:hAnsi="宋体" w:cs="宋体"/>
          <w:color w:val="auto"/>
          <w:szCs w:val="21"/>
        </w:rPr>
      </w:pPr>
      <w:r>
        <w:rPr>
          <w:rFonts w:hint="eastAsia" w:ascii="宋体" w:hAnsi="宋体" w:cs="宋体"/>
          <w:b/>
          <w:bCs/>
          <w:color w:val="auto"/>
        </w:rPr>
        <w:t>八、联系事项</w:t>
      </w:r>
    </w:p>
    <w:p>
      <w:pPr>
        <w:keepNext w:val="0"/>
        <w:keepLines w:val="0"/>
        <w:pageBreakBefore w:val="0"/>
        <w:widowControl w:val="0"/>
        <w:numPr>
          <w:ilvl w:val="1"/>
          <w:numId w:val="10"/>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eastAsia="zh-CN"/>
        </w:rPr>
        <w:t>招标代理机构：广东中采招标有限公司</w:t>
      </w:r>
    </w:p>
    <w:p>
      <w:pPr>
        <w:spacing w:line="336" w:lineRule="auto"/>
        <w:ind w:firstLine="480" w:firstLineChars="200"/>
        <w:rPr>
          <w:rFonts w:hint="eastAsia" w:eastAsia="宋体"/>
          <w:color w:val="auto"/>
          <w:lang w:eastAsia="zh-CN"/>
        </w:rPr>
      </w:pPr>
      <w:r>
        <w:rPr>
          <w:rFonts w:hint="eastAsia"/>
          <w:color w:val="auto"/>
        </w:rPr>
        <w:t>地址：</w:t>
      </w:r>
      <w:r>
        <w:rPr>
          <w:rFonts w:hint="eastAsia"/>
          <w:color w:val="auto"/>
          <w:lang w:eastAsia="zh-CN"/>
        </w:rPr>
        <w:t>佛山市禅城区祖庙街道季华六路17号一座1603室</w:t>
      </w:r>
    </w:p>
    <w:p>
      <w:pPr>
        <w:spacing w:line="336" w:lineRule="auto"/>
        <w:ind w:firstLine="480" w:firstLineChars="200"/>
        <w:rPr>
          <w:rFonts w:hint="eastAsia" w:eastAsia="宋体"/>
          <w:color w:val="auto"/>
          <w:lang w:val="en-US" w:eastAsia="zh-CN"/>
        </w:rPr>
      </w:pPr>
      <w:r>
        <w:rPr>
          <w:rFonts w:hint="eastAsia"/>
          <w:color w:val="auto"/>
        </w:rPr>
        <w:t>联系人：</w:t>
      </w:r>
      <w:r>
        <w:rPr>
          <w:rFonts w:hint="eastAsia"/>
          <w:color w:val="auto"/>
          <w:lang w:val="en-US" w:eastAsia="zh-CN"/>
        </w:rPr>
        <w:t>张小姐、余先生</w:t>
      </w:r>
      <w:r>
        <w:rPr>
          <w:rFonts w:hint="eastAsia"/>
          <w:color w:val="auto"/>
        </w:rPr>
        <w:t>；联系电话：</w:t>
      </w:r>
      <w:r>
        <w:rPr>
          <w:rFonts w:hint="eastAsia"/>
          <w:color w:val="auto"/>
          <w:lang w:eastAsia="zh-CN"/>
        </w:rPr>
        <w:t>0757-81993027</w:t>
      </w:r>
    </w:p>
    <w:p>
      <w:pPr>
        <w:spacing w:line="336" w:lineRule="auto"/>
        <w:ind w:firstLine="480" w:firstLineChars="200"/>
        <w:rPr>
          <w:rFonts w:hint="eastAsia"/>
          <w:color w:val="auto"/>
        </w:rPr>
      </w:pPr>
      <w:r>
        <w:rPr>
          <w:rFonts w:hint="eastAsia"/>
          <w:color w:val="auto"/>
        </w:rPr>
        <w:t>邮编：528000</w:t>
      </w:r>
    </w:p>
    <w:p>
      <w:pPr>
        <w:keepNext w:val="0"/>
        <w:keepLines w:val="0"/>
        <w:pageBreakBefore w:val="0"/>
        <w:widowControl w:val="0"/>
        <w:numPr>
          <w:ilvl w:val="1"/>
          <w:numId w:val="10"/>
        </w:numPr>
        <w:kinsoku/>
        <w:wordWrap/>
        <w:overflowPunct/>
        <w:topLinePunct w:val="0"/>
        <w:autoSpaceDE/>
        <w:autoSpaceDN/>
        <w:bidi w:val="0"/>
        <w:adjustRightInd/>
        <w:snapToGrid w:val="0"/>
        <w:spacing w:line="440" w:lineRule="exact"/>
        <w:ind w:left="567" w:leftChars="0" w:hanging="347" w:firstLineChars="0"/>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eastAsia="zh-CN"/>
        </w:rPr>
        <w:t>招标人：佛山市三水云东海新城开发投资有限公司</w:t>
      </w:r>
    </w:p>
    <w:p>
      <w:pPr>
        <w:spacing w:line="336" w:lineRule="auto"/>
        <w:ind w:firstLine="480" w:firstLineChars="200"/>
        <w:rPr>
          <w:rFonts w:hint="eastAsia" w:eastAsia="宋体"/>
          <w:color w:val="auto"/>
          <w:lang w:eastAsia="zh-CN"/>
        </w:rPr>
      </w:pPr>
      <w:r>
        <w:rPr>
          <w:rFonts w:hint="eastAsia"/>
          <w:color w:val="auto"/>
        </w:rPr>
        <w:t>地址：</w:t>
      </w:r>
      <w:r>
        <w:rPr>
          <w:rFonts w:hint="eastAsia"/>
          <w:color w:val="auto"/>
          <w:lang w:eastAsia="zh-CN"/>
        </w:rPr>
        <w:t xml:space="preserve">佛山市三水区云东海街道荷湖南路1号1座二层002号 </w:t>
      </w:r>
    </w:p>
    <w:p>
      <w:pPr>
        <w:spacing w:line="336" w:lineRule="auto"/>
        <w:ind w:firstLine="480" w:firstLineChars="200"/>
        <w:rPr>
          <w:rFonts w:hint="eastAsia" w:eastAsia="宋体"/>
          <w:color w:val="auto"/>
          <w:lang w:val="en-US" w:eastAsia="zh-CN"/>
        </w:rPr>
      </w:pPr>
      <w:r>
        <w:rPr>
          <w:rFonts w:hint="eastAsia"/>
          <w:color w:val="auto"/>
        </w:rPr>
        <w:t>联系人：</w:t>
      </w:r>
      <w:r>
        <w:rPr>
          <w:rFonts w:hint="eastAsia"/>
          <w:color w:val="auto"/>
          <w:lang w:val="en-US" w:eastAsia="zh-CN"/>
        </w:rPr>
        <w:t>邱先生</w:t>
      </w:r>
      <w:r>
        <w:rPr>
          <w:rFonts w:hint="eastAsia"/>
          <w:color w:val="auto"/>
        </w:rPr>
        <w:t>；联系电话：</w:t>
      </w:r>
      <w:r>
        <w:rPr>
          <w:rFonts w:hint="eastAsia"/>
          <w:color w:val="auto"/>
          <w:lang w:eastAsia="zh-CN"/>
        </w:rPr>
        <w:t>0757-66890221</w:t>
      </w:r>
    </w:p>
    <w:p>
      <w:pPr>
        <w:spacing w:line="336" w:lineRule="auto"/>
        <w:ind w:firstLine="480" w:firstLineChars="200"/>
        <w:rPr>
          <w:rFonts w:hint="eastAsia" w:ascii="宋体" w:hAnsi="宋体" w:eastAsia="宋体" w:cs="宋体"/>
          <w:color w:val="auto"/>
          <w:szCs w:val="21"/>
          <w:lang w:eastAsia="zh-CN"/>
        </w:rPr>
      </w:pPr>
      <w:r>
        <w:rPr>
          <w:rFonts w:hint="eastAsia"/>
          <w:color w:val="auto"/>
        </w:rPr>
        <w:t>邮编：</w:t>
      </w:r>
      <w:r>
        <w:rPr>
          <w:color w:val="auto"/>
        </w:rPr>
        <w:t>528000</w:t>
      </w:r>
    </w:p>
    <w:p>
      <w:pPr>
        <w:spacing w:line="440" w:lineRule="exact"/>
        <w:rPr>
          <w:rFonts w:hint="eastAsia" w:ascii="宋体" w:hAnsi="宋体" w:cs="宋体"/>
          <w:color w:val="auto"/>
          <w:szCs w:val="21"/>
        </w:rPr>
      </w:pPr>
    </w:p>
    <w:p>
      <w:pPr>
        <w:spacing w:line="440" w:lineRule="exact"/>
        <w:jc w:val="right"/>
        <w:rPr>
          <w:rFonts w:hint="eastAsia" w:ascii="宋体" w:hAnsi="宋体" w:cs="宋体"/>
          <w:color w:val="auto"/>
          <w:szCs w:val="21"/>
          <w:lang w:eastAsia="zh-CN"/>
        </w:rPr>
      </w:pPr>
      <w:r>
        <w:rPr>
          <w:rFonts w:hint="eastAsia" w:cs="宋体"/>
          <w:color w:val="auto"/>
          <w:szCs w:val="21"/>
          <w:lang w:eastAsia="zh-CN"/>
        </w:rPr>
        <w:t>广东中采招标有限公司</w:t>
      </w:r>
    </w:p>
    <w:p>
      <w:pPr>
        <w:spacing w:line="440" w:lineRule="exact"/>
        <w:jc w:val="right"/>
        <w:rPr>
          <w:rFonts w:hint="eastAsia" w:ascii="宋体" w:hAnsi="宋体" w:cs="宋体"/>
          <w:color w:val="auto"/>
          <w:szCs w:val="21"/>
          <w:lang w:eastAsia="zh-CN"/>
        </w:rPr>
      </w:pPr>
      <w:r>
        <w:rPr>
          <w:rFonts w:hint="eastAsia" w:cs="宋体"/>
          <w:color w:val="auto"/>
          <w:szCs w:val="21"/>
          <w:lang w:val="en-US" w:eastAsia="zh-CN"/>
        </w:rPr>
        <w:t>2026年8月28日</w:t>
      </w:r>
    </w:p>
    <w:p>
      <w:pPr>
        <w:spacing w:line="440" w:lineRule="exact"/>
        <w:jc w:val="right"/>
        <w:rPr>
          <w:rFonts w:hint="default" w:eastAsia="宋体"/>
          <w:color w:val="auto"/>
          <w:lang w:val="en-US" w:eastAsia="zh-CN"/>
        </w:rPr>
      </w:pPr>
    </w:p>
    <w:p>
      <w:pPr>
        <w:spacing w:line="336" w:lineRule="auto"/>
        <w:jc w:val="right"/>
        <w:rPr>
          <w:rFonts w:hint="eastAsia" w:eastAsia="宋体"/>
          <w:color w:val="auto"/>
          <w:lang w:eastAsia="zh-CN"/>
        </w:rPr>
      </w:pPr>
    </w:p>
    <w:p>
      <w:pPr>
        <w:pStyle w:val="2"/>
        <w:jc w:val="center"/>
        <w:rPr>
          <w:rFonts w:hint="eastAsia"/>
          <w:color w:val="auto"/>
        </w:rPr>
      </w:pPr>
      <w:bookmarkStart w:id="3" w:name="_Toc66463546"/>
      <w:r>
        <w:rPr>
          <w:color w:val="auto"/>
        </w:rPr>
        <w:br w:type="page"/>
      </w:r>
      <w:bookmarkStart w:id="4" w:name="_Toc4596"/>
      <w:r>
        <w:rPr>
          <w:rFonts w:hint="eastAsia"/>
          <w:color w:val="auto"/>
        </w:rPr>
        <w:t>第二部分</w:t>
      </w:r>
      <w:r>
        <w:rPr>
          <w:color w:val="auto"/>
        </w:rPr>
        <w:t xml:space="preserve">  </w:t>
      </w:r>
      <w:r>
        <w:rPr>
          <w:rFonts w:hint="eastAsia"/>
          <w:color w:val="auto"/>
        </w:rPr>
        <w:t>招标项目内容</w:t>
      </w:r>
      <w:bookmarkEnd w:id="3"/>
      <w:bookmarkEnd w:id="4"/>
    </w:p>
    <w:p>
      <w:pPr>
        <w:pStyle w:val="3"/>
        <w:jc w:val="center"/>
        <w:rPr>
          <w:rFonts w:hint="eastAsia"/>
          <w:color w:val="auto"/>
        </w:rPr>
      </w:pPr>
      <w:bookmarkStart w:id="5" w:name="_Toc398852258"/>
      <w:bookmarkStart w:id="6" w:name="_Toc395019916"/>
      <w:bookmarkStart w:id="7" w:name="_Toc66463547"/>
      <w:r>
        <w:rPr>
          <w:rFonts w:hint="eastAsia"/>
          <w:color w:val="auto"/>
        </w:rPr>
        <w:t>商务要求</w:t>
      </w:r>
      <w:bookmarkEnd w:id="5"/>
      <w:bookmarkEnd w:id="6"/>
      <w:bookmarkEnd w:id="7"/>
    </w:p>
    <w:p>
      <w:pPr>
        <w:keepNext w:val="0"/>
        <w:keepLines w:val="0"/>
        <w:pageBreakBefore w:val="0"/>
        <w:widowControl w:val="0"/>
        <w:numPr>
          <w:ilvl w:val="0"/>
          <w:numId w:val="11"/>
        </w:numPr>
        <w:tabs>
          <w:tab w:val="left" w:pos="540"/>
        </w:tabs>
        <w:kinsoku/>
        <w:wordWrap/>
        <w:overflowPunct/>
        <w:topLinePunct w:val="0"/>
        <w:autoSpaceDE/>
        <w:autoSpaceDN/>
        <w:bidi w:val="0"/>
        <w:adjustRightInd w:val="0"/>
        <w:snapToGrid/>
        <w:spacing w:line="44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报价要求</w:t>
      </w:r>
    </w:p>
    <w:p>
      <w:pPr>
        <w:keepNext w:val="0"/>
        <w:keepLines w:val="0"/>
        <w:pageBreakBefore w:val="0"/>
        <w:widowControl w:val="0"/>
        <w:numPr>
          <w:ilvl w:val="-1"/>
          <w:numId w:val="0"/>
        </w:numPr>
        <w:tabs>
          <w:tab w:val="left" w:pos="540"/>
        </w:tabs>
        <w:kinsoku/>
        <w:wordWrap/>
        <w:overflowPunct/>
        <w:topLinePunct w:val="0"/>
        <w:autoSpaceDE/>
        <w:autoSpaceDN/>
        <w:bidi w:val="0"/>
        <w:adjustRightInd w:val="0"/>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报价方式为</w:t>
      </w:r>
      <w:r>
        <w:rPr>
          <w:rFonts w:hint="eastAsia" w:ascii="宋体" w:hAnsi="宋体" w:eastAsia="宋体" w:cs="宋体"/>
          <w:color w:val="auto"/>
          <w:sz w:val="24"/>
          <w:szCs w:val="24"/>
          <w:highlight w:val="none"/>
          <w:lang w:val="en-US" w:eastAsia="zh-CN"/>
        </w:rPr>
        <w:t>三水文化中心物业管理服务的总价</w:t>
      </w:r>
      <w:r>
        <w:rPr>
          <w:rFonts w:hint="eastAsia" w:ascii="宋体" w:hAnsi="宋体" w:eastAsia="宋体" w:cs="宋体"/>
          <w:color w:val="auto"/>
          <w:sz w:val="24"/>
          <w:szCs w:val="24"/>
          <w:highlight w:val="none"/>
        </w:rPr>
        <w:t>包干价（含税）。投标总价指投标人为完成本项目所收取的全部费用，包含但不限于以下费用：</w:t>
      </w:r>
    </w:p>
    <w:p>
      <w:pPr>
        <w:keepNext w:val="0"/>
        <w:keepLines w:val="0"/>
        <w:pageBreakBefore w:val="0"/>
        <w:widowControl w:val="0"/>
        <w:numPr>
          <w:ilvl w:val="0"/>
          <w:numId w:val="12"/>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人员成本：全部服务人员（含项目经理、安保、客服、工程、环境等）的薪酬、福利、法定社保、公积金、加班费、高温补贴、工服、劳保用品及培训费用。注：本项费用已包含日常维保、工伤意外保险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零星维修及紧急抢险的全部人工费用，</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不再另行支付。</w:t>
      </w:r>
    </w:p>
    <w:p>
      <w:pPr>
        <w:keepNext w:val="0"/>
        <w:keepLines w:val="0"/>
        <w:pageBreakBefore w:val="0"/>
        <w:widowControl w:val="0"/>
        <w:numPr>
          <w:ilvl w:val="0"/>
          <w:numId w:val="12"/>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行政办公费用：物业管理处日常办公、档案管理、通讯、软件使用、客户服务耗材等费用。</w:t>
      </w:r>
    </w:p>
    <w:p>
      <w:pPr>
        <w:keepNext w:val="0"/>
        <w:keepLines w:val="0"/>
        <w:pageBreakBefore w:val="0"/>
        <w:widowControl w:val="0"/>
        <w:numPr>
          <w:ilvl w:val="0"/>
          <w:numId w:val="12"/>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共用部位及设施设备运行维护材料费：日常巡检、清洁用品；零星维修（单项材料费≤200元）年度材料费总额10万元已含在包干费内，</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必须先行使用；每季度末向</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提交《季度材料费使用台账》（含物料名称、数量、单价、使用地点、照片），年度10万元额度内未实际使用的金额，</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有权在合同年度最后一个月服务费中等额扣回，</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不得以此为由降低服务标准或拒绝维修。额度用尽后，超出部分须事前报</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审批，</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另行核定费用。</w:t>
      </w:r>
      <w:r>
        <w:rPr>
          <w:rFonts w:hint="eastAsia" w:ascii="宋体" w:hAnsi="宋体" w:eastAsia="宋体" w:cs="宋体"/>
          <w:color w:val="auto"/>
          <w:sz w:val="24"/>
          <w:szCs w:val="24"/>
          <w:highlight w:val="none"/>
          <w:lang w:val="en-US" w:eastAsia="zh-CN"/>
        </w:rPr>
        <w:t>中标人应当合理使用</w:t>
      </w:r>
      <w:r>
        <w:rPr>
          <w:rFonts w:hint="eastAsia" w:ascii="宋体" w:hAnsi="宋体" w:eastAsia="宋体" w:cs="宋体"/>
          <w:color w:val="auto"/>
          <w:sz w:val="24"/>
          <w:szCs w:val="24"/>
          <w:highlight w:val="none"/>
        </w:rPr>
        <w:t>零星维修</w:t>
      </w:r>
      <w:r>
        <w:rPr>
          <w:rFonts w:hint="eastAsia" w:ascii="宋体" w:hAnsi="宋体" w:eastAsia="宋体" w:cs="宋体"/>
          <w:color w:val="auto"/>
          <w:sz w:val="24"/>
          <w:szCs w:val="24"/>
          <w:highlight w:val="none"/>
          <w:lang w:val="en-US" w:eastAsia="zh-CN"/>
        </w:rPr>
        <w:t>材料费额度，采购材料价格应当合理，不过分超出市场价，数量恰当、不浪费，如发现中标人存在弄虚作假、恶意消耗额度等情形的，招标人有权追回相关材料费用，并有权按所涉金额的2倍扣除中标人服务费。</w:t>
      </w:r>
    </w:p>
    <w:p>
      <w:pPr>
        <w:keepNext w:val="0"/>
        <w:keepLines w:val="0"/>
        <w:pageBreakBefore w:val="0"/>
        <w:widowControl w:val="0"/>
        <w:numPr>
          <w:ilvl w:val="0"/>
          <w:numId w:val="12"/>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专业设备维保费用：电梯、消防系统、变配电所（高压柜、低压柜、电容柜、变压器）、备用发电机组及其配套设备等依法须由专业机构实施的维保、检测、校验费用，包含在本合同包干费中。由</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负责选聘具备法定资质的专业机构实施，并进行日常管理、协调及验收，确保维保质量达标。相关维保合同、记录须报</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备案。</w:t>
      </w:r>
    </w:p>
    <w:p>
      <w:pPr>
        <w:keepNext w:val="0"/>
        <w:keepLines w:val="0"/>
        <w:pageBreakBefore w:val="0"/>
        <w:widowControl w:val="0"/>
        <w:numPr>
          <w:ilvl w:val="0"/>
          <w:numId w:val="12"/>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紧急抢险费用：危及人身财产安全或严重影响项目运营的突发故障（详见本条说明），所产生材料费据实报销（不计入10万元额度）。</w:t>
      </w:r>
    </w:p>
    <w:p>
      <w:pPr>
        <w:keepNext w:val="0"/>
        <w:keepLines w:val="0"/>
        <w:pageBreakBefore w:val="0"/>
        <w:widowControl w:val="0"/>
        <w:numPr>
          <w:ilvl w:val="0"/>
          <w:numId w:val="12"/>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清洁绿化费用：保洁耗材、垃圾清运、化粪池清掏、石材养护（面积约4500㎡）、有害生物防治（四害消杀、白蚁防治）、绿化养护（修剪、施肥、补植、病虫害防治）。</w:t>
      </w:r>
    </w:p>
    <w:p>
      <w:pPr>
        <w:keepNext w:val="0"/>
        <w:keepLines w:val="0"/>
        <w:pageBreakBefore w:val="0"/>
        <w:widowControl w:val="0"/>
        <w:numPr>
          <w:ilvl w:val="0"/>
          <w:numId w:val="12"/>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秩序维护费用：安保器材、交通设施、应急演练物资；原有消防器材的充装、更换（包括灭火剂、灭火器、应急灯等）由</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自行委托具备资质的单位实施并直接支付费用，</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仅负责日常检查登记并提前向</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书面报告需充装/更换的器材清单</w:t>
      </w:r>
    </w:p>
    <w:p>
      <w:pPr>
        <w:keepNext w:val="0"/>
        <w:keepLines w:val="0"/>
        <w:pageBreakBefore w:val="0"/>
        <w:widowControl w:val="0"/>
        <w:numPr>
          <w:ilvl w:val="0"/>
          <w:numId w:val="12"/>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保险费用：场地的公众责任险（保额≥300万元）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中标人须为本合同服务范围投保足额的公众责任险，投保范围须能够覆盖全部服务场地范围，且保险期限须覆盖本合同约定的服务期限。中标人投保后，应将相关的保单等保险资料提交至招标人审核备案，如中标人未按约完成投保的，招标人有权不予支付服务费。</w:t>
      </w:r>
    </w:p>
    <w:p>
      <w:pPr>
        <w:keepNext w:val="0"/>
        <w:keepLines w:val="0"/>
        <w:pageBreakBefore w:val="0"/>
        <w:widowControl w:val="0"/>
        <w:numPr>
          <w:ilvl w:val="0"/>
          <w:numId w:val="12"/>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中央空调输配管网及末端设备维保接口：</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须指定专人对接</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书面指定的中央空调输配管网及末端设备维保单位，负责：日常巡检问题汇总与移交；现场旁站、验收并签字确认。</w:t>
      </w:r>
    </w:p>
    <w:p>
      <w:pPr>
        <w:keepNext w:val="0"/>
        <w:keepLines w:val="0"/>
        <w:pageBreakBefore w:val="0"/>
        <w:widowControl w:val="0"/>
        <w:numPr>
          <w:ilvl w:val="0"/>
          <w:numId w:val="12"/>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大中修协助：</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在日常巡检中发现建筑物或共用设施设备存在中修、大修、更新改造需求时，应于48小时内向</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提交书面报告（含照片、初步原因分析及修复建议方案），并负责技术对接、进度督促、现场旁站；</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自行委托具备资质的单位实施并直接支付费用。</w:t>
      </w:r>
    </w:p>
    <w:p>
      <w:pPr>
        <w:keepNext w:val="0"/>
        <w:keepLines w:val="0"/>
        <w:pageBreakBefore w:val="0"/>
        <w:widowControl w:val="0"/>
        <w:numPr>
          <w:ilvl w:val="0"/>
          <w:numId w:val="12"/>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旁站服务：对于不含在包干费内的中央空调输配管网及末端设备、剧院舞台设备、建（构）筑物及共用设施的中修、大修、更新改造等工程，</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须按</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要求提供现场旁站、进度督促、联合</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验收，所需人工已包含在本合同包干费中，</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不再另行支付。</w:t>
      </w:r>
    </w:p>
    <w:p>
      <w:pPr>
        <w:keepNext w:val="0"/>
        <w:keepLines w:val="0"/>
        <w:pageBreakBefore w:val="0"/>
        <w:widowControl w:val="0"/>
        <w:numPr>
          <w:ilvl w:val="0"/>
          <w:numId w:val="12"/>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临时任务：项目内日常家具、设备、展板等大件物品场内搬运及项目内举办活动、演出等增援，由</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在现有在岗人员范围内调配（含项目经理、客服现场增援）。</w:t>
      </w:r>
    </w:p>
    <w:p>
      <w:pPr>
        <w:keepNext w:val="0"/>
        <w:keepLines w:val="0"/>
        <w:pageBreakBefore w:val="0"/>
        <w:widowControl w:val="0"/>
        <w:numPr>
          <w:ilvl w:val="0"/>
          <w:numId w:val="12"/>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企业管理费、合理利润及法定税费：包含增值税6%及附加税。</w:t>
      </w:r>
    </w:p>
    <w:p>
      <w:pPr>
        <w:keepNext w:val="0"/>
        <w:keepLines w:val="0"/>
        <w:pageBreakBefore w:val="0"/>
        <w:widowControl w:val="0"/>
        <w:numPr>
          <w:ilvl w:val="0"/>
          <w:numId w:val="12"/>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rPr>
        <w:t>其他费用：服装费、不可预见费等完成本合同所需的一切费用</w:t>
      </w:r>
      <w:r>
        <w:rPr>
          <w:rFonts w:hint="eastAsia" w:ascii="宋体" w:hAnsi="宋体" w:eastAsia="宋体" w:cs="宋体"/>
          <w:color w:val="auto"/>
          <w:sz w:val="24"/>
          <w:szCs w:val="24"/>
          <w:highlight w:val="none"/>
          <w:lang w:eastAsia="zh-CN"/>
        </w:rPr>
        <w:t>。</w:t>
      </w:r>
    </w:p>
    <w:p>
      <w:pPr>
        <w:keepNext w:val="0"/>
        <w:keepLines w:val="0"/>
        <w:pageBreakBefore w:val="0"/>
        <w:widowControl w:val="0"/>
        <w:numPr>
          <w:ilvl w:val="-1"/>
          <w:numId w:val="0"/>
        </w:numPr>
        <w:tabs>
          <w:tab w:val="left" w:pos="540"/>
        </w:tabs>
        <w:kinsoku/>
        <w:wordWrap/>
        <w:overflowPunct/>
        <w:topLinePunct w:val="0"/>
        <w:autoSpaceDE/>
        <w:autoSpaceDN/>
        <w:bidi w:val="0"/>
        <w:adjustRightInd w:val="0"/>
        <w:snapToGrid/>
        <w:spacing w:line="440" w:lineRule="exact"/>
        <w:ind w:left="42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pPr>
        <w:keepNext w:val="0"/>
        <w:keepLines w:val="0"/>
        <w:pageBreakBefore w:val="0"/>
        <w:widowControl w:val="0"/>
        <w:numPr>
          <w:ilvl w:val="1"/>
          <w:numId w:val="13"/>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零星维修耗材：指单项材料采购价≤200元日常小修所需备品、备件、辅材，包括但不限于：给排水：DN≤50mm的阀门、软管、生料带、小规格角阀；强弱电：≤10A空开、LED灯板、面板开关、插座；门窗五金：合页、锁芯、闭门器弹簧、密封条；土建装饰：单块≤0.5㎡墙地砖、批荡砂浆、玻璃胶、油漆等。</w:t>
      </w:r>
    </w:p>
    <w:p>
      <w:pPr>
        <w:keepNext w:val="0"/>
        <w:keepLines w:val="0"/>
        <w:pageBreakBefore w:val="0"/>
        <w:widowControl w:val="0"/>
        <w:numPr>
          <w:ilvl w:val="1"/>
          <w:numId w:val="13"/>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紧急抢险：指突然发生、已或即将造成人身伤害、财产损失、园区运营中断，必须立即处置的故障，具体范围包括但不限于：电梯困人、消防管网爆裂、主配电房跳闸失电、大面积跑水、燃气泄漏、高空坠物、暴雨倒灌、极端天气导致的外围设施损毁。抢险所需材料费凭影像记录及</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代表签字，由</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据实结算。</w:t>
      </w:r>
    </w:p>
    <w:p>
      <w:pPr>
        <w:keepNext w:val="0"/>
        <w:keepLines w:val="0"/>
        <w:pageBreakBefore w:val="0"/>
        <w:widowControl w:val="0"/>
        <w:numPr>
          <w:ilvl w:val="1"/>
          <w:numId w:val="13"/>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不含在总费用中的项目：整个项目的能耗费用（水、电、燃气、空调供能费等）；中央空调输配管网及末端设备的维保维修、剧院舞台设备设施维保维修；建筑物及共用设施设备的中修、大修、更新改造。</w:t>
      </w:r>
    </w:p>
    <w:p>
      <w:pPr>
        <w:keepNext w:val="0"/>
        <w:keepLines w:val="0"/>
        <w:pageBreakBefore w:val="0"/>
        <w:widowControl w:val="0"/>
        <w:numPr>
          <w:ilvl w:val="0"/>
          <w:numId w:val="11"/>
        </w:numPr>
        <w:tabs>
          <w:tab w:val="left" w:pos="540"/>
        </w:tabs>
        <w:kinsoku/>
        <w:wordWrap/>
        <w:overflowPunct/>
        <w:topLinePunct w:val="0"/>
        <w:autoSpaceDE/>
        <w:autoSpaceDN/>
        <w:bidi w:val="0"/>
        <w:adjustRightInd w:val="0"/>
        <w:snapToGrid/>
        <w:spacing w:line="44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服务期</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spacing w:line="440" w:lineRule="exact"/>
        <w:ind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自合同签订之日起1年。</w:t>
      </w:r>
    </w:p>
    <w:p>
      <w:pPr>
        <w:keepNext w:val="0"/>
        <w:keepLines w:val="0"/>
        <w:pageBreakBefore w:val="0"/>
        <w:widowControl w:val="0"/>
        <w:numPr>
          <w:ilvl w:val="0"/>
          <w:numId w:val="11"/>
        </w:numPr>
        <w:tabs>
          <w:tab w:val="left" w:pos="540"/>
        </w:tabs>
        <w:kinsoku/>
        <w:wordWrap/>
        <w:overflowPunct/>
        <w:topLinePunct w:val="0"/>
        <w:autoSpaceDE/>
        <w:autoSpaceDN/>
        <w:bidi w:val="0"/>
        <w:adjustRightInd w:val="0"/>
        <w:snapToGrid/>
        <w:spacing w:line="44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服务地点</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spacing w:line="440" w:lineRule="exact"/>
        <w:ind w:leftChars="0" w:firstLine="480" w:firstLineChars="200"/>
        <w:textAlignment w:val="auto"/>
        <w:rPr>
          <w:rFonts w:hint="eastAsia" w:ascii="宋体" w:hAnsi="宋体" w:eastAsia="宋体" w:cs="宋体"/>
          <w:snapToGrid/>
          <w:color w:val="auto"/>
          <w:spacing w:val="0"/>
          <w:kern w:val="2"/>
          <w:sz w:val="24"/>
          <w:szCs w:val="24"/>
          <w:highlight w:val="none"/>
          <w:lang w:val="en-US" w:eastAsia="zh-CN"/>
        </w:rPr>
      </w:pPr>
      <w:r>
        <w:rPr>
          <w:rFonts w:hint="eastAsia" w:ascii="宋体" w:hAnsi="宋体" w:eastAsia="宋体" w:cs="宋体"/>
          <w:snapToGrid/>
          <w:color w:val="auto"/>
          <w:spacing w:val="0"/>
          <w:kern w:val="2"/>
          <w:sz w:val="24"/>
          <w:szCs w:val="24"/>
          <w:highlight w:val="none"/>
          <w:lang w:val="en-US" w:eastAsia="zh-CN"/>
        </w:rPr>
        <w:t>佛山市三水区云东海街道荷湖南路1号。</w:t>
      </w:r>
    </w:p>
    <w:p>
      <w:pPr>
        <w:keepNext w:val="0"/>
        <w:keepLines w:val="0"/>
        <w:pageBreakBefore w:val="0"/>
        <w:widowControl w:val="0"/>
        <w:numPr>
          <w:ilvl w:val="0"/>
          <w:numId w:val="11"/>
        </w:numPr>
        <w:tabs>
          <w:tab w:val="left" w:pos="540"/>
        </w:tabs>
        <w:kinsoku/>
        <w:wordWrap/>
        <w:overflowPunct/>
        <w:topLinePunct w:val="0"/>
        <w:autoSpaceDE/>
        <w:autoSpaceDN/>
        <w:bidi w:val="0"/>
        <w:adjustRightInd w:val="0"/>
        <w:snapToGrid/>
        <w:spacing w:line="44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质量及安全文明要求</w:t>
      </w:r>
    </w:p>
    <w:p>
      <w:pPr>
        <w:keepNext w:val="0"/>
        <w:keepLines w:val="0"/>
        <w:pageBreakBefore w:val="0"/>
        <w:widowControl w:val="0"/>
        <w:numPr>
          <w:ilvl w:val="0"/>
          <w:numId w:val="14"/>
        </w:numPr>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eastAsia="zh-CN"/>
        </w:rPr>
        <w:t>中标人</w:t>
      </w:r>
      <w:r>
        <w:rPr>
          <w:rFonts w:hint="eastAsia" w:ascii="宋体" w:hAnsi="宋体" w:eastAsia="宋体" w:cs="宋体"/>
          <w:b w:val="0"/>
          <w:bCs/>
          <w:color w:val="auto"/>
          <w:sz w:val="24"/>
          <w:szCs w:val="24"/>
          <w:highlight w:val="none"/>
        </w:rPr>
        <w:t>须做好物业管理服务人员的安全教育和安全措施，保证员工的安全。</w:t>
      </w:r>
    </w:p>
    <w:p>
      <w:pPr>
        <w:keepNext w:val="0"/>
        <w:keepLines w:val="0"/>
        <w:pageBreakBefore w:val="0"/>
        <w:widowControl w:val="0"/>
        <w:numPr>
          <w:ilvl w:val="0"/>
          <w:numId w:val="14"/>
        </w:numPr>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eastAsia="zh-CN"/>
        </w:rPr>
        <w:t>招标人</w:t>
      </w:r>
      <w:r>
        <w:rPr>
          <w:rFonts w:hint="eastAsia" w:ascii="宋体" w:hAnsi="宋体" w:eastAsia="宋体" w:cs="宋体"/>
          <w:b w:val="0"/>
          <w:bCs/>
          <w:color w:val="auto"/>
          <w:sz w:val="24"/>
          <w:szCs w:val="24"/>
          <w:highlight w:val="none"/>
        </w:rPr>
        <w:t>委托的物业范围内</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因中标人原因导致</w:t>
      </w:r>
      <w:r>
        <w:rPr>
          <w:rFonts w:hint="eastAsia" w:ascii="宋体" w:hAnsi="宋体" w:eastAsia="宋体" w:cs="宋体"/>
          <w:b w:val="0"/>
          <w:bCs/>
          <w:color w:val="auto"/>
          <w:sz w:val="24"/>
          <w:szCs w:val="24"/>
          <w:highlight w:val="none"/>
        </w:rPr>
        <w:t>发生的事故及违法、违规行为，一切后果和责任依法由</w:t>
      </w:r>
      <w:r>
        <w:rPr>
          <w:rFonts w:hint="eastAsia" w:ascii="宋体" w:hAnsi="宋体" w:eastAsia="宋体" w:cs="宋体"/>
          <w:b w:val="0"/>
          <w:bCs/>
          <w:color w:val="auto"/>
          <w:sz w:val="24"/>
          <w:szCs w:val="24"/>
          <w:highlight w:val="none"/>
          <w:lang w:eastAsia="zh-CN"/>
        </w:rPr>
        <w:t>中标人</w:t>
      </w:r>
      <w:r>
        <w:rPr>
          <w:rFonts w:hint="eastAsia" w:ascii="宋体" w:hAnsi="宋体" w:eastAsia="宋体" w:cs="宋体"/>
          <w:b w:val="0"/>
          <w:bCs/>
          <w:color w:val="auto"/>
          <w:sz w:val="24"/>
          <w:szCs w:val="24"/>
          <w:highlight w:val="none"/>
        </w:rPr>
        <w:t>承担。</w:t>
      </w:r>
    </w:p>
    <w:p>
      <w:pPr>
        <w:keepNext w:val="0"/>
        <w:keepLines w:val="0"/>
        <w:pageBreakBefore w:val="0"/>
        <w:widowControl w:val="0"/>
        <w:numPr>
          <w:ilvl w:val="0"/>
          <w:numId w:val="14"/>
        </w:numPr>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eastAsia="zh-CN"/>
        </w:rPr>
        <w:t>中标人</w:t>
      </w:r>
      <w:r>
        <w:rPr>
          <w:rFonts w:hint="eastAsia" w:ascii="宋体" w:hAnsi="宋体" w:eastAsia="宋体" w:cs="宋体"/>
          <w:b w:val="0"/>
          <w:bCs/>
          <w:color w:val="auto"/>
          <w:sz w:val="24"/>
          <w:szCs w:val="24"/>
          <w:highlight w:val="none"/>
        </w:rPr>
        <w:t>在本项目合同执行期间，在服务范围内须保证无管理瑕疵导致刑事治安案件，无消防责任事故，无机械设备操作责任事故。</w:t>
      </w:r>
    </w:p>
    <w:p>
      <w:pPr>
        <w:keepNext w:val="0"/>
        <w:keepLines w:val="0"/>
        <w:pageBreakBefore w:val="0"/>
        <w:widowControl w:val="0"/>
        <w:numPr>
          <w:ilvl w:val="0"/>
          <w:numId w:val="11"/>
        </w:numPr>
        <w:tabs>
          <w:tab w:val="left" w:pos="540"/>
        </w:tabs>
        <w:kinsoku/>
        <w:wordWrap/>
        <w:overflowPunct/>
        <w:topLinePunct w:val="0"/>
        <w:autoSpaceDE/>
        <w:autoSpaceDN/>
        <w:bidi w:val="0"/>
        <w:adjustRightInd w:val="0"/>
        <w:snapToGrid/>
        <w:spacing w:line="44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组织管理要求</w:t>
      </w:r>
    </w:p>
    <w:p>
      <w:pPr>
        <w:keepNext w:val="0"/>
        <w:keepLines w:val="0"/>
        <w:pageBreakBefore w:val="0"/>
        <w:widowControl w:val="0"/>
        <w:numPr>
          <w:ilvl w:val="0"/>
          <w:numId w:val="15"/>
        </w:numPr>
        <w:tabs>
          <w:tab w:val="left" w:pos="540"/>
        </w:tabs>
        <w:kinsoku/>
        <w:wordWrap/>
        <w:overflowPunct/>
        <w:topLinePunct w:val="0"/>
        <w:autoSpaceDE/>
        <w:autoSpaceDN/>
        <w:bidi w:val="0"/>
        <w:adjustRightInd w:val="0"/>
        <w:snapToGrid/>
        <w:spacing w:line="440" w:lineRule="exact"/>
        <w:ind w:firstLine="4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应根据有关法律法规及本项目合同的约定，结合各岗位的特点制定物业管理制度、工作规程、考核办法和实施细则。</w:t>
      </w:r>
    </w:p>
    <w:p>
      <w:pPr>
        <w:keepNext w:val="0"/>
        <w:keepLines w:val="0"/>
        <w:pageBreakBefore w:val="0"/>
        <w:widowControl w:val="0"/>
        <w:numPr>
          <w:ilvl w:val="0"/>
          <w:numId w:val="15"/>
        </w:numPr>
        <w:tabs>
          <w:tab w:val="left" w:pos="540"/>
        </w:tabs>
        <w:kinsoku/>
        <w:wordWrap/>
        <w:overflowPunct/>
        <w:topLinePunct w:val="0"/>
        <w:autoSpaceDE/>
        <w:autoSpaceDN/>
        <w:bidi w:val="0"/>
        <w:adjustRightInd w:val="0"/>
        <w:snapToGrid/>
        <w:spacing w:line="440" w:lineRule="exact"/>
        <w:ind w:firstLine="420"/>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每月对</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的服务质量进行考核（考核标准详见附件一《月度考核评分表》），考核满分 100 分。考核得分 90 分（含）以上为合格，</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应当全额支付当月管理服务费；考核评分低于 90 分的，每少 1 分扣罚当月管理服务费的 1%；考核评分低于 75 分的，在按前述标准扣款的基础上，仅就低于 75 分的部分，每少 1 分扣罚当月管理服务费的 2%；考核评分低于 60 分的，扣罚当月管理服务费的 100%。若</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连续2个月考核得分低于75 分（不含本数），或服务期内</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累计3个月考核得分低于75 分（不含本数），则视为</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不能履约，</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有权单方解除本合同，并有权要求</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支付相当于本合同总额10%的违约金；前述违约金不足以弥补</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实际损失的，</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还应当赔偿</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全部损失</w:t>
      </w:r>
      <w:r>
        <w:rPr>
          <w:rFonts w:hint="eastAsia" w:ascii="宋体" w:hAnsi="宋体" w:eastAsia="宋体" w:cs="宋体"/>
          <w:b w:val="0"/>
          <w:bCs w:val="0"/>
          <w:color w:val="auto"/>
          <w:sz w:val="24"/>
          <w:szCs w:val="24"/>
          <w:highlight w:val="none"/>
        </w:rPr>
        <w:t>。</w:t>
      </w:r>
    </w:p>
    <w:p>
      <w:pPr>
        <w:keepNext w:val="0"/>
        <w:keepLines w:val="0"/>
        <w:pageBreakBefore w:val="0"/>
        <w:widowControl w:val="0"/>
        <w:numPr>
          <w:ilvl w:val="0"/>
          <w:numId w:val="15"/>
        </w:numPr>
        <w:tabs>
          <w:tab w:val="left" w:pos="540"/>
        </w:tabs>
        <w:kinsoku/>
        <w:wordWrap/>
        <w:overflowPunct/>
        <w:topLinePunct w:val="0"/>
        <w:autoSpaceDE/>
        <w:autoSpaceDN/>
        <w:bidi w:val="0"/>
        <w:adjustRightInd w:val="0"/>
        <w:snapToGrid/>
        <w:spacing w:line="440" w:lineRule="exact"/>
        <w:ind w:firstLine="4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应配合</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做好疫情防控的相关工作，为项目的疫情防控做好后勤保障。</w:t>
      </w:r>
    </w:p>
    <w:p>
      <w:pPr>
        <w:keepNext w:val="0"/>
        <w:keepLines w:val="0"/>
        <w:pageBreakBefore w:val="0"/>
        <w:widowControl w:val="0"/>
        <w:numPr>
          <w:ilvl w:val="0"/>
          <w:numId w:val="15"/>
        </w:numPr>
        <w:tabs>
          <w:tab w:val="left" w:pos="540"/>
        </w:tabs>
        <w:kinsoku/>
        <w:wordWrap/>
        <w:overflowPunct/>
        <w:topLinePunct w:val="0"/>
        <w:autoSpaceDE/>
        <w:autoSpaceDN/>
        <w:bidi w:val="0"/>
        <w:adjustRightInd w:val="0"/>
        <w:snapToGrid/>
        <w:spacing w:line="440" w:lineRule="exact"/>
        <w:ind w:firstLine="4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应积极主动协调、配合专业维保单位的工作，做好相关事项的督促、检查和后续跟进工作，如有问题及时向</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汇报。</w:t>
      </w:r>
    </w:p>
    <w:p>
      <w:pPr>
        <w:keepNext w:val="0"/>
        <w:keepLines w:val="0"/>
        <w:pageBreakBefore w:val="0"/>
        <w:widowControl w:val="0"/>
        <w:numPr>
          <w:ilvl w:val="0"/>
          <w:numId w:val="15"/>
        </w:numPr>
        <w:tabs>
          <w:tab w:val="left" w:pos="540"/>
        </w:tabs>
        <w:kinsoku/>
        <w:wordWrap/>
        <w:overflowPunct/>
        <w:topLinePunct w:val="0"/>
        <w:autoSpaceDE/>
        <w:autoSpaceDN/>
        <w:bidi w:val="0"/>
        <w:adjustRightInd w:val="0"/>
        <w:snapToGrid/>
        <w:spacing w:line="440" w:lineRule="exact"/>
        <w:ind w:firstLine="4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按照国家规定和劳动合同的约定向工作人员及时足额支付劳动报酬，一切劳动合同及产生的劳务纠纷均由</w:t>
      </w: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负责。如</w:t>
      </w: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人员因劳动纠纷原因对</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造成直接经济损失的，</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有权扣减物业管理服务费作为抵偿。如</w:t>
      </w: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工作人员在工作失误导致发生意外事故，一切责任由</w:t>
      </w: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 xml:space="preserve">负责。    </w:t>
      </w:r>
    </w:p>
    <w:p>
      <w:pPr>
        <w:keepNext w:val="0"/>
        <w:keepLines w:val="0"/>
        <w:pageBreakBefore w:val="0"/>
        <w:widowControl w:val="0"/>
        <w:numPr>
          <w:ilvl w:val="0"/>
          <w:numId w:val="15"/>
        </w:numPr>
        <w:tabs>
          <w:tab w:val="left" w:pos="540"/>
        </w:tabs>
        <w:kinsoku/>
        <w:wordWrap/>
        <w:overflowPunct/>
        <w:topLinePunct w:val="0"/>
        <w:autoSpaceDE/>
        <w:autoSpaceDN/>
        <w:bidi w:val="0"/>
        <w:adjustRightInd w:val="0"/>
        <w:snapToGrid/>
        <w:spacing w:line="440" w:lineRule="exact"/>
        <w:ind w:firstLine="4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因</w:t>
      </w: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责任导致政府罚款、第三方索赔或</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直接经济损失的，</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有权在包干价外另行追偿，不受本合同固定总价、考核扣分或任何费用上限限制。</w:t>
      </w:r>
    </w:p>
    <w:p>
      <w:pPr>
        <w:keepNext w:val="0"/>
        <w:keepLines w:val="0"/>
        <w:pageBreakBefore w:val="0"/>
        <w:widowControl w:val="0"/>
        <w:numPr>
          <w:ilvl w:val="0"/>
          <w:numId w:val="15"/>
        </w:numPr>
        <w:tabs>
          <w:tab w:val="left" w:pos="540"/>
        </w:tabs>
        <w:kinsoku/>
        <w:wordWrap/>
        <w:overflowPunct/>
        <w:topLinePunct w:val="0"/>
        <w:autoSpaceDE/>
        <w:autoSpaceDN/>
        <w:bidi w:val="0"/>
        <w:adjustRightInd w:val="0"/>
        <w:snapToGrid/>
        <w:spacing w:line="440" w:lineRule="exact"/>
        <w:ind w:firstLine="4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应保证各部门人员接受培训学习后有持续的服务时限，避免核心技术人员流失严重影响服务质量。</w:t>
      </w:r>
    </w:p>
    <w:p>
      <w:pPr>
        <w:keepNext w:val="0"/>
        <w:keepLines w:val="0"/>
        <w:pageBreakBefore w:val="0"/>
        <w:widowControl w:val="0"/>
        <w:numPr>
          <w:ilvl w:val="0"/>
          <w:numId w:val="15"/>
        </w:numPr>
        <w:tabs>
          <w:tab w:val="left" w:pos="540"/>
        </w:tabs>
        <w:kinsoku/>
        <w:wordWrap/>
        <w:overflowPunct/>
        <w:topLinePunct w:val="0"/>
        <w:autoSpaceDE/>
        <w:autoSpaceDN/>
        <w:bidi w:val="0"/>
        <w:adjustRightInd w:val="0"/>
        <w:snapToGrid/>
        <w:spacing w:line="440" w:lineRule="exact"/>
        <w:ind w:firstLine="4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应针对各工作岗位的特点和要求，所有工作人员必须100%经过岗前培训，合格才能上岗。技能培训以在岗培训为主，如必须外出学习培训，</w:t>
      </w: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应当承担相应的差旅费用。</w:t>
      </w:r>
    </w:p>
    <w:p>
      <w:pPr>
        <w:keepNext w:val="0"/>
        <w:keepLines w:val="0"/>
        <w:pageBreakBefore w:val="0"/>
        <w:widowControl w:val="0"/>
        <w:numPr>
          <w:ilvl w:val="0"/>
          <w:numId w:val="15"/>
        </w:numPr>
        <w:tabs>
          <w:tab w:val="left" w:pos="540"/>
        </w:tabs>
        <w:kinsoku/>
        <w:wordWrap/>
        <w:overflowPunct/>
        <w:topLinePunct w:val="0"/>
        <w:autoSpaceDE/>
        <w:autoSpaceDN/>
        <w:bidi w:val="0"/>
        <w:adjustRightInd w:val="0"/>
        <w:snapToGrid/>
        <w:spacing w:line="440" w:lineRule="exact"/>
        <w:ind w:firstLine="4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安排在</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的所有工作人员必须遵纪守法不得从事非法活动。如有不熟悉操作或工作态度差的员工，</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有权要求</w:t>
      </w: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更换相关工作人员。</w:t>
      </w:r>
    </w:p>
    <w:p>
      <w:pPr>
        <w:keepNext w:val="0"/>
        <w:keepLines w:val="0"/>
        <w:pageBreakBefore w:val="0"/>
        <w:widowControl w:val="0"/>
        <w:numPr>
          <w:ilvl w:val="0"/>
          <w:numId w:val="15"/>
        </w:numPr>
        <w:tabs>
          <w:tab w:val="left" w:pos="540"/>
        </w:tabs>
        <w:kinsoku/>
        <w:wordWrap/>
        <w:overflowPunct/>
        <w:topLinePunct w:val="0"/>
        <w:autoSpaceDE/>
        <w:autoSpaceDN/>
        <w:bidi w:val="0"/>
        <w:adjustRightInd w:val="0"/>
        <w:snapToGrid/>
        <w:spacing w:line="440" w:lineRule="exact"/>
        <w:ind w:firstLine="4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对</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委托的物业设施不得擅自占用和改变其使用功能。</w:t>
      </w:r>
    </w:p>
    <w:p>
      <w:pPr>
        <w:keepNext w:val="0"/>
        <w:keepLines w:val="0"/>
        <w:pageBreakBefore w:val="0"/>
        <w:widowControl w:val="0"/>
        <w:numPr>
          <w:ilvl w:val="0"/>
          <w:numId w:val="15"/>
        </w:numPr>
        <w:tabs>
          <w:tab w:val="left" w:pos="540"/>
        </w:tabs>
        <w:kinsoku/>
        <w:wordWrap/>
        <w:overflowPunct/>
        <w:topLinePunct w:val="0"/>
        <w:autoSpaceDE/>
        <w:autoSpaceDN/>
        <w:bidi w:val="0"/>
        <w:adjustRightInd w:val="0"/>
        <w:snapToGrid/>
        <w:spacing w:line="440" w:lineRule="exact"/>
        <w:ind w:firstLine="4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应遵守</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的规章制度和管理规定，不得有违和损害人的利益，一切管理服务工作的实施，必须以服从服务于</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工作需要为前提，以方便</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为原则，避免因实施不当给</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造成不利的影响；如</w:t>
      </w: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制定的管理制度与</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的规章制度有抵触的，应以</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的规章制度为依据进行合理调整，调整方案报</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审核后方可实施。</w:t>
      </w:r>
    </w:p>
    <w:p>
      <w:pPr>
        <w:keepNext w:val="0"/>
        <w:keepLines w:val="0"/>
        <w:pageBreakBefore w:val="0"/>
        <w:widowControl w:val="0"/>
        <w:numPr>
          <w:ilvl w:val="0"/>
          <w:numId w:val="15"/>
        </w:numPr>
        <w:tabs>
          <w:tab w:val="left" w:pos="540"/>
        </w:tabs>
        <w:kinsoku/>
        <w:wordWrap/>
        <w:overflowPunct/>
        <w:topLinePunct w:val="0"/>
        <w:autoSpaceDE/>
        <w:autoSpaceDN/>
        <w:bidi w:val="0"/>
        <w:adjustRightInd w:val="0"/>
        <w:snapToGrid/>
        <w:spacing w:line="440" w:lineRule="exact"/>
        <w:ind w:firstLine="4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若使用</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提供的房屋和其他资料，应配合</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做好交接登记，登记文书一式两份，盖章签收，</w:t>
      </w: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和</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双方各执一份，</w:t>
      </w: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对</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提供的设施设备负有保管责任，如有遗失损坏，按物品原价赔偿。</w:t>
      </w:r>
    </w:p>
    <w:p>
      <w:pPr>
        <w:keepNext w:val="0"/>
        <w:keepLines w:val="0"/>
        <w:pageBreakBefore w:val="0"/>
        <w:widowControl w:val="0"/>
        <w:numPr>
          <w:ilvl w:val="0"/>
          <w:numId w:val="15"/>
        </w:numPr>
        <w:tabs>
          <w:tab w:val="left" w:pos="540"/>
        </w:tabs>
        <w:kinsoku/>
        <w:wordWrap/>
        <w:overflowPunct/>
        <w:topLinePunct w:val="0"/>
        <w:autoSpaceDE/>
        <w:autoSpaceDN/>
        <w:bidi w:val="0"/>
        <w:adjustRightInd w:val="0"/>
        <w:snapToGrid/>
        <w:spacing w:line="440" w:lineRule="exact"/>
        <w:ind w:firstLine="4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本项目合同终止时，</w:t>
      </w: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积极配合与下一物业管理服务单位交接，不得以任何方式阻碍交接，影响</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单位正常工作，</w:t>
      </w: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必须无条件向</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移交全部物业管理档案资料。</w:t>
      </w:r>
    </w:p>
    <w:p>
      <w:pPr>
        <w:keepNext w:val="0"/>
        <w:keepLines w:val="0"/>
        <w:pageBreakBefore w:val="0"/>
        <w:widowControl w:val="0"/>
        <w:numPr>
          <w:ilvl w:val="0"/>
          <w:numId w:val="15"/>
        </w:numPr>
        <w:tabs>
          <w:tab w:val="left" w:pos="540"/>
        </w:tabs>
        <w:kinsoku/>
        <w:wordWrap/>
        <w:overflowPunct/>
        <w:topLinePunct w:val="0"/>
        <w:autoSpaceDE/>
        <w:autoSpaceDN/>
        <w:bidi w:val="0"/>
        <w:adjustRightInd w:val="0"/>
        <w:snapToGrid/>
        <w:spacing w:line="440" w:lineRule="exact"/>
        <w:ind w:firstLine="4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本合同约定次数的服务内容，中标人进行相应服务时应形成台账（台账须包含水印相机照片，清晰显示地点、工作人员、时间等），招标人不定期检查台账，如发现中标人服务未达到相应次数要求、台账弄虚作假、台账不完整等情况的，招标人</w:t>
      </w:r>
      <w:r>
        <w:rPr>
          <w:rFonts w:hint="eastAsia" w:ascii="宋体" w:hAnsi="宋体" w:eastAsia="宋体" w:cs="宋体"/>
          <w:b w:val="0"/>
          <w:bCs w:val="0"/>
          <w:color w:val="auto"/>
          <w:sz w:val="24"/>
          <w:szCs w:val="24"/>
          <w:highlight w:val="none"/>
        </w:rPr>
        <w:t>有权限期</w:t>
      </w: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整改，并有权扣除当月服务费</w:t>
      </w:r>
      <w:r>
        <w:rPr>
          <w:rFonts w:hint="eastAsia" w:ascii="宋体" w:hAnsi="宋体" w:eastAsia="宋体" w:cs="宋体"/>
          <w:b w:val="0"/>
          <w:bCs w:val="0"/>
          <w:color w:val="auto"/>
          <w:sz w:val="24"/>
          <w:szCs w:val="24"/>
          <w:highlight w:val="none"/>
          <w:lang w:eastAsia="zh-CN"/>
        </w:rPr>
        <w:t>的</w:t>
      </w:r>
      <w:r>
        <w:rPr>
          <w:rFonts w:hint="eastAsia" w:ascii="宋体" w:hAnsi="宋体"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前述扣罚不足以弥补</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实际损失的，</w:t>
      </w: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还应当赔偿</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全部损失。</w:t>
      </w:r>
    </w:p>
    <w:p>
      <w:pPr>
        <w:keepNext w:val="0"/>
        <w:keepLines w:val="0"/>
        <w:pageBreakBefore w:val="0"/>
        <w:widowControl w:val="0"/>
        <w:numPr>
          <w:ilvl w:val="0"/>
          <w:numId w:val="15"/>
        </w:numPr>
        <w:tabs>
          <w:tab w:val="left" w:pos="540"/>
        </w:tabs>
        <w:kinsoku/>
        <w:wordWrap/>
        <w:overflowPunct/>
        <w:topLinePunct w:val="0"/>
        <w:autoSpaceDE/>
        <w:autoSpaceDN/>
        <w:bidi w:val="0"/>
        <w:adjustRightInd w:val="0"/>
        <w:snapToGrid/>
        <w:spacing w:line="440" w:lineRule="exact"/>
        <w:ind w:firstLine="420"/>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服务未达到本合同约定</w:t>
      </w:r>
      <w:r>
        <w:rPr>
          <w:rFonts w:hint="eastAsia" w:ascii="宋体" w:hAnsi="宋体" w:eastAsia="宋体" w:cs="宋体"/>
          <w:color w:val="auto"/>
          <w:sz w:val="24"/>
          <w:szCs w:val="24"/>
          <w:highlight w:val="none"/>
          <w:lang w:eastAsia="zh-CN"/>
        </w:rPr>
        <w:t>要求</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有权要求</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限期整改，经</w:t>
      </w:r>
      <w:r>
        <w:rPr>
          <w:rFonts w:hint="eastAsia" w:ascii="宋体" w:hAnsi="宋体" w:eastAsia="宋体" w:cs="宋体"/>
          <w:color w:val="auto"/>
          <w:sz w:val="24"/>
          <w:szCs w:val="24"/>
          <w:highlight w:val="none"/>
          <w:lang w:eastAsia="zh-CN"/>
        </w:rPr>
        <w:t>招标人书面</w:t>
      </w:r>
      <w:r>
        <w:rPr>
          <w:rFonts w:hint="eastAsia" w:ascii="宋体" w:hAnsi="宋体" w:eastAsia="宋体" w:cs="宋体"/>
          <w:color w:val="auto"/>
          <w:sz w:val="24"/>
          <w:szCs w:val="24"/>
          <w:highlight w:val="none"/>
        </w:rPr>
        <w:t>通知后</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未按</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要求整改或拒绝整改的，</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有权单方解除本合同，并有权要求</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支付相当于本合同总额</w:t>
      </w: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%的违约金；前述违约金不足以弥补</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实际损失的，</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还应当赔偿</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全部损失。</w:t>
      </w:r>
    </w:p>
    <w:p>
      <w:pPr>
        <w:keepNext w:val="0"/>
        <w:keepLines w:val="0"/>
        <w:pageBreakBefore w:val="0"/>
        <w:widowControl w:val="0"/>
        <w:numPr>
          <w:ilvl w:val="0"/>
          <w:numId w:val="15"/>
        </w:numPr>
        <w:tabs>
          <w:tab w:val="left" w:pos="540"/>
        </w:tabs>
        <w:kinsoku/>
        <w:wordWrap/>
        <w:overflowPunct/>
        <w:topLinePunct w:val="0"/>
        <w:autoSpaceDE/>
        <w:autoSpaceDN/>
        <w:bidi w:val="0"/>
        <w:adjustRightInd w:val="0"/>
        <w:snapToGrid/>
        <w:spacing w:line="440" w:lineRule="exact"/>
        <w:ind w:firstLine="420"/>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lang w:eastAsia="zh-CN"/>
        </w:rPr>
        <w:t>因中标人责任导致发生重大安全事故的，招标人</w:t>
      </w:r>
      <w:r>
        <w:rPr>
          <w:rFonts w:hint="eastAsia" w:ascii="宋体" w:hAnsi="宋体" w:eastAsia="宋体" w:cs="宋体"/>
          <w:color w:val="auto"/>
          <w:sz w:val="24"/>
          <w:szCs w:val="24"/>
          <w:highlight w:val="none"/>
        </w:rPr>
        <w:t>有权单方解除本合同，并有权要求</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支付相当于本合同总额</w:t>
      </w: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%的违约金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前述违约金不足以弥补</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实际损失的，</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还应当赔偿</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全部损失。</w:t>
      </w:r>
    </w:p>
    <w:p>
      <w:pPr>
        <w:keepNext w:val="0"/>
        <w:keepLines w:val="0"/>
        <w:pageBreakBefore w:val="0"/>
        <w:widowControl w:val="0"/>
        <w:numPr>
          <w:ilvl w:val="0"/>
          <w:numId w:val="11"/>
        </w:numPr>
        <w:tabs>
          <w:tab w:val="left" w:pos="540"/>
        </w:tabs>
        <w:kinsoku/>
        <w:wordWrap/>
        <w:overflowPunct/>
        <w:topLinePunct w:val="0"/>
        <w:autoSpaceDE/>
        <w:autoSpaceDN/>
        <w:bidi w:val="0"/>
        <w:adjustRightInd w:val="0"/>
        <w:snapToGrid/>
        <w:spacing w:line="44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保密要求</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spacing w:line="440" w:lineRule="exact"/>
        <w:ind w:leftChars="0"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中标人应对本项目实施过程中涉及的数据资源、文件资料及合同具体内容等</w:t>
      </w:r>
      <w:r>
        <w:rPr>
          <w:rFonts w:hint="eastAsia" w:ascii="宋体" w:hAnsi="宋体" w:eastAsia="宋体" w:cs="宋体"/>
          <w:color w:val="auto"/>
          <w:sz w:val="24"/>
          <w:szCs w:val="24"/>
          <w:highlight w:val="none"/>
          <w:lang w:val="en-US" w:eastAsia="zh-CN"/>
        </w:rPr>
        <w:t>所有关于本</w:t>
      </w: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资料进行保密。未经过</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书面文件许可，中标人不得以任何方式向第三方透露，且保密责任不因合同的中止或解除而失效。如有关技术文档和数据资料被泄密，给</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造成损失的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中标人应承担赔偿责任；构成犯罪的，依法追究中标人刑事责任。</w:t>
      </w:r>
    </w:p>
    <w:p>
      <w:pPr>
        <w:keepNext w:val="0"/>
        <w:keepLines w:val="0"/>
        <w:pageBreakBefore w:val="0"/>
        <w:widowControl w:val="0"/>
        <w:numPr>
          <w:ilvl w:val="0"/>
          <w:numId w:val="11"/>
        </w:numPr>
        <w:tabs>
          <w:tab w:val="left" w:pos="540"/>
        </w:tabs>
        <w:kinsoku/>
        <w:wordWrap/>
        <w:overflowPunct/>
        <w:topLinePunct w:val="0"/>
        <w:autoSpaceDE/>
        <w:autoSpaceDN/>
        <w:bidi w:val="0"/>
        <w:adjustRightInd w:val="0"/>
        <w:snapToGrid/>
        <w:spacing w:line="44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付款方式</w:t>
      </w:r>
    </w:p>
    <w:p>
      <w:pPr>
        <w:keepNext w:val="0"/>
        <w:keepLines w:val="0"/>
        <w:pageBreakBefore w:val="0"/>
        <w:widowControl w:val="0"/>
        <w:numPr>
          <w:ilvl w:val="0"/>
          <w:numId w:val="16"/>
        </w:numPr>
        <w:tabs>
          <w:tab w:val="left" w:pos="23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由采购人按下列程序付款：</w:t>
      </w:r>
    </w:p>
    <w:p>
      <w:pPr>
        <w:keepNext w:val="0"/>
        <w:keepLines w:val="0"/>
        <w:pageBreakBefore w:val="0"/>
        <w:widowControl w:val="0"/>
        <w:numPr>
          <w:ilvl w:val="0"/>
          <w:numId w:val="17"/>
        </w:numPr>
        <w:tabs>
          <w:tab w:val="left" w:pos="0"/>
          <w:tab w:val="clear" w:pos="425"/>
        </w:tabs>
        <w:kinsoku/>
        <w:wordWrap/>
        <w:overflowPunct/>
        <w:topLinePunct w:val="0"/>
        <w:autoSpaceDE/>
        <w:autoSpaceDN/>
        <w:bidi w:val="0"/>
        <w:adjustRightInd w:val="0"/>
        <w:snapToGrid/>
        <w:spacing w:line="440" w:lineRule="exact"/>
        <w:ind w:left="5" w:leftChars="0" w:firstLine="415"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本项目</w:t>
      </w:r>
      <w:r>
        <w:rPr>
          <w:rFonts w:hint="eastAsia" w:ascii="宋体" w:hAnsi="宋体" w:eastAsia="宋体" w:cs="宋体"/>
          <w:bCs/>
          <w:color w:val="auto"/>
          <w:sz w:val="24"/>
          <w:szCs w:val="24"/>
          <w:highlight w:val="none"/>
          <w:lang w:val="en-US" w:eastAsia="zh-CN"/>
        </w:rPr>
        <w:t>物业</w:t>
      </w:r>
      <w:r>
        <w:rPr>
          <w:rFonts w:hint="eastAsia" w:ascii="宋体" w:hAnsi="宋体" w:eastAsia="宋体" w:cs="宋体"/>
          <w:bCs/>
          <w:color w:val="auto"/>
          <w:sz w:val="24"/>
          <w:szCs w:val="24"/>
          <w:highlight w:val="none"/>
          <w:lang w:eastAsia="zh-CN"/>
        </w:rPr>
        <w:t>服务费用按</w:t>
      </w:r>
      <w:r>
        <w:rPr>
          <w:rFonts w:hint="eastAsia" w:ascii="宋体" w:hAnsi="宋体" w:eastAsia="宋体" w:cs="宋体"/>
          <w:bCs/>
          <w:color w:val="auto"/>
          <w:sz w:val="24"/>
          <w:szCs w:val="24"/>
          <w:highlight w:val="none"/>
          <w:lang w:val="en-US" w:eastAsia="zh-CN"/>
        </w:rPr>
        <w:t>月度</w:t>
      </w:r>
      <w:r>
        <w:rPr>
          <w:rFonts w:hint="eastAsia" w:ascii="宋体" w:hAnsi="宋体" w:eastAsia="宋体" w:cs="宋体"/>
          <w:bCs/>
          <w:color w:val="auto"/>
          <w:sz w:val="24"/>
          <w:szCs w:val="24"/>
          <w:highlight w:val="none"/>
          <w:lang w:eastAsia="zh-CN"/>
        </w:rPr>
        <w:t>支付。</w:t>
      </w:r>
      <w:r>
        <w:rPr>
          <w:rFonts w:hint="eastAsia" w:ascii="宋体" w:hAnsi="宋体" w:eastAsia="宋体" w:cs="宋体"/>
          <w:bCs/>
          <w:color w:val="auto"/>
          <w:sz w:val="24"/>
          <w:szCs w:val="24"/>
          <w:highlight w:val="none"/>
          <w:lang w:val="en-US" w:eastAsia="zh-CN"/>
        </w:rPr>
        <w:t>中标人提供物业服务的当月费用，招标人于次月以银行转账方式支付</w:t>
      </w:r>
      <w:r>
        <w:rPr>
          <w:rFonts w:hint="eastAsia" w:ascii="宋体" w:hAnsi="宋体" w:eastAsia="宋体" w:cs="宋体"/>
          <w:bCs/>
          <w:color w:val="auto"/>
          <w:sz w:val="24"/>
          <w:szCs w:val="24"/>
          <w:highlight w:val="none"/>
          <w:lang w:eastAsia="zh-CN"/>
        </w:rPr>
        <w:t>。</w:t>
      </w:r>
    </w:p>
    <w:p>
      <w:pPr>
        <w:keepNext w:val="0"/>
        <w:keepLines w:val="0"/>
        <w:pageBreakBefore w:val="0"/>
        <w:widowControl w:val="0"/>
        <w:numPr>
          <w:ilvl w:val="0"/>
          <w:numId w:val="17"/>
        </w:numPr>
        <w:tabs>
          <w:tab w:val="left" w:pos="0"/>
          <w:tab w:val="clear" w:pos="425"/>
        </w:tabs>
        <w:kinsoku/>
        <w:wordWrap/>
        <w:overflowPunct/>
        <w:topLinePunct w:val="0"/>
        <w:autoSpaceDE/>
        <w:autoSpaceDN/>
        <w:bidi w:val="0"/>
        <w:adjustRightInd w:val="0"/>
        <w:snapToGrid/>
        <w:spacing w:line="440" w:lineRule="exact"/>
        <w:ind w:left="5" w:leftChars="0" w:firstLine="415" w:firstLineChars="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招标人于每月【10】日前完成对中标人上月服务的考核，并向中标人出具经双方确认的《月度考核评分表》及《服务结算单》。</w:t>
      </w:r>
    </w:p>
    <w:p>
      <w:pPr>
        <w:keepNext w:val="0"/>
        <w:keepLines w:val="0"/>
        <w:pageBreakBefore w:val="0"/>
        <w:widowControl w:val="0"/>
        <w:numPr>
          <w:ilvl w:val="0"/>
          <w:numId w:val="17"/>
        </w:numPr>
        <w:tabs>
          <w:tab w:val="left" w:pos="0"/>
          <w:tab w:val="clear" w:pos="425"/>
        </w:tabs>
        <w:kinsoku/>
        <w:wordWrap/>
        <w:overflowPunct/>
        <w:topLinePunct w:val="0"/>
        <w:autoSpaceDE/>
        <w:autoSpaceDN/>
        <w:bidi w:val="0"/>
        <w:adjustRightInd w:val="0"/>
        <w:snapToGrid/>
        <w:spacing w:line="440" w:lineRule="exact"/>
        <w:ind w:left="5" w:leftChars="0" w:firstLine="415" w:firstLineChars="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中标人应于收到前述结算文件后【5】个工作日内，向招标人提交合法有效</w:t>
      </w:r>
      <w:r>
        <w:rPr>
          <w:rFonts w:hint="eastAsia" w:ascii="宋体" w:hAnsi="宋体" w:eastAsia="宋体" w:cs="宋体"/>
          <w:bCs/>
          <w:color w:val="auto"/>
          <w:sz w:val="24"/>
          <w:szCs w:val="24"/>
          <w:highlight w:val="none"/>
          <w:lang w:val="en-US" w:eastAsia="zh-CN"/>
        </w:rPr>
        <w:t>的</w:t>
      </w:r>
      <w:r>
        <w:rPr>
          <w:rFonts w:hint="eastAsia" w:ascii="宋体" w:hAnsi="宋体" w:eastAsia="宋体" w:cs="宋体"/>
          <w:bCs/>
          <w:color w:val="auto"/>
          <w:sz w:val="24"/>
          <w:szCs w:val="24"/>
          <w:highlight w:val="none"/>
          <w:lang w:eastAsia="zh-CN"/>
        </w:rPr>
        <w:t>增值税专用发票（税率6%）、付款申请书及考核材料等完整请款资料。招标人在收到全部合规请款材料后 20 个自然日内，向中标人支付对应服务费。</w:t>
      </w:r>
    </w:p>
    <w:p>
      <w:pPr>
        <w:keepNext w:val="0"/>
        <w:keepLines w:val="0"/>
        <w:pageBreakBefore w:val="0"/>
        <w:widowControl w:val="0"/>
        <w:numPr>
          <w:ilvl w:val="0"/>
          <w:numId w:val="17"/>
        </w:numPr>
        <w:tabs>
          <w:tab w:val="left" w:pos="0"/>
          <w:tab w:val="clear" w:pos="425"/>
        </w:tabs>
        <w:kinsoku/>
        <w:wordWrap/>
        <w:overflowPunct/>
        <w:topLinePunct w:val="0"/>
        <w:autoSpaceDE/>
        <w:autoSpaceDN/>
        <w:bidi w:val="0"/>
        <w:adjustRightInd w:val="0"/>
        <w:snapToGrid/>
        <w:spacing w:line="440" w:lineRule="exact"/>
        <w:ind w:left="5" w:leftChars="0" w:firstLine="415"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应付月度服务费用=结合每月的</w:t>
      </w:r>
      <w:r>
        <w:rPr>
          <w:rFonts w:hint="eastAsia" w:ascii="宋体" w:hAnsi="宋体" w:eastAsia="宋体" w:cs="宋体"/>
          <w:b w:val="0"/>
          <w:bCs w:val="0"/>
          <w:color w:val="auto"/>
          <w:sz w:val="24"/>
          <w:szCs w:val="24"/>
          <w:highlight w:val="none"/>
        </w:rPr>
        <w:t>《月度考核评分表》</w:t>
      </w:r>
      <w:r>
        <w:rPr>
          <w:rFonts w:hint="eastAsia" w:ascii="宋体" w:hAnsi="宋体" w:eastAsia="宋体" w:cs="宋体"/>
          <w:bCs/>
          <w:color w:val="auto"/>
          <w:sz w:val="24"/>
          <w:szCs w:val="24"/>
          <w:highlight w:val="none"/>
        </w:rPr>
        <w:t>（如有扣罚对应扣除费用再进行支付）。</w:t>
      </w:r>
    </w:p>
    <w:p>
      <w:pPr>
        <w:keepNext w:val="0"/>
        <w:keepLines w:val="0"/>
        <w:pageBreakBefore w:val="0"/>
        <w:widowControl w:val="0"/>
        <w:numPr>
          <w:ilvl w:val="0"/>
          <w:numId w:val="16"/>
        </w:numPr>
        <w:tabs>
          <w:tab w:val="left" w:pos="23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中标人</w:t>
      </w:r>
      <w:r>
        <w:rPr>
          <w:rFonts w:hint="eastAsia" w:ascii="宋体" w:hAnsi="宋体" w:eastAsia="宋体" w:cs="宋体"/>
          <w:bCs/>
          <w:color w:val="auto"/>
          <w:sz w:val="24"/>
          <w:szCs w:val="24"/>
          <w:highlight w:val="none"/>
        </w:rPr>
        <w:t>凭以下有效文件与</w:t>
      </w:r>
      <w:r>
        <w:rPr>
          <w:rFonts w:hint="eastAsia" w:ascii="宋体" w:hAnsi="宋体" w:eastAsia="宋体" w:cs="宋体"/>
          <w:bCs/>
          <w:color w:val="auto"/>
          <w:sz w:val="24"/>
          <w:szCs w:val="24"/>
          <w:highlight w:val="none"/>
          <w:lang w:eastAsia="zh-CN"/>
        </w:rPr>
        <w:t>招标人</w:t>
      </w:r>
      <w:r>
        <w:rPr>
          <w:rFonts w:hint="eastAsia" w:ascii="宋体" w:hAnsi="宋体" w:eastAsia="宋体" w:cs="宋体"/>
          <w:bCs/>
          <w:color w:val="auto"/>
          <w:sz w:val="24"/>
          <w:szCs w:val="24"/>
          <w:highlight w:val="none"/>
        </w:rPr>
        <w:t>结算：</w:t>
      </w:r>
    </w:p>
    <w:p>
      <w:pPr>
        <w:keepNext w:val="0"/>
        <w:keepLines w:val="0"/>
        <w:pageBreakBefore w:val="0"/>
        <w:widowControl w:val="0"/>
        <w:numPr>
          <w:ilvl w:val="0"/>
          <w:numId w:val="18"/>
        </w:numPr>
        <w:tabs>
          <w:tab w:val="left" w:pos="0"/>
          <w:tab w:val="clear" w:pos="425"/>
        </w:tabs>
        <w:kinsoku/>
        <w:wordWrap/>
        <w:overflowPunct/>
        <w:topLinePunct w:val="0"/>
        <w:autoSpaceDE/>
        <w:autoSpaceDN/>
        <w:bidi w:val="0"/>
        <w:adjustRightInd w:val="0"/>
        <w:snapToGrid/>
        <w:spacing w:line="440" w:lineRule="exact"/>
        <w:ind w:left="5" w:leftChars="0" w:firstLine="415"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合同；</w:t>
      </w:r>
    </w:p>
    <w:p>
      <w:pPr>
        <w:keepNext w:val="0"/>
        <w:keepLines w:val="0"/>
        <w:pageBreakBefore w:val="0"/>
        <w:widowControl w:val="0"/>
        <w:numPr>
          <w:ilvl w:val="0"/>
          <w:numId w:val="18"/>
        </w:numPr>
        <w:tabs>
          <w:tab w:val="left" w:pos="0"/>
          <w:tab w:val="clear" w:pos="425"/>
        </w:tabs>
        <w:kinsoku/>
        <w:wordWrap/>
        <w:overflowPunct/>
        <w:topLinePunct w:val="0"/>
        <w:autoSpaceDE/>
        <w:autoSpaceDN/>
        <w:bidi w:val="0"/>
        <w:adjustRightInd w:val="0"/>
        <w:snapToGrid/>
        <w:spacing w:line="440" w:lineRule="exact"/>
        <w:ind w:left="5" w:leftChars="0" w:firstLine="415"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中标人</w:t>
      </w:r>
      <w:r>
        <w:rPr>
          <w:rFonts w:hint="eastAsia" w:ascii="宋体" w:hAnsi="宋体" w:eastAsia="宋体" w:cs="宋体"/>
          <w:bCs/>
          <w:color w:val="auto"/>
          <w:sz w:val="24"/>
          <w:szCs w:val="24"/>
          <w:highlight w:val="none"/>
        </w:rPr>
        <w:t>开具的正式发票；</w:t>
      </w:r>
    </w:p>
    <w:p>
      <w:pPr>
        <w:keepNext w:val="0"/>
        <w:keepLines w:val="0"/>
        <w:pageBreakBefore w:val="0"/>
        <w:widowControl w:val="0"/>
        <w:numPr>
          <w:ilvl w:val="0"/>
          <w:numId w:val="18"/>
        </w:numPr>
        <w:tabs>
          <w:tab w:val="left" w:pos="0"/>
          <w:tab w:val="clear" w:pos="425"/>
        </w:tabs>
        <w:kinsoku/>
        <w:wordWrap/>
        <w:overflowPunct/>
        <w:topLinePunct w:val="0"/>
        <w:autoSpaceDE/>
        <w:autoSpaceDN/>
        <w:bidi w:val="0"/>
        <w:adjustRightInd w:val="0"/>
        <w:snapToGrid/>
        <w:spacing w:line="440" w:lineRule="exact"/>
        <w:ind w:left="5" w:leftChars="0" w:firstLine="415"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付款申请书</w:t>
      </w:r>
      <w:r>
        <w:rPr>
          <w:rFonts w:hint="eastAsia" w:ascii="宋体" w:hAnsi="宋体" w:eastAsia="宋体" w:cs="宋体"/>
          <w:bCs/>
          <w:color w:val="auto"/>
          <w:sz w:val="24"/>
          <w:szCs w:val="24"/>
          <w:highlight w:val="none"/>
        </w:rPr>
        <w:t>（加盖</w:t>
      </w:r>
      <w:r>
        <w:rPr>
          <w:rFonts w:hint="eastAsia" w:ascii="宋体" w:hAnsi="宋体" w:eastAsia="宋体" w:cs="宋体"/>
          <w:bCs/>
          <w:color w:val="auto"/>
          <w:sz w:val="24"/>
          <w:szCs w:val="24"/>
          <w:highlight w:val="none"/>
          <w:lang w:val="en-US" w:eastAsia="zh-CN"/>
        </w:rPr>
        <w:t>中标人</w:t>
      </w:r>
      <w:r>
        <w:rPr>
          <w:rFonts w:hint="eastAsia" w:ascii="宋体" w:hAnsi="宋体" w:eastAsia="宋体" w:cs="宋体"/>
          <w:bCs/>
          <w:color w:val="auto"/>
          <w:sz w:val="24"/>
          <w:szCs w:val="24"/>
          <w:highlight w:val="none"/>
        </w:rPr>
        <w:t>公章）；</w:t>
      </w:r>
    </w:p>
    <w:p>
      <w:pPr>
        <w:keepNext w:val="0"/>
        <w:keepLines w:val="0"/>
        <w:pageBreakBefore w:val="0"/>
        <w:widowControl w:val="0"/>
        <w:numPr>
          <w:ilvl w:val="0"/>
          <w:numId w:val="18"/>
        </w:numPr>
        <w:tabs>
          <w:tab w:val="left" w:pos="0"/>
          <w:tab w:val="clear" w:pos="425"/>
        </w:tabs>
        <w:kinsoku/>
        <w:wordWrap/>
        <w:overflowPunct/>
        <w:topLinePunct w:val="0"/>
        <w:autoSpaceDE/>
        <w:autoSpaceDN/>
        <w:bidi w:val="0"/>
        <w:adjustRightInd w:val="0"/>
        <w:snapToGrid/>
        <w:spacing w:line="440" w:lineRule="exact"/>
        <w:ind w:left="5" w:leftChars="0" w:firstLine="415"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中标通知书；</w:t>
      </w:r>
    </w:p>
    <w:p>
      <w:pPr>
        <w:keepNext w:val="0"/>
        <w:keepLines w:val="0"/>
        <w:pageBreakBefore w:val="0"/>
        <w:widowControl w:val="0"/>
        <w:numPr>
          <w:ilvl w:val="0"/>
          <w:numId w:val="18"/>
        </w:numPr>
        <w:tabs>
          <w:tab w:val="left" w:pos="0"/>
          <w:tab w:val="clear" w:pos="425"/>
        </w:tabs>
        <w:kinsoku/>
        <w:wordWrap/>
        <w:overflowPunct/>
        <w:topLinePunct w:val="0"/>
        <w:autoSpaceDE/>
        <w:autoSpaceDN/>
        <w:bidi w:val="0"/>
        <w:adjustRightInd w:val="0"/>
        <w:snapToGrid/>
        <w:spacing w:line="440" w:lineRule="exact"/>
        <w:ind w:left="5" w:leftChars="0" w:firstLine="415"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《月度考核评分表》</w:t>
      </w:r>
      <w:r>
        <w:rPr>
          <w:rFonts w:hint="eastAsia" w:ascii="宋体" w:hAnsi="宋体" w:eastAsia="宋体" w:cs="宋体"/>
          <w:bCs/>
          <w:color w:val="auto"/>
          <w:sz w:val="24"/>
          <w:szCs w:val="24"/>
          <w:highlight w:val="none"/>
          <w:lang w:eastAsia="zh-CN"/>
        </w:rPr>
        <w:t>；</w:t>
      </w:r>
    </w:p>
    <w:p>
      <w:pPr>
        <w:keepNext w:val="0"/>
        <w:keepLines w:val="0"/>
        <w:pageBreakBefore w:val="0"/>
        <w:widowControl w:val="0"/>
        <w:numPr>
          <w:ilvl w:val="0"/>
          <w:numId w:val="18"/>
        </w:numPr>
        <w:tabs>
          <w:tab w:val="left" w:pos="0"/>
          <w:tab w:val="clear" w:pos="425"/>
        </w:tabs>
        <w:kinsoku/>
        <w:wordWrap/>
        <w:overflowPunct/>
        <w:topLinePunct w:val="0"/>
        <w:autoSpaceDE/>
        <w:autoSpaceDN/>
        <w:bidi w:val="0"/>
        <w:adjustRightInd w:val="0"/>
        <w:snapToGrid/>
        <w:spacing w:line="440" w:lineRule="exact"/>
        <w:ind w:left="5" w:leftChars="0" w:firstLine="415"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双方确认的服务结算单。</w:t>
      </w:r>
    </w:p>
    <w:p>
      <w:pPr>
        <w:keepNext w:val="0"/>
        <w:keepLines w:val="0"/>
        <w:pageBreakBefore w:val="0"/>
        <w:widowControl w:val="0"/>
        <w:numPr>
          <w:ilvl w:val="0"/>
          <w:numId w:val="16"/>
        </w:numPr>
        <w:tabs>
          <w:tab w:val="left" w:pos="23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zh-CN"/>
        </w:rPr>
        <w:t>收款方、出具发票方、合同乙方均必须与中标人名称一致。</w:t>
      </w:r>
    </w:p>
    <w:p>
      <w:pPr>
        <w:rPr>
          <w:b/>
          <w:color w:val="auto"/>
          <w:sz w:val="20"/>
          <w:szCs w:val="20"/>
          <w:u w:val="wave"/>
        </w:rPr>
      </w:pPr>
    </w:p>
    <w:p>
      <w:pPr>
        <w:jc w:val="center"/>
        <w:rPr>
          <w:color w:val="auto"/>
        </w:rPr>
      </w:pPr>
      <w:r>
        <w:rPr>
          <w:color w:val="auto"/>
        </w:rPr>
        <w:br w:type="page"/>
      </w:r>
      <w:bookmarkStart w:id="8" w:name="_Toc66463548"/>
      <w:bookmarkStart w:id="9" w:name="_Toc398852257"/>
      <w:bookmarkStart w:id="10" w:name="_Toc395019917"/>
      <w:r>
        <w:rPr>
          <w:rFonts w:hint="eastAsia" w:ascii="宋体" w:hAnsi="宋体" w:eastAsia="宋体" w:cs="Calibri"/>
          <w:b/>
          <w:bCs/>
          <w:color w:val="auto"/>
          <w:kern w:val="2"/>
          <w:sz w:val="32"/>
          <w:szCs w:val="32"/>
          <w:lang w:val="en-US" w:eastAsia="zh-CN" w:bidi="ar-SA"/>
        </w:rPr>
        <w:t>技术要求</w:t>
      </w:r>
      <w:bookmarkEnd w:id="8"/>
      <w:bookmarkEnd w:id="9"/>
      <w:bookmarkEnd w:id="10"/>
    </w:p>
    <w:p>
      <w:pPr>
        <w:keepNext w:val="0"/>
        <w:keepLines w:val="0"/>
        <w:pageBreakBefore w:val="0"/>
        <w:widowControl w:val="0"/>
        <w:numPr>
          <w:ilvl w:val="0"/>
          <w:numId w:val="19"/>
        </w:numPr>
        <w:tabs>
          <w:tab w:val="left" w:pos="540"/>
        </w:tabs>
        <w:kinsoku/>
        <w:wordWrap/>
        <w:overflowPunct/>
        <w:topLinePunct w:val="0"/>
        <w:autoSpaceDE/>
        <w:autoSpaceDN/>
        <w:bidi w:val="0"/>
        <w:adjustRightInd w:val="0"/>
        <w:snapToGrid/>
        <w:spacing w:line="440" w:lineRule="exact"/>
        <w:textAlignment w:val="auto"/>
        <w:rPr>
          <w:rFonts w:hint="eastAsia" w:ascii="宋体" w:hAnsi="宋体" w:eastAsia="宋体" w:cs="宋体"/>
          <w:b/>
          <w:bCs/>
          <w:color w:val="auto"/>
          <w:sz w:val="24"/>
          <w:szCs w:val="24"/>
          <w:highlight w:val="none"/>
        </w:rPr>
      </w:pPr>
      <w:bookmarkStart w:id="11" w:name="_Toc66463549"/>
      <w:r>
        <w:rPr>
          <w:rFonts w:hint="eastAsia" w:ascii="宋体" w:hAnsi="宋体" w:eastAsia="宋体" w:cs="宋体"/>
          <w:b/>
          <w:bCs/>
          <w:color w:val="auto"/>
          <w:sz w:val="24"/>
          <w:szCs w:val="24"/>
          <w:highlight w:val="none"/>
        </w:rPr>
        <w:t>项目概况</w:t>
      </w:r>
    </w:p>
    <w:p>
      <w:pPr>
        <w:keepNext w:val="0"/>
        <w:keepLines w:val="0"/>
        <w:pageBreakBefore w:val="0"/>
        <w:widowControl w:val="0"/>
        <w:numPr>
          <w:ilvl w:val="0"/>
          <w:numId w:val="20"/>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firstLineChars="0"/>
        <w:jc w:val="left"/>
        <w:textAlignment w:val="auto"/>
        <w:rPr>
          <w:rFonts w:hint="eastAsia" w:ascii="宋体" w:hAnsi="宋体" w:eastAsia="宋体" w:cs="宋体"/>
          <w:b w:val="0"/>
          <w:i w:val="0"/>
          <w:caps w:val="0"/>
          <w:color w:val="auto"/>
          <w:spacing w:val="0"/>
          <w:kern w:val="2"/>
          <w:sz w:val="24"/>
          <w:szCs w:val="24"/>
          <w:highlight w:val="none"/>
          <w:shd w:val="clear"/>
          <w:vertAlign w:val="baseline"/>
          <w:lang w:val="en-US" w:eastAsia="zh-CN" w:bidi="ar"/>
        </w:rPr>
      </w:pPr>
      <w:r>
        <w:rPr>
          <w:rFonts w:hint="eastAsia" w:ascii="宋体" w:hAnsi="宋体" w:eastAsia="宋体" w:cs="宋体"/>
          <w:b w:val="0"/>
          <w:i w:val="0"/>
          <w:caps w:val="0"/>
          <w:color w:val="auto"/>
          <w:spacing w:val="0"/>
          <w:kern w:val="2"/>
          <w:sz w:val="24"/>
          <w:szCs w:val="24"/>
          <w:highlight w:val="none"/>
          <w:shd w:val="clear"/>
          <w:vertAlign w:val="baseline"/>
          <w:lang w:val="en-US" w:eastAsia="zh-CN" w:bidi="ar"/>
        </w:rPr>
        <w:t>物业基本信息</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spacing w:line="440" w:lineRule="exact"/>
        <w:ind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i w:val="0"/>
          <w:caps w:val="0"/>
          <w:color w:val="auto"/>
          <w:spacing w:val="0"/>
          <w:kern w:val="2"/>
          <w:sz w:val="24"/>
          <w:szCs w:val="24"/>
          <w:highlight w:val="none"/>
          <w:shd w:val="clear"/>
          <w:vertAlign w:val="baseline"/>
          <w:lang w:val="en-US" w:eastAsia="zh-CN" w:bidi="ar"/>
        </w:rPr>
        <w:t>本项目位于佛山市三水区云东海街道荷湖南路1号，物业类型为文化商业综合体，总建筑面积暂定为193535.47㎡，其中1-6座建筑面积暂定为104406.61㎡，地下停车场面积暂定为30895.08㎡，户外广场面积暂定为58232.78㎡（含绿化面积10126㎡）。</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spacing w:line="440" w:lineRule="exact"/>
        <w:ind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前述面积数据为暂定测算值，最终产权登记面积或实测面积无论较暂定数据发生增减变化，本合同项下物业服务总价款均不作任何调整。投标人已在投标前完成现场踏勘，充分了解项目实际状况，自行承担面积误差带来的相关风险，不得以此为由提出调价、索赔等诉求。</w:t>
      </w:r>
    </w:p>
    <w:p>
      <w:pPr>
        <w:keepNext w:val="0"/>
        <w:keepLines w:val="0"/>
        <w:pageBreakBefore w:val="0"/>
        <w:widowControl w:val="0"/>
        <w:numPr>
          <w:ilvl w:val="0"/>
          <w:numId w:val="20"/>
        </w:numPr>
        <w:pBdr>
          <w:top w:val="none" w:color="auto" w:sz="0" w:space="0"/>
          <w:left w:val="none" w:color="auto" w:sz="0" w:space="0"/>
          <w:bottom w:val="none" w:color="auto" w:sz="0" w:space="0"/>
          <w:right w:val="none" w:color="auto" w:sz="0" w:space="0"/>
        </w:pBdr>
        <w:tabs>
          <w:tab w:val="left" w:pos="540"/>
        </w:tabs>
        <w:kinsoku/>
        <w:wordWrap/>
        <w:overflowPunct/>
        <w:topLinePunct w:val="0"/>
        <w:autoSpaceDE/>
        <w:autoSpaceDN/>
        <w:bidi w:val="0"/>
        <w:adjustRightInd w:val="0"/>
        <w:snapToGrid/>
        <w:spacing w:line="440" w:lineRule="exact"/>
        <w:ind w:leftChars="0" w:firstLine="420" w:firstLineChars="0"/>
        <w:jc w:val="left"/>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物业服务边界范围</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spacing w:line="440" w:lineRule="exact"/>
        <w:ind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本项目物业服务覆盖红线范围内全部公共区域及共用设施设备（不含商户、入驻单位的专有区域），具体服务边界包括但不限于以下内容：</w:t>
      </w:r>
    </w:p>
    <w:p>
      <w:pPr>
        <w:keepNext w:val="0"/>
        <w:keepLines w:val="0"/>
        <w:pageBreakBefore w:val="0"/>
        <w:widowControl w:val="0"/>
        <w:numPr>
          <w:ilvl w:val="1"/>
          <w:numId w:val="21"/>
        </w:numPr>
        <w:pBdr>
          <w:top w:val="none" w:color="auto" w:sz="0" w:space="0"/>
          <w:left w:val="none" w:color="auto" w:sz="0" w:space="0"/>
          <w:bottom w:val="none" w:color="auto" w:sz="0" w:space="0"/>
          <w:right w:val="none" w:color="auto" w:sz="0" w:space="0"/>
        </w:pBdr>
        <w:tabs>
          <w:tab w:val="left" w:pos="540"/>
        </w:tabs>
        <w:kinsoku/>
        <w:wordWrap/>
        <w:overflowPunct/>
        <w:topLinePunct w:val="0"/>
        <w:autoSpaceDE/>
        <w:autoSpaceDN/>
        <w:bidi w:val="0"/>
        <w:adjustRightInd w:val="0"/>
        <w:snapToGrid/>
        <w:spacing w:line="440" w:lineRule="exact"/>
        <w:ind w:leftChars="0" w:firstLine="420" w:firstLineChars="0"/>
        <w:jc w:val="left"/>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建筑物共用部位：房屋承重结构（基础、承重墙体、柱、梁、楼板、屋顶）、抗震结构、户外墙面、门厅、楼梯间、走廊通道、电梯厅、连廊、架空层、设备层、管道井、电缆井、垃圾收集站房、公共卫生间、消防疏散楼梯及前室、屋顶平台、设备机房建筑本体（含配电房、水泵房、空调机房、消防泵房、电梯机房等机房的墙体、地面、门窗、照明、通风等建筑配套部分）。</w:t>
      </w:r>
    </w:p>
    <w:p>
      <w:pPr>
        <w:keepNext w:val="0"/>
        <w:keepLines w:val="0"/>
        <w:pageBreakBefore w:val="0"/>
        <w:widowControl w:val="0"/>
        <w:numPr>
          <w:ilvl w:val="1"/>
          <w:numId w:val="21"/>
        </w:numPr>
        <w:pBdr>
          <w:top w:val="none" w:color="auto" w:sz="0" w:space="0"/>
          <w:left w:val="none" w:color="auto" w:sz="0" w:space="0"/>
          <w:bottom w:val="none" w:color="auto" w:sz="0" w:space="0"/>
          <w:right w:val="none" w:color="auto" w:sz="0" w:space="0"/>
        </w:pBdr>
        <w:tabs>
          <w:tab w:val="left" w:pos="540"/>
        </w:tabs>
        <w:kinsoku/>
        <w:wordWrap/>
        <w:overflowPunct/>
        <w:topLinePunct w:val="0"/>
        <w:autoSpaceDE/>
        <w:autoSpaceDN/>
        <w:bidi w:val="0"/>
        <w:adjustRightInd w:val="0"/>
        <w:snapToGrid/>
        <w:spacing w:line="440" w:lineRule="exact"/>
        <w:ind w:leftChars="0" w:firstLine="420" w:firstLineChars="0"/>
        <w:jc w:val="left"/>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共用设施设备系统：供配电系统（变配电所高压柜、低压柜、电容柜、变压器、备用发电机组及其配套设备、公共照明系统含路灯、景观灯、应急照明、楼层配电箱、供电主干线路、电缆桥架）；给排水系统（生活水泵房、消防水泵房、水箱/水池、给排水主干管网、雨水系统、污水系统、化粪池、隔油池、中水系统&lt;如有&gt;、集水井及排水泵）；中央空调系统（制冷主机、冷却塔、循环水泵、空调末端设备含风机盘管、新风机组、空调风管、空调水系统管网、温控系统）；消防系统（火灾自动报警系统、消防联动控制设备、消火栓系统、自动喷水灭火系统、防排烟系统、消防广播及通讯系统、气体灭火系统、应急照明及疏散指示、灭火器、消防水池/水箱）；电梯系统（客梯、货梯、扶梯及其附属安全装置、五方对讲系统）；其他设施（避雷设施、通风系统、燃气系统&lt;如有&gt;、通信管线及共用天线、背景音乐及紧急广播系统）；安防系统&lt;如有&gt;（视频监控系统含摄像机、录像机、存储设备、入侵报警系统、门禁系统、电子巡更系统、停车场管理系统）。</w:t>
      </w:r>
    </w:p>
    <w:p>
      <w:pPr>
        <w:keepNext w:val="0"/>
        <w:keepLines w:val="0"/>
        <w:pageBreakBefore w:val="0"/>
        <w:widowControl w:val="0"/>
        <w:numPr>
          <w:ilvl w:val="1"/>
          <w:numId w:val="21"/>
        </w:numPr>
        <w:pBdr>
          <w:top w:val="none" w:color="auto" w:sz="0" w:space="0"/>
          <w:left w:val="none" w:color="auto" w:sz="0" w:space="0"/>
          <w:bottom w:val="none" w:color="auto" w:sz="0" w:space="0"/>
          <w:right w:val="none" w:color="auto" w:sz="0" w:space="0"/>
        </w:pBdr>
        <w:tabs>
          <w:tab w:val="left" w:pos="540"/>
        </w:tabs>
        <w:kinsoku/>
        <w:wordWrap/>
        <w:overflowPunct/>
        <w:topLinePunct w:val="0"/>
        <w:autoSpaceDE/>
        <w:autoSpaceDN/>
        <w:bidi w:val="0"/>
        <w:adjustRightInd w:val="0"/>
        <w:snapToGrid/>
        <w:spacing w:line="440" w:lineRule="exact"/>
        <w:ind w:leftChars="0" w:firstLine="420" w:firstLineChars="0"/>
        <w:jc w:val="left"/>
        <w:textAlignment w:val="auto"/>
        <w:rPr>
          <w:rFonts w:hint="eastAsia" w:ascii="宋体" w:hAnsi="宋体" w:eastAsia="宋体" w:cs="宋体"/>
          <w:b w:val="0"/>
          <w:color w:val="auto"/>
          <w:sz w:val="24"/>
          <w:szCs w:val="24"/>
          <w:highlight w:val="none"/>
          <w:lang w:bidi="ar"/>
        </w:rPr>
      </w:pPr>
      <w:r>
        <w:rPr>
          <w:rFonts w:hint="eastAsia" w:ascii="宋体" w:hAnsi="宋体" w:eastAsia="宋体" w:cs="宋体"/>
          <w:color w:val="auto"/>
          <w:sz w:val="24"/>
          <w:szCs w:val="24"/>
          <w:highlight w:val="none"/>
          <w:lang w:val="en-US" w:eastAsia="zh-CN" w:bidi="ar"/>
        </w:rPr>
        <w:t>公共区域：园区道路、广场、停车场、地下车库、绿化用地、景观水体、围墙、大门、岗亭、运动场地、公共休闲设施。</w:t>
      </w:r>
    </w:p>
    <w:p>
      <w:pPr>
        <w:keepNext w:val="0"/>
        <w:keepLines w:val="0"/>
        <w:pageBreakBefore w:val="0"/>
        <w:widowControl w:val="0"/>
        <w:numPr>
          <w:ilvl w:val="0"/>
          <w:numId w:val="19"/>
        </w:numPr>
        <w:tabs>
          <w:tab w:val="left" w:pos="540"/>
        </w:tabs>
        <w:kinsoku/>
        <w:wordWrap/>
        <w:overflowPunct/>
        <w:topLinePunct w:val="0"/>
        <w:autoSpaceDE/>
        <w:autoSpaceDN/>
        <w:bidi w:val="0"/>
        <w:adjustRightInd w:val="0"/>
        <w:snapToGrid/>
        <w:spacing w:line="44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物业服务核心内容</w:t>
      </w:r>
    </w:p>
    <w:p>
      <w:pPr>
        <w:keepNext w:val="0"/>
        <w:keepLines w:val="0"/>
        <w:pageBreakBefore w:val="0"/>
        <w:widowControl w:val="0"/>
        <w:numPr>
          <w:ilvl w:val="0"/>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sz w:val="24"/>
          <w:szCs w:val="24"/>
          <w:highlight w:val="none"/>
        </w:rPr>
      </w:pPr>
      <w:r>
        <w:rPr>
          <w:rFonts w:hint="eastAsia" w:ascii="宋体" w:hAnsi="宋体" w:eastAsia="宋体" w:cs="宋体"/>
          <w:b w:val="0"/>
          <w:i w:val="0"/>
          <w:caps w:val="0"/>
          <w:color w:val="auto"/>
          <w:spacing w:val="0"/>
          <w:kern w:val="2"/>
          <w:sz w:val="24"/>
          <w:szCs w:val="24"/>
          <w:highlight w:val="none"/>
          <w:shd w:val="clear"/>
          <w:vertAlign w:val="baseline"/>
          <w:lang w:val="en-US" w:eastAsia="zh-CN" w:bidi="ar"/>
        </w:rPr>
        <w:t>规章制度与档案资料管理</w:t>
      </w:r>
    </w:p>
    <w:p>
      <w:pPr>
        <w:keepNext w:val="0"/>
        <w:keepLines w:val="0"/>
        <w:pageBreakBefore w:val="0"/>
        <w:widowControl w:val="0"/>
        <w:numPr>
          <w:ilvl w:val="1"/>
          <w:numId w:val="23"/>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投标人须建立健全适配本项目的物业服务管理制度、年度工作计划、各类突发事件应急预案，相关文件须在合同生效后15个工作日内完成编制并报招标人备案后方可实施；</w:t>
      </w:r>
    </w:p>
    <w:p>
      <w:pPr>
        <w:keepNext w:val="0"/>
        <w:keepLines w:val="0"/>
        <w:pageBreakBefore w:val="0"/>
        <w:widowControl w:val="0"/>
        <w:numPr>
          <w:ilvl w:val="1"/>
          <w:numId w:val="23"/>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严格执行24小时值班巡查制度，值班记录完整率须达到100%，项目档案资料差错率控制在1%以内；</w:t>
      </w:r>
    </w:p>
    <w:p>
      <w:pPr>
        <w:keepNext w:val="0"/>
        <w:keepLines w:val="0"/>
        <w:pageBreakBefore w:val="0"/>
        <w:widowControl w:val="0"/>
        <w:numPr>
          <w:ilvl w:val="1"/>
          <w:numId w:val="23"/>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sz w:val="24"/>
          <w:szCs w:val="24"/>
          <w:highlight w:val="none"/>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各类应急预案年度演练次数不得少于2次，演练方案、现场影像、复盘总结等全流程资料须完整存档，随时接受招标人及监管部门检查。</w:t>
      </w:r>
    </w:p>
    <w:p>
      <w:pPr>
        <w:keepNext w:val="0"/>
        <w:keepLines w:val="0"/>
        <w:pageBreakBefore w:val="0"/>
        <w:widowControl w:val="0"/>
        <w:numPr>
          <w:ilvl w:val="0"/>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sz w:val="24"/>
          <w:szCs w:val="24"/>
          <w:highlight w:val="none"/>
          <w:lang w:bidi="ar"/>
        </w:rPr>
      </w:pPr>
      <w:r>
        <w:rPr>
          <w:rFonts w:hint="eastAsia" w:ascii="宋体" w:hAnsi="宋体" w:eastAsia="宋体" w:cs="宋体"/>
          <w:b w:val="0"/>
          <w:i w:val="0"/>
          <w:caps w:val="0"/>
          <w:color w:val="auto"/>
          <w:spacing w:val="0"/>
          <w:kern w:val="2"/>
          <w:sz w:val="24"/>
          <w:szCs w:val="24"/>
          <w:highlight w:val="none"/>
          <w:shd w:val="clear"/>
          <w:vertAlign w:val="baseline"/>
          <w:lang w:val="en-US" w:eastAsia="zh-CN" w:bidi="ar"/>
        </w:rPr>
        <w:t>秩序维护与安全管理</w:t>
      </w:r>
    </w:p>
    <w:p>
      <w:pPr>
        <w:keepNext w:val="0"/>
        <w:keepLines w:val="0"/>
        <w:pageBreakBefore w:val="0"/>
        <w:widowControl w:val="0"/>
        <w:numPr>
          <w:ilvl w:val="1"/>
          <w:numId w:val="24"/>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投标人须制定并严格执行保安管理、消防安全、交通疏导、定点巡逻等专项管理制度，落实24小时不间断巡查机制，主动对接属地公安、消防部门建立联防联控工作机制；</w:t>
      </w:r>
    </w:p>
    <w:p>
      <w:pPr>
        <w:keepNext w:val="0"/>
        <w:keepLines w:val="0"/>
        <w:pageBreakBefore w:val="0"/>
        <w:widowControl w:val="0"/>
        <w:numPr>
          <w:ilvl w:val="1"/>
          <w:numId w:val="24"/>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所有门岗执行24小时值守制度，访客信息登记完整率须达到100%，大件物品离场须凭经承租方/业主方签字确认的《物品放行条》核验放行；</w:t>
      </w:r>
    </w:p>
    <w:p>
      <w:pPr>
        <w:keepNext w:val="0"/>
        <w:keepLines w:val="0"/>
        <w:pageBreakBefore w:val="0"/>
        <w:widowControl w:val="0"/>
        <w:numPr>
          <w:ilvl w:val="1"/>
          <w:numId w:val="24"/>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公共区域巡逻频次不低于每小时1次，每班次巡逻签到点设置不得少于12个，其中4座大剧院作为重点巡逻区域，专属签到点不得少于3个，巡查中发现异常情况须在5分钟内完成上报；</w:t>
      </w:r>
    </w:p>
    <w:p>
      <w:pPr>
        <w:keepNext w:val="0"/>
        <w:keepLines w:val="0"/>
        <w:pageBreakBefore w:val="0"/>
        <w:widowControl w:val="0"/>
        <w:numPr>
          <w:ilvl w:val="1"/>
          <w:numId w:val="24"/>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sz w:val="24"/>
          <w:szCs w:val="24"/>
          <w:highlight w:val="none"/>
          <w:lang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消防系统报警信号触发后，值守人员须在5分钟内完成现场响应，消防设施执行每日巡检制度，巡检记录须现场悬挂公示，接受各方监督。</w:t>
      </w:r>
      <w:r>
        <w:rPr>
          <w:rFonts w:hint="eastAsia" w:ascii="宋体" w:hAnsi="宋体" w:eastAsia="宋体" w:cs="宋体"/>
          <w:i w:val="0"/>
          <w:color w:val="auto"/>
          <w:kern w:val="0"/>
          <w:sz w:val="24"/>
          <w:szCs w:val="24"/>
          <w:highlight w:val="none"/>
          <w:u w:val="none"/>
          <w:lang w:val="en-US" w:eastAsia="zh-CN" w:bidi="ar"/>
        </w:rPr>
        <w:t>特别约定：</w:t>
      </w:r>
      <w:r>
        <w:rPr>
          <w:rFonts w:hint="eastAsia" w:ascii="宋体" w:hAnsi="宋体" w:eastAsia="宋体" w:cs="宋体"/>
          <w:color w:val="auto"/>
          <w:kern w:val="0"/>
          <w:sz w:val="24"/>
          <w:szCs w:val="24"/>
          <w:highlight w:val="none"/>
          <w:u w:val="none"/>
          <w:lang w:bidi="ar"/>
        </w:rPr>
        <w:t>消防系统报警信号</w:t>
      </w:r>
      <w:r>
        <w:rPr>
          <w:rFonts w:hint="eastAsia" w:ascii="宋体" w:hAnsi="宋体" w:eastAsia="宋体" w:cs="宋体"/>
          <w:i w:val="0"/>
          <w:caps w:val="0"/>
          <w:color w:val="auto"/>
          <w:spacing w:val="0"/>
          <w:kern w:val="2"/>
          <w:sz w:val="24"/>
          <w:szCs w:val="24"/>
          <w:highlight w:val="none"/>
          <w:shd w:val="clear"/>
          <w:vertAlign w:val="baseline"/>
          <w:lang w:val="en-US" w:eastAsia="zh-CN" w:bidi="ar"/>
        </w:rPr>
        <w:t>响应包含三水文化中心所有区域，无论是公共区域抑或是私有区域触发消防系统报警信号，中标人均应在前述要求时间内响应。</w:t>
      </w:r>
    </w:p>
    <w:p>
      <w:pPr>
        <w:keepNext w:val="0"/>
        <w:keepLines w:val="0"/>
        <w:pageBreakBefore w:val="0"/>
        <w:widowControl w:val="0"/>
        <w:numPr>
          <w:ilvl w:val="1"/>
          <w:numId w:val="24"/>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sz w:val="24"/>
          <w:szCs w:val="24"/>
          <w:highlight w:val="none"/>
          <w:lang w:bidi="ar"/>
        </w:rPr>
      </w:pPr>
      <w:r>
        <w:rPr>
          <w:rFonts w:hint="eastAsia" w:ascii="宋体" w:hAnsi="宋体" w:eastAsia="宋体" w:cs="宋体"/>
          <w:color w:val="auto"/>
          <w:sz w:val="24"/>
          <w:szCs w:val="24"/>
          <w:highlight w:val="none"/>
          <w:lang w:bidi="ar"/>
        </w:rPr>
        <w:t>未出租、空置的物业视为公共区域，</w:t>
      </w:r>
      <w:r>
        <w:rPr>
          <w:rFonts w:hint="eastAsia" w:ascii="宋体" w:hAnsi="宋体" w:eastAsia="宋体" w:cs="宋体"/>
          <w:color w:val="auto"/>
          <w:sz w:val="24"/>
          <w:szCs w:val="24"/>
          <w:highlight w:val="none"/>
          <w:lang w:eastAsia="zh-CN" w:bidi="ar"/>
        </w:rPr>
        <w:t>中标人</w:t>
      </w:r>
      <w:r>
        <w:rPr>
          <w:rFonts w:hint="eastAsia" w:ascii="宋体" w:hAnsi="宋体" w:eastAsia="宋体" w:cs="宋体"/>
          <w:color w:val="auto"/>
          <w:sz w:val="24"/>
          <w:szCs w:val="24"/>
          <w:highlight w:val="none"/>
          <w:lang w:bidi="ar"/>
        </w:rPr>
        <w:t>应定期对未出租、空置的物业所在区域进行巡查，</w:t>
      </w:r>
      <w:r>
        <w:rPr>
          <w:rFonts w:hint="eastAsia" w:ascii="宋体" w:hAnsi="宋体" w:eastAsia="宋体" w:cs="宋体"/>
          <w:color w:val="auto"/>
          <w:sz w:val="24"/>
          <w:szCs w:val="24"/>
          <w:highlight w:val="none"/>
          <w:lang w:eastAsia="zh-CN" w:bidi="ar"/>
        </w:rPr>
        <w:t>维护秩序及安全</w:t>
      </w:r>
      <w:r>
        <w:rPr>
          <w:rFonts w:hint="eastAsia" w:ascii="宋体" w:hAnsi="宋体" w:eastAsia="宋体" w:cs="宋体"/>
          <w:color w:val="auto"/>
          <w:sz w:val="24"/>
          <w:szCs w:val="24"/>
          <w:highlight w:val="none"/>
          <w:lang w:bidi="ar"/>
        </w:rPr>
        <w:t>。</w:t>
      </w:r>
    </w:p>
    <w:p>
      <w:pPr>
        <w:keepNext w:val="0"/>
        <w:keepLines w:val="0"/>
        <w:pageBreakBefore w:val="0"/>
        <w:widowControl w:val="0"/>
        <w:numPr>
          <w:ilvl w:val="0"/>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清洁保洁服务</w:t>
      </w:r>
    </w:p>
    <w:p>
      <w:pPr>
        <w:keepNext w:val="0"/>
        <w:keepLines w:val="0"/>
        <w:pageBreakBefore w:val="0"/>
        <w:widowControl w:val="0"/>
        <w:numPr>
          <w:ilvl w:val="1"/>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室外公共区域地面须在每日08:30前完成首次全面清扫，后续每1小时开展一次巡回保洁，每月完成1次全面冲洗作业；</w:t>
      </w:r>
    </w:p>
    <w:p>
      <w:pPr>
        <w:keepNext w:val="0"/>
        <w:keepLines w:val="0"/>
        <w:pageBreakBefore w:val="0"/>
        <w:widowControl w:val="0"/>
        <w:numPr>
          <w:ilvl w:val="1"/>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室内公共区域每日开展不少于1次全面清洁，公共区域垃圾桶内垃圾装载量不得超过容积的4/5，做到及时清运、无满溢；</w:t>
      </w:r>
    </w:p>
    <w:p>
      <w:pPr>
        <w:keepNext w:val="0"/>
        <w:keepLines w:val="0"/>
        <w:pageBreakBefore w:val="0"/>
        <w:widowControl w:val="0"/>
        <w:numPr>
          <w:ilvl w:val="1"/>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地下停车场每日开展巡回清扫，每周完成1次全面除尘作业，每月完成1次全面冲洗或深度拖地；</w:t>
      </w:r>
    </w:p>
    <w:p>
      <w:pPr>
        <w:keepNext w:val="0"/>
        <w:keepLines w:val="0"/>
        <w:pageBreakBefore w:val="0"/>
        <w:widowControl w:val="0"/>
        <w:numPr>
          <w:ilvl w:val="1"/>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公共区域各类设施设备表面每周完成1次擦抹作业，确保无积尘、无明显污渍、无外观破损；</w:t>
      </w:r>
    </w:p>
    <w:p>
      <w:pPr>
        <w:keepNext w:val="0"/>
        <w:keepLines w:val="0"/>
        <w:pageBreakBefore w:val="0"/>
        <w:widowControl w:val="0"/>
        <w:numPr>
          <w:ilvl w:val="1"/>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公共排水沟每月完成1次冲洗作业，每年汛期前须完成全管网全面疏通，避免积水堵塞；</w:t>
      </w:r>
    </w:p>
    <w:p>
      <w:pPr>
        <w:keepNext w:val="0"/>
        <w:keepLines w:val="0"/>
        <w:pageBreakBefore w:val="0"/>
        <w:widowControl w:val="0"/>
        <w:numPr>
          <w:ilvl w:val="1"/>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sz w:val="24"/>
          <w:szCs w:val="24"/>
          <w:highlight w:val="none"/>
          <w:lang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装修垃圾须在产生后48小时内完成清运，临时堆放点须设置硬质围挡并全覆盖，避免扬尘污染。</w:t>
      </w:r>
    </w:p>
    <w:p>
      <w:pPr>
        <w:keepNext w:val="0"/>
        <w:keepLines w:val="0"/>
        <w:pageBreakBefore w:val="0"/>
        <w:widowControl w:val="0"/>
        <w:numPr>
          <w:ilvl w:val="1"/>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sz w:val="24"/>
          <w:szCs w:val="24"/>
          <w:highlight w:val="none"/>
          <w:lang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未出租、空置的物业视为公共区域，中标人应定期对未出租、空置的物业所在区域进行清洁，保持未出租、空置整洁。</w:t>
      </w:r>
    </w:p>
    <w:p>
      <w:pPr>
        <w:keepNext w:val="0"/>
        <w:keepLines w:val="0"/>
        <w:pageBreakBefore w:val="0"/>
        <w:widowControl w:val="0"/>
        <w:numPr>
          <w:ilvl w:val="0"/>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sz w:val="24"/>
          <w:szCs w:val="24"/>
          <w:highlight w:val="none"/>
        </w:rPr>
      </w:pPr>
      <w:r>
        <w:rPr>
          <w:rFonts w:hint="eastAsia" w:ascii="宋体" w:hAnsi="宋体" w:eastAsia="宋体" w:cs="宋体"/>
          <w:i w:val="0"/>
          <w:caps w:val="0"/>
          <w:color w:val="auto"/>
          <w:spacing w:val="0"/>
          <w:sz w:val="24"/>
          <w:szCs w:val="24"/>
          <w:highlight w:val="none"/>
        </w:rPr>
        <w:t>绿化养护服务</w:t>
      </w:r>
    </w:p>
    <w:p>
      <w:pPr>
        <w:keepNext w:val="0"/>
        <w:keepLines w:val="0"/>
        <w:pageBreakBefore w:val="0"/>
        <w:widowControl w:val="0"/>
        <w:numPr>
          <w:ilvl w:val="1"/>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园区乔木每年完成2次规范修剪，分别为冬季整形修剪、台风季前疏枝修剪，乔木存活率须不低于98%；</w:t>
      </w:r>
    </w:p>
    <w:p>
      <w:pPr>
        <w:keepNext w:val="0"/>
        <w:keepLines w:val="0"/>
        <w:pageBreakBefore w:val="0"/>
        <w:widowControl w:val="0"/>
        <w:numPr>
          <w:ilvl w:val="1"/>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草坪年度修剪次数控制在8-10次，草坪覆盖率不低于90%，杂草占比控制在5%以内；</w:t>
      </w:r>
    </w:p>
    <w:p>
      <w:pPr>
        <w:keepNext w:val="0"/>
        <w:keepLines w:val="0"/>
        <w:pageBreakBefore w:val="0"/>
        <w:widowControl w:val="0"/>
        <w:numPr>
          <w:ilvl w:val="1"/>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病虫害专项巡查每月开展1次，发现病虫害隐患后须在3日内完成防治作业，优先选用低毒环保药剂，施药前须提前向园区内相关方发布公告；</w:t>
      </w:r>
    </w:p>
    <w:p>
      <w:pPr>
        <w:keepNext w:val="0"/>
        <w:keepLines w:val="0"/>
        <w:pageBreakBefore w:val="0"/>
        <w:widowControl w:val="0"/>
        <w:numPr>
          <w:ilvl w:val="1"/>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sz w:val="24"/>
          <w:szCs w:val="24"/>
          <w:highlight w:val="none"/>
          <w:lang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绿化植物年度施肥次数为2-3次，枯死苗木补植工作须在确认缺苗后7日内完成。</w:t>
      </w:r>
    </w:p>
    <w:p>
      <w:pPr>
        <w:keepNext w:val="0"/>
        <w:keepLines w:val="0"/>
        <w:pageBreakBefore w:val="0"/>
        <w:widowControl w:val="0"/>
        <w:numPr>
          <w:ilvl w:val="0"/>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sz w:val="24"/>
          <w:szCs w:val="24"/>
          <w:highlight w:val="none"/>
        </w:rPr>
      </w:pPr>
      <w:r>
        <w:rPr>
          <w:rFonts w:hint="eastAsia" w:ascii="宋体" w:hAnsi="宋体" w:eastAsia="宋体" w:cs="宋体"/>
          <w:i w:val="0"/>
          <w:caps w:val="0"/>
          <w:color w:val="auto"/>
          <w:spacing w:val="0"/>
          <w:sz w:val="24"/>
          <w:szCs w:val="24"/>
          <w:highlight w:val="none"/>
        </w:rPr>
        <w:t>设施设备运行管理</w:t>
      </w:r>
    </w:p>
    <w:p>
      <w:pPr>
        <w:keepNext w:val="0"/>
        <w:keepLines w:val="0"/>
        <w:pageBreakBefore w:val="0"/>
        <w:widowControl w:val="0"/>
        <w:numPr>
          <w:ilvl w:val="1"/>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消防、视频监控等关键系统执行24小时不间断巡检制度，特种作业岗位人员须100%持证上岗；</w:t>
      </w:r>
    </w:p>
    <w:p>
      <w:pPr>
        <w:keepNext w:val="0"/>
        <w:keepLines w:val="0"/>
        <w:pageBreakBefore w:val="0"/>
        <w:widowControl w:val="0"/>
        <w:numPr>
          <w:ilvl w:val="1"/>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供配电系统每日巡检次数不得少于3次，确保供电运行稳定；</w:t>
      </w:r>
    </w:p>
    <w:p>
      <w:pPr>
        <w:keepNext w:val="0"/>
        <w:keepLines w:val="0"/>
        <w:pageBreakBefore w:val="0"/>
        <w:widowControl w:val="0"/>
        <w:numPr>
          <w:ilvl w:val="1"/>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消防系统每月完成不少于10%的点位功能测试，年度内完成全点位全覆盖测试；</w:t>
      </w:r>
    </w:p>
    <w:p>
      <w:pPr>
        <w:keepNext w:val="0"/>
        <w:keepLines w:val="0"/>
        <w:pageBreakBefore w:val="0"/>
        <w:widowControl w:val="0"/>
        <w:numPr>
          <w:ilvl w:val="1"/>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电梯接到故障报修后，维保人员须在30分钟内抵达现场，一般故障须在2小时内完成修复；</w:t>
      </w:r>
    </w:p>
    <w:p>
      <w:pPr>
        <w:keepNext w:val="0"/>
        <w:keepLines w:val="0"/>
        <w:pageBreakBefore w:val="0"/>
        <w:widowControl w:val="0"/>
        <w:numPr>
          <w:ilvl w:val="1"/>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sz w:val="24"/>
          <w:szCs w:val="24"/>
          <w:highlight w:val="none"/>
          <w:lang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所有设施设备日常巡检记录须真实可追溯，记录真实率须达到100%，严禁弄虚作假。</w:t>
      </w:r>
    </w:p>
    <w:p>
      <w:pPr>
        <w:keepNext w:val="0"/>
        <w:keepLines w:val="0"/>
        <w:pageBreakBefore w:val="0"/>
        <w:widowControl w:val="0"/>
        <w:numPr>
          <w:ilvl w:val="0"/>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sz w:val="24"/>
          <w:szCs w:val="24"/>
          <w:highlight w:val="none"/>
        </w:rPr>
      </w:pPr>
      <w:r>
        <w:rPr>
          <w:rFonts w:hint="eastAsia" w:ascii="宋体" w:hAnsi="宋体" w:eastAsia="宋体" w:cs="宋体"/>
          <w:b w:val="0"/>
          <w:i w:val="0"/>
          <w:caps w:val="0"/>
          <w:color w:val="auto"/>
          <w:spacing w:val="0"/>
          <w:kern w:val="2"/>
          <w:sz w:val="24"/>
          <w:szCs w:val="24"/>
          <w:highlight w:val="none"/>
          <w:shd w:val="clear"/>
          <w:vertAlign w:val="baseline"/>
          <w:lang w:val="en-US" w:eastAsia="zh-CN" w:bidi="ar"/>
        </w:rPr>
        <w:t>公共卫生与生物防治</w:t>
      </w:r>
    </w:p>
    <w:p>
      <w:pPr>
        <w:keepNext w:val="0"/>
        <w:keepLines w:val="0"/>
        <w:pageBreakBefore w:val="0"/>
        <w:widowControl w:val="0"/>
        <w:numPr>
          <w:ilvl w:val="1"/>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园区综合环境治理及提升的工作年度开展次数不得少于24次，有效控制病媒生物密度；</w:t>
      </w:r>
    </w:p>
    <w:p>
      <w:pPr>
        <w:keepNext w:val="0"/>
        <w:keepLines w:val="0"/>
        <w:pageBreakBefore w:val="0"/>
        <w:widowControl w:val="0"/>
        <w:numPr>
          <w:ilvl w:val="1"/>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白蚁防治年度开展不少于2次全面普查，发现蚁巢隐患后须在3日内完成专项处置；</w:t>
      </w:r>
    </w:p>
    <w:p>
      <w:pPr>
        <w:keepNext w:val="0"/>
        <w:keepLines w:val="0"/>
        <w:pageBreakBefore w:val="0"/>
        <w:widowControl w:val="0"/>
        <w:numPr>
          <w:ilvl w:val="1"/>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管理项目区域内的所有管道须按规范定期清理清掏，避免堵塞、异味溢出；</w:t>
      </w:r>
    </w:p>
    <w:p>
      <w:pPr>
        <w:keepNext w:val="0"/>
        <w:keepLines w:val="0"/>
        <w:pageBreakBefore w:val="0"/>
        <w:widowControl w:val="0"/>
        <w:numPr>
          <w:ilvl w:val="1"/>
          <w:numId w:val="22"/>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40" w:lineRule="exact"/>
        <w:ind w:left="0" w:right="0" w:firstLine="420"/>
        <w:jc w:val="left"/>
        <w:textAlignment w:val="auto"/>
        <w:rPr>
          <w:rFonts w:hint="eastAsia" w:ascii="宋体" w:hAnsi="宋体" w:eastAsia="宋体" w:cs="宋体"/>
          <w:i w:val="0"/>
          <w:caps w:val="0"/>
          <w:color w:val="auto"/>
          <w:spacing w:val="0"/>
          <w:sz w:val="24"/>
          <w:szCs w:val="24"/>
          <w:highlight w:val="none"/>
          <w:lang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建立突发公共卫生事件及公共安全事件专项应急预案，遇相关事件须第一时间响应处置，配合属地部门落实防控要求。</w:t>
      </w:r>
    </w:p>
    <w:p>
      <w:pPr>
        <w:keepNext w:val="0"/>
        <w:keepLines w:val="0"/>
        <w:pageBreakBefore w:val="0"/>
        <w:widowControl w:val="0"/>
        <w:numPr>
          <w:ilvl w:val="0"/>
          <w:numId w:val="19"/>
        </w:numPr>
        <w:tabs>
          <w:tab w:val="left" w:pos="540"/>
        </w:tabs>
        <w:kinsoku/>
        <w:wordWrap/>
        <w:overflowPunct/>
        <w:topLinePunct w:val="0"/>
        <w:autoSpaceDE/>
        <w:autoSpaceDN/>
        <w:bidi w:val="0"/>
        <w:adjustRightInd w:val="0"/>
        <w:snapToGrid/>
        <w:spacing w:line="44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岗位人员配置要求</w:t>
      </w:r>
    </w:p>
    <w:p>
      <w:pPr>
        <w:keepNext w:val="0"/>
        <w:keepLines w:val="0"/>
        <w:pageBreakBefore w:val="0"/>
        <w:widowControl w:val="0"/>
        <w:numPr>
          <w:ilvl w:val="0"/>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项目组织架构</w:t>
      </w:r>
    </w:p>
    <w:p>
      <w:pPr>
        <w:keepNext w:val="0"/>
        <w:keepLines w:val="0"/>
        <w:pageBreakBefore w:val="0"/>
        <w:widowControl w:val="0"/>
        <w:numPr>
          <w:ilvl w:val="-1"/>
          <w:numId w:val="0"/>
        </w:numPr>
        <w:tabs>
          <w:tab w:val="left" w:pos="540"/>
        </w:tabs>
        <w:kinsoku/>
        <w:wordWrap/>
        <w:overflowPunct/>
        <w:topLinePunct w:val="0"/>
        <w:autoSpaceDE/>
        <w:autoSpaceDN/>
        <w:bidi w:val="0"/>
        <w:adjustRightInd w:val="0"/>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须搭建适配本项目全周期服务的完整组织架构，设置项目经理1名统筹项目全流程管理；配置专职客服人员1名，负责前台接待、咨询报修、投诉登记跟踪、每日服务台账录入；下设客服部、安保部、工程部、环境部四个职能部门，各部门权责清晰、人员配置满足服务标准要求。</w:t>
      </w:r>
    </w:p>
    <w:p>
      <w:pPr>
        <w:keepNext w:val="0"/>
        <w:keepLines w:val="0"/>
        <w:pageBreakBefore w:val="0"/>
        <w:widowControl w:val="0"/>
        <w:numPr>
          <w:ilvl w:val="0"/>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核心岗位人员配置标准</w:t>
      </w:r>
    </w:p>
    <w:p>
      <w:pPr>
        <w:keepNext w:val="0"/>
        <w:keepLines w:val="0"/>
        <w:pageBreakBefore w:val="0"/>
        <w:widowControl w:val="0"/>
        <w:numPr>
          <w:ilvl w:val="1"/>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项目负责人</w:t>
      </w:r>
    </w:p>
    <w:p>
      <w:pPr>
        <w:keepNext w:val="0"/>
        <w:keepLines w:val="0"/>
        <w:pageBreakBefore w:val="0"/>
        <w:widowControl w:val="0"/>
        <w:numPr>
          <w:ilvl w:val="-1"/>
          <w:numId w:val="0"/>
        </w:numPr>
        <w:tabs>
          <w:tab w:val="left" w:pos="540"/>
        </w:tabs>
        <w:kinsoku/>
        <w:wordWrap/>
        <w:overflowPunct/>
        <w:topLinePunct w:val="0"/>
        <w:autoSpaceDE/>
        <w:autoSpaceDN/>
        <w:bidi w:val="0"/>
        <w:adjustRightInd w:val="0"/>
        <w:snapToGrid/>
        <w:spacing w:line="440" w:lineRule="exact"/>
        <w:ind w:left="42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本岗位配置全职在岗人员1名，不得同时兼任其他任何项目的管理职务，同时满足以下条件：</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资历要求：具备5年以上同类物业管理经验，且有独立管控建筑面积≥10万㎡（不含户外广场面积）商业物业项目的工作经历；大专及以上学历，年龄55周岁以下，身体健康能够胜任全时段现场管理工作</w:t>
      </w:r>
      <w:r>
        <w:rPr>
          <w:rFonts w:hint="eastAsia" w:ascii="宋体" w:hAnsi="宋体" w:eastAsia="宋体" w:cs="宋体"/>
          <w:color w:val="auto"/>
          <w:sz w:val="24"/>
          <w:szCs w:val="24"/>
          <w:highlight w:val="none"/>
          <w:lang w:eastAsia="zh-CN"/>
        </w:rPr>
        <w:t>，具有应急救援能力，有保安和保卫工作能力</w:t>
      </w:r>
      <w:r>
        <w:rPr>
          <w:rFonts w:hint="eastAsia" w:ascii="宋体" w:hAnsi="宋体" w:eastAsia="宋体" w:cs="宋体"/>
          <w:color w:val="auto"/>
          <w:sz w:val="24"/>
          <w:szCs w:val="24"/>
          <w:highlight w:val="none"/>
        </w:rPr>
        <w:t>；</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驻场要求：每周至少保证5个工作日在项目现场办公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具体时间段由招标人确认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，非现场时段须保持通讯24小时畅通；发生重大突发事件时须在30分钟内抵达现场，2小时内提交初步事件处理报告；</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工作报送要求：每周一12:00前向招标人提交《项目服务简报》，内容涵盖上周工作总结、本周工作计划、重点事项推进情况等；</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人员更换要求：项目经理岗位调整须提前15日向招标人提交书面申请，接替人员的资历、能力标准不得低于本岗位原配置要求，经招标人审核同意后方可完成更换。</w:t>
      </w:r>
    </w:p>
    <w:p>
      <w:pPr>
        <w:keepNext w:val="0"/>
        <w:keepLines w:val="0"/>
        <w:pageBreakBefore w:val="0"/>
        <w:widowControl w:val="0"/>
        <w:numPr>
          <w:ilvl w:val="1"/>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专职客服</w:t>
      </w:r>
    </w:p>
    <w:p>
      <w:pPr>
        <w:keepNext w:val="0"/>
        <w:keepLines w:val="0"/>
        <w:pageBreakBefore w:val="0"/>
        <w:widowControl w:val="0"/>
        <w:numPr>
          <w:ilvl w:val="-1"/>
          <w:numId w:val="0"/>
        </w:numPr>
        <w:tabs>
          <w:tab w:val="left" w:pos="540"/>
        </w:tabs>
        <w:kinsoku/>
        <w:wordWrap/>
        <w:overflowPunct/>
        <w:topLinePunct w:val="0"/>
        <w:autoSpaceDE/>
        <w:autoSpaceDN/>
        <w:bidi w:val="0"/>
        <w:adjustRightInd w:val="0"/>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本岗位配置全职在岗人员1名，不得同时兼任其他任何项目的客服职务，同时满足以下条件：</w:t>
      </w:r>
    </w:p>
    <w:p>
      <w:pPr>
        <w:keepNext w:val="0"/>
        <w:keepLines w:val="0"/>
        <w:pageBreakBefore w:val="0"/>
        <w:widowControl w:val="0"/>
        <w:numPr>
          <w:ilvl w:val="-1"/>
          <w:numId w:val="0"/>
        </w:numPr>
        <w:tabs>
          <w:tab w:val="left" w:pos="540"/>
        </w:tabs>
        <w:kinsoku/>
        <w:wordWrap/>
        <w:overflowPunct/>
        <w:topLinePunct w:val="0"/>
        <w:autoSpaceDE/>
        <w:autoSpaceDN/>
        <w:bidi w:val="0"/>
        <w:adjustRightInd w:val="0"/>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（1）经验要求：具备1年以上同类物业客服工作经历，普通话标准，熟练操作常用办公软件及物业台账系统；</w:t>
      </w:r>
    </w:p>
    <w:p>
      <w:pPr>
        <w:keepNext w:val="0"/>
        <w:keepLines w:val="0"/>
        <w:pageBreakBefore w:val="0"/>
        <w:widowControl w:val="0"/>
        <w:numPr>
          <w:ilvl w:val="-1"/>
          <w:numId w:val="0"/>
        </w:numPr>
        <w:tabs>
          <w:tab w:val="left" w:pos="540"/>
        </w:tabs>
        <w:kinsoku/>
        <w:wordWrap/>
        <w:overflowPunct/>
        <w:topLinePunct w:val="0"/>
        <w:autoSpaceDE/>
        <w:autoSpaceDN/>
        <w:bidi w:val="0"/>
        <w:adjustRightInd w:val="0"/>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（2）在岗要求：每周至少保证5个工作日在项目现场办公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具体时间段由招标人确认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，非现场时段须保持通讯24小时畅通；休假期间由项目经理顶岗值守，确保岗位不空岗、服务不中断；</w:t>
      </w:r>
    </w:p>
    <w:p>
      <w:pPr>
        <w:keepNext w:val="0"/>
        <w:keepLines w:val="0"/>
        <w:pageBreakBefore w:val="0"/>
        <w:widowControl w:val="0"/>
        <w:numPr>
          <w:ilvl w:val="-1"/>
          <w:numId w:val="0"/>
        </w:numPr>
        <w:tabs>
          <w:tab w:val="left" w:pos="540"/>
        </w:tabs>
        <w:kinsoku/>
        <w:wordWrap/>
        <w:overflowPunct/>
        <w:topLinePunct w:val="0"/>
        <w:autoSpaceDE/>
        <w:autoSpaceDN/>
        <w:bidi w:val="0"/>
        <w:adjustRightInd w:val="0"/>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诉处理要求：物业常规类投诉由投标人当日完成闭环处置，特殊复杂情况须第一时间向招标人报备；属于招标人产权范围内的设施设备、建筑结构维修类投诉，客服人员须在1小时内移交项目经理，项目经理须在48小时内出具初步处理方案并同步报送招标人；每周一12:00前客服人员提交《客服周报》，汇总上周服务数据、未结案事项及推进计划；</w:t>
      </w:r>
    </w:p>
    <w:p>
      <w:pPr>
        <w:keepNext w:val="0"/>
        <w:keepLines w:val="0"/>
        <w:pageBreakBefore w:val="0"/>
        <w:widowControl w:val="0"/>
        <w:numPr>
          <w:ilvl w:val="-1"/>
          <w:numId w:val="0"/>
        </w:numPr>
        <w:tabs>
          <w:tab w:val="left" w:pos="540"/>
        </w:tabs>
        <w:kinsoku/>
        <w:wordWrap/>
        <w:overflowPunct/>
        <w:topLinePunct w:val="0"/>
        <w:autoSpaceDE/>
        <w:autoSpaceDN/>
        <w:bidi w:val="0"/>
        <w:adjustRightInd w:val="0"/>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（4）人员更换要求：客服人员岗位调整须提前7日向招标人提交书面申请，接替人员的资历、能力标准不得低于本岗位原配置要求，经招标人审核同意后方可完成更换。 </w:t>
      </w:r>
    </w:p>
    <w:p>
      <w:pPr>
        <w:keepNext w:val="0"/>
        <w:keepLines w:val="0"/>
        <w:pageBreakBefore w:val="0"/>
        <w:widowControl w:val="0"/>
        <w:numPr>
          <w:ilvl w:val="-1"/>
          <w:numId w:val="0"/>
        </w:numPr>
        <w:tabs>
          <w:tab w:val="left" w:pos="540"/>
        </w:tabs>
        <w:kinsoku/>
        <w:wordWrap/>
        <w:overflowPunct/>
        <w:topLinePunct w:val="0"/>
        <w:autoSpaceDE/>
        <w:autoSpaceDN/>
        <w:bidi w:val="0"/>
        <w:adjustRightInd w:val="0"/>
        <w:snapToGrid/>
        <w:spacing w:line="440" w:lineRule="exact"/>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注：</w:t>
      </w:r>
      <w:r>
        <w:rPr>
          <w:rFonts w:hint="eastAsia" w:ascii="宋体" w:hAnsi="宋体" w:eastAsia="宋体" w:cs="宋体"/>
          <w:color w:val="auto"/>
          <w:sz w:val="24"/>
          <w:szCs w:val="24"/>
          <w:highlight w:val="none"/>
        </w:rPr>
        <w:t>项目经理与客服人员须严格按照合同约定的当班时段在项目管理范围内履职，确需临时离开项目或调整班次的，须提前征得招标人书面同意，同时做好工作无缝衔接；未履行请假或衔接手续擅自离岗的，直接按合同缺岗相关条款进行考核处理</w:t>
      </w:r>
      <w:r>
        <w:rPr>
          <w:rFonts w:hint="eastAsia" w:ascii="宋体" w:hAnsi="宋体" w:eastAsia="宋体" w:cs="宋体"/>
          <w:color w:val="auto"/>
          <w:sz w:val="24"/>
          <w:szCs w:val="24"/>
          <w:highlight w:val="none"/>
          <w:lang w:eastAsia="zh-CN"/>
        </w:rPr>
        <w:t>。</w:t>
      </w:r>
    </w:p>
    <w:p>
      <w:pPr>
        <w:keepNext w:val="0"/>
        <w:keepLines w:val="0"/>
        <w:pageBreakBefore w:val="0"/>
        <w:widowControl w:val="0"/>
        <w:numPr>
          <w:ilvl w:val="0"/>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各职能部门岗位配置要求</w:t>
      </w:r>
    </w:p>
    <w:p>
      <w:pPr>
        <w:keepNext w:val="0"/>
        <w:keepLines w:val="0"/>
        <w:pageBreakBefore w:val="0"/>
        <w:widowControl w:val="0"/>
        <w:numPr>
          <w:ilvl w:val="1"/>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安保部</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主管：专职1</w:t>
      </w:r>
      <w:r>
        <w:rPr>
          <w:rFonts w:hint="eastAsia" w:ascii="宋体" w:hAnsi="宋体" w:eastAsia="宋体" w:cs="宋体"/>
          <w:color w:val="auto"/>
          <w:sz w:val="24"/>
          <w:szCs w:val="24"/>
          <w:highlight w:val="none"/>
          <w:lang w:val="en-US" w:eastAsia="zh-CN"/>
        </w:rPr>
        <w:t>名</w:t>
      </w:r>
      <w:r>
        <w:rPr>
          <w:rFonts w:hint="eastAsia" w:ascii="宋体" w:hAnsi="宋体" w:eastAsia="宋体" w:cs="宋体"/>
          <w:color w:val="auto"/>
          <w:sz w:val="24"/>
          <w:szCs w:val="24"/>
          <w:highlight w:val="none"/>
        </w:rPr>
        <w:t>（不得兼管其他项目），</w:t>
      </w:r>
      <w:r>
        <w:rPr>
          <w:rFonts w:hint="eastAsia" w:ascii="宋体" w:hAnsi="宋体" w:eastAsia="宋体" w:cs="宋体"/>
          <w:color w:val="auto"/>
          <w:sz w:val="24"/>
          <w:szCs w:val="24"/>
          <w:highlight w:val="none"/>
          <w:lang w:val="en-US" w:eastAsia="zh-CN"/>
        </w:rPr>
        <w:t>负责</w:t>
      </w:r>
      <w:r>
        <w:rPr>
          <w:rFonts w:hint="eastAsia" w:ascii="宋体" w:hAnsi="宋体" w:eastAsia="宋体" w:cs="宋体"/>
          <w:color w:val="auto"/>
          <w:sz w:val="24"/>
          <w:szCs w:val="24"/>
          <w:highlight w:val="none"/>
        </w:rPr>
        <w:t>统筹秩序维护、人员培训、消防管理、对接招标人日常工作。</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领班/班长：</w:t>
      </w:r>
      <w:r>
        <w:rPr>
          <w:rFonts w:hint="eastAsia" w:ascii="宋体" w:hAnsi="宋体" w:eastAsia="宋体" w:cs="宋体"/>
          <w:color w:val="auto"/>
          <w:sz w:val="24"/>
          <w:szCs w:val="24"/>
          <w:highlight w:val="none"/>
          <w:lang w:val="en-US" w:eastAsia="zh-CN"/>
        </w:rPr>
        <w:t>不少于2名</w:t>
      </w:r>
      <w:r>
        <w:rPr>
          <w:rFonts w:hint="eastAsia" w:ascii="宋体" w:hAnsi="宋体" w:eastAsia="宋体" w:cs="宋体"/>
          <w:color w:val="auto"/>
          <w:sz w:val="24"/>
          <w:szCs w:val="24"/>
          <w:highlight w:val="none"/>
        </w:rPr>
        <w:t>，负责日常岗位监督、交接班管理、岗位工作检查。</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门岗人员：文化中心1座、2座、3座、4座、5座主出入口以及东侧、西侧车辆出入口，每班次不少于1名，</w:t>
      </w:r>
      <w:r>
        <w:rPr>
          <w:rFonts w:hint="eastAsia" w:ascii="宋体" w:hAnsi="宋体" w:eastAsia="宋体" w:cs="宋体"/>
          <w:color w:val="auto"/>
          <w:sz w:val="24"/>
          <w:szCs w:val="24"/>
          <w:highlight w:val="none"/>
          <w:lang w:val="en-US" w:eastAsia="zh-CN"/>
        </w:rPr>
        <w:t>负责</w:t>
      </w:r>
      <w:r>
        <w:rPr>
          <w:rFonts w:hint="eastAsia" w:ascii="宋体" w:hAnsi="宋体" w:eastAsia="宋体" w:cs="宋体"/>
          <w:color w:val="auto"/>
          <w:sz w:val="24"/>
          <w:szCs w:val="24"/>
          <w:highlight w:val="none"/>
        </w:rPr>
        <w:t>人员/车辆登记、物品检查，</w:t>
      </w:r>
      <w:r>
        <w:rPr>
          <w:rFonts w:hint="eastAsia" w:ascii="宋体" w:hAnsi="宋体" w:eastAsia="宋体" w:cs="宋体"/>
          <w:color w:val="auto"/>
          <w:sz w:val="24"/>
          <w:szCs w:val="24"/>
          <w:highlight w:val="none"/>
          <w:lang w:val="en-US" w:eastAsia="zh-CN"/>
        </w:rPr>
        <w:t>需要</w:t>
      </w:r>
      <w:r>
        <w:rPr>
          <w:rFonts w:hint="eastAsia" w:ascii="宋体" w:hAnsi="宋体" w:eastAsia="宋体" w:cs="宋体"/>
          <w:color w:val="auto"/>
          <w:sz w:val="24"/>
          <w:szCs w:val="24"/>
          <w:highlight w:val="none"/>
        </w:rPr>
        <w:t>24小时值守。</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广场和地下停车场驻场岗</w:t>
      </w:r>
      <w:r>
        <w:rPr>
          <w:rFonts w:hint="eastAsia" w:ascii="宋体" w:hAnsi="宋体" w:eastAsia="宋体" w:cs="宋体"/>
          <w:color w:val="auto"/>
          <w:sz w:val="24"/>
          <w:szCs w:val="24"/>
          <w:highlight w:val="none"/>
          <w:lang w:val="en-US" w:eastAsia="zh-CN"/>
        </w:rPr>
        <w:t>人员</w:t>
      </w:r>
      <w:r>
        <w:rPr>
          <w:rFonts w:hint="eastAsia" w:ascii="宋体" w:hAnsi="宋体" w:eastAsia="宋体" w:cs="宋体"/>
          <w:color w:val="auto"/>
          <w:sz w:val="24"/>
          <w:szCs w:val="24"/>
          <w:highlight w:val="none"/>
        </w:rPr>
        <w:t>：每班次</w:t>
      </w:r>
      <w:r>
        <w:rPr>
          <w:rFonts w:hint="eastAsia" w:ascii="宋体" w:hAnsi="宋体" w:eastAsia="宋体" w:cs="宋体"/>
          <w:color w:val="auto"/>
          <w:sz w:val="24"/>
          <w:szCs w:val="24"/>
          <w:highlight w:val="none"/>
          <w:lang w:val="en-US" w:eastAsia="zh-CN"/>
        </w:rPr>
        <w:t>不少</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名</w:t>
      </w:r>
      <w:r>
        <w:rPr>
          <w:rFonts w:hint="eastAsia" w:ascii="宋体" w:hAnsi="宋体" w:eastAsia="宋体" w:cs="宋体"/>
          <w:color w:val="auto"/>
          <w:sz w:val="24"/>
          <w:szCs w:val="24"/>
          <w:highlight w:val="none"/>
        </w:rPr>
        <w:t>，24小时负责区域内秩序维护、大型活动人流疏导、日常巡查。</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巡逻岗：每班次</w:t>
      </w:r>
      <w:r>
        <w:rPr>
          <w:rFonts w:hint="eastAsia" w:ascii="宋体" w:hAnsi="宋体" w:eastAsia="宋体" w:cs="宋体"/>
          <w:color w:val="auto"/>
          <w:sz w:val="24"/>
          <w:szCs w:val="24"/>
          <w:highlight w:val="none"/>
          <w:lang w:val="en-US" w:eastAsia="zh-CN"/>
        </w:rPr>
        <w:t>不少于</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名</w:t>
      </w:r>
      <w:r>
        <w:rPr>
          <w:rFonts w:hint="eastAsia" w:ascii="宋体" w:hAnsi="宋体" w:eastAsia="宋体" w:cs="宋体"/>
          <w:color w:val="auto"/>
          <w:sz w:val="24"/>
          <w:szCs w:val="24"/>
          <w:highlight w:val="none"/>
        </w:rPr>
        <w:t>，每小时完成一次全区域巡查，24小时覆盖所有公共区域，及时处置各类突发事件。</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监控岗：每班次</w:t>
      </w:r>
      <w:r>
        <w:rPr>
          <w:rFonts w:hint="eastAsia" w:ascii="宋体" w:hAnsi="宋体" w:eastAsia="宋体" w:cs="宋体"/>
          <w:color w:val="auto"/>
          <w:sz w:val="24"/>
          <w:szCs w:val="24"/>
          <w:highlight w:val="none"/>
          <w:lang w:val="en-US" w:eastAsia="zh-CN"/>
        </w:rPr>
        <w:t>不少于</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名，24小时不间断值守监控中心，不得兼任巡逻岗或门岗工作</w:t>
      </w:r>
      <w:r>
        <w:rPr>
          <w:rFonts w:hint="eastAsia" w:ascii="宋体" w:hAnsi="宋体" w:eastAsia="宋体" w:cs="宋体"/>
          <w:color w:val="auto"/>
          <w:sz w:val="24"/>
          <w:szCs w:val="24"/>
          <w:highlight w:val="none"/>
        </w:rPr>
        <w:t>。</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所有保安人员均须具有有效的保安员证。</w:t>
      </w:r>
    </w:p>
    <w:p>
      <w:pPr>
        <w:keepNext w:val="0"/>
        <w:keepLines w:val="0"/>
        <w:pageBreakBefore w:val="0"/>
        <w:widowControl w:val="0"/>
        <w:numPr>
          <w:ilvl w:val="1"/>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工程部</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领班/班长：1名</w:t>
      </w:r>
      <w:r>
        <w:rPr>
          <w:rFonts w:hint="eastAsia" w:ascii="宋体" w:hAnsi="宋体" w:eastAsia="宋体" w:cs="宋体"/>
          <w:color w:val="auto"/>
          <w:sz w:val="24"/>
          <w:szCs w:val="24"/>
          <w:highlight w:val="none"/>
          <w:lang w:eastAsia="zh-CN"/>
        </w:rPr>
        <w:t>，统筹设施设备运行管理、年度维修保养计划制定、人员技能培训、跨部门工作协调</w:t>
      </w:r>
      <w:r>
        <w:rPr>
          <w:rFonts w:hint="eastAsia" w:ascii="宋体" w:hAnsi="宋体" w:eastAsia="宋体" w:cs="宋体"/>
          <w:color w:val="auto"/>
          <w:sz w:val="24"/>
          <w:szCs w:val="24"/>
          <w:highlight w:val="none"/>
        </w:rPr>
        <w:t>。</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维修工/电工：</w:t>
      </w:r>
      <w:r>
        <w:rPr>
          <w:rFonts w:hint="eastAsia" w:ascii="宋体" w:hAnsi="宋体" w:eastAsia="宋体" w:cs="宋体"/>
          <w:color w:val="auto"/>
          <w:sz w:val="24"/>
          <w:szCs w:val="24"/>
          <w:highlight w:val="none"/>
          <w:lang w:val="en-US" w:eastAsia="zh-CN"/>
        </w:rPr>
        <w:t>不少于2名，</w:t>
      </w:r>
      <w:r>
        <w:rPr>
          <w:rFonts w:hint="eastAsia" w:ascii="宋体" w:hAnsi="宋体" w:eastAsia="宋体" w:cs="宋体"/>
          <w:color w:val="auto"/>
          <w:sz w:val="24"/>
          <w:szCs w:val="24"/>
          <w:highlight w:val="none"/>
        </w:rPr>
        <w:t>满足日常设备巡检、定期保养、故障应急处置、零星维修、工具保管、安全规范操作的工作需求。</w:t>
      </w:r>
    </w:p>
    <w:p>
      <w:pPr>
        <w:keepNext w:val="0"/>
        <w:keepLines w:val="0"/>
        <w:pageBreakBefore w:val="0"/>
        <w:widowControl w:val="0"/>
        <w:numPr>
          <w:ilvl w:val="1"/>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环境部</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领班/班长：</w:t>
      </w:r>
      <w:r>
        <w:rPr>
          <w:rFonts w:hint="eastAsia" w:ascii="宋体" w:hAnsi="宋体" w:eastAsia="宋体" w:cs="宋体"/>
          <w:color w:val="auto"/>
          <w:sz w:val="24"/>
          <w:szCs w:val="24"/>
          <w:highlight w:val="none"/>
          <w:lang w:val="en-US" w:eastAsia="zh-CN"/>
        </w:rPr>
        <w:t>1名，统筹清洁保洁、绿化养护工作计划制定、日常工作巡查、人员培训、对接招标人沟通需求</w:t>
      </w:r>
      <w:r>
        <w:rPr>
          <w:rFonts w:hint="eastAsia" w:ascii="宋体" w:hAnsi="宋体" w:eastAsia="宋体" w:cs="宋体"/>
          <w:color w:val="auto"/>
          <w:sz w:val="24"/>
          <w:szCs w:val="24"/>
          <w:highlight w:val="none"/>
        </w:rPr>
        <w:t>。</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保洁员：完成全区域标准清洁、垃圾清运工作。</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绿化工：完成植物日常养护、病虫害防治、缺苗补植等工作。</w:t>
      </w:r>
    </w:p>
    <w:p>
      <w:pPr>
        <w:keepNext w:val="0"/>
        <w:keepLines w:val="0"/>
        <w:pageBreakBefore w:val="0"/>
        <w:widowControl w:val="0"/>
        <w:numPr>
          <w:ilvl w:val="-1"/>
          <w:numId w:val="0"/>
        </w:numPr>
        <w:tabs>
          <w:tab w:val="left" w:pos="540"/>
        </w:tabs>
        <w:kinsoku/>
        <w:wordWrap/>
        <w:overflowPunct/>
        <w:topLinePunct w:val="0"/>
        <w:autoSpaceDE/>
        <w:autoSpaceDN/>
        <w:bidi w:val="0"/>
        <w:adjustRightInd w:val="0"/>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注：投标人可结合本项目实际运行情况自行拟定具体岗位设置及排班方案，排班方案须每年向招标人报备一次；遇突发事件或招标人提出书面合理调整要求时，投标人须无条件配合完成岗位及排班优化</w:t>
      </w:r>
      <w:r>
        <w:rPr>
          <w:rFonts w:hint="eastAsia" w:ascii="宋体" w:hAnsi="宋体" w:eastAsia="宋体" w:cs="宋体"/>
          <w:color w:val="auto"/>
          <w:sz w:val="24"/>
          <w:szCs w:val="24"/>
          <w:highlight w:val="none"/>
          <w:lang w:eastAsia="zh-CN"/>
        </w:rPr>
        <w:t>。</w:t>
      </w:r>
    </w:p>
    <w:p>
      <w:pPr>
        <w:keepNext w:val="0"/>
        <w:keepLines w:val="0"/>
        <w:pageBreakBefore w:val="0"/>
        <w:widowControl w:val="0"/>
        <w:numPr>
          <w:ilvl w:val="1"/>
          <w:numId w:val="25"/>
        </w:numPr>
        <w:tabs>
          <w:tab w:val="left" w:pos="540"/>
        </w:tabs>
        <w:kinsoku/>
        <w:wordWrap/>
        <w:overflowPunct/>
        <w:topLinePunct w:val="0"/>
        <w:autoSpaceDE/>
        <w:autoSpaceDN/>
        <w:bidi w:val="0"/>
        <w:adjustRightInd w:val="0"/>
        <w:snapToGrid/>
        <w:spacing w:line="440" w:lineRule="exact"/>
        <w:ind w:left="0" w:leftChars="0" w:firstLine="42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人员基本要求</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所有人员身体健康，无犯罪记录，特殊岗位（消防、电工类</w:t>
      </w:r>
      <w:r>
        <w:rPr>
          <w:rFonts w:hint="eastAsia" w:ascii="宋体" w:hAnsi="宋体" w:eastAsia="宋体" w:cs="宋体"/>
          <w:color w:val="auto"/>
          <w:sz w:val="24"/>
          <w:szCs w:val="24"/>
          <w:highlight w:val="none"/>
          <w:lang w:eastAsia="zh-CN"/>
        </w:rPr>
        <w:t>、应急救援、保安</w:t>
      </w:r>
      <w:r>
        <w:rPr>
          <w:rFonts w:hint="eastAsia" w:ascii="宋体" w:hAnsi="宋体" w:eastAsia="宋体" w:cs="宋体"/>
          <w:color w:val="auto"/>
          <w:sz w:val="24"/>
          <w:szCs w:val="24"/>
          <w:highlight w:val="none"/>
        </w:rPr>
        <w:t>）100%持证上岗</w:t>
      </w:r>
      <w:r>
        <w:rPr>
          <w:rFonts w:hint="eastAsia" w:ascii="宋体" w:hAnsi="宋体" w:eastAsia="宋体" w:cs="宋体"/>
          <w:color w:val="auto"/>
          <w:sz w:val="24"/>
          <w:szCs w:val="24"/>
          <w:highlight w:val="none"/>
          <w:lang w:eastAsia="zh-CN"/>
        </w:rPr>
        <w:t>。</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标人按照招标人实际要求配备的服务人员不得随意更换；如需更换的，则必须征得招标人的同意，经试用符合要求方可更换，且在更换前应保证不少于原有数量的服务人员在岗。中标人更换相关人员时，未按本合同约定履行提前报告招标人的程序或所更换人员资质不符合要求的，招标人有权限期中标人整改，并有权扣除当月服务费的</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eastAsia="zh-CN"/>
        </w:rPr>
        <w:t>%，造成招标人损失的，中标人还须赔偿招标人损失。</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lang w:eastAsia="zh-CN"/>
        </w:rPr>
        <w:t>在中标人服务过程中，招标人有权要求中标人对服务人员进行岗位调配，对不能胜任或不符合业务要求的服务人员进行更换。因服务人员个人出现违反工作纪律问题及业务过失，遭受投诉且造成不良影响等行为的，招标人有权利要求中标人及时更换服务人员。</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服务人员须经</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审核确认后方能上岗。未经</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审核确认的人员，</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可以不予接纳，</w:t>
      </w: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与</w:t>
      </w:r>
      <w:r>
        <w:rPr>
          <w:rFonts w:hint="eastAsia" w:ascii="宋体" w:hAnsi="宋体" w:eastAsia="宋体" w:cs="宋体"/>
          <w:b w:val="0"/>
          <w:bCs w:val="0"/>
          <w:color w:val="auto"/>
          <w:sz w:val="24"/>
          <w:szCs w:val="24"/>
          <w:highlight w:val="none"/>
          <w:lang w:eastAsia="zh-CN"/>
        </w:rPr>
        <w:t>服务人员成立劳动合同关系</w:t>
      </w:r>
      <w:r>
        <w:rPr>
          <w:rFonts w:hint="eastAsia" w:ascii="宋体" w:hAnsi="宋体" w:eastAsia="宋体" w:cs="宋体"/>
          <w:b w:val="0"/>
          <w:bCs w:val="0"/>
          <w:color w:val="auto"/>
          <w:sz w:val="24"/>
          <w:szCs w:val="24"/>
          <w:highlight w:val="none"/>
        </w:rPr>
        <w:t>而承担的法律责任与</w:t>
      </w:r>
      <w:r>
        <w:rPr>
          <w:rFonts w:hint="eastAsia" w:ascii="宋体" w:hAnsi="宋体" w:eastAsia="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无关。</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中标人须</w:t>
      </w:r>
      <w:r>
        <w:rPr>
          <w:rFonts w:hint="eastAsia" w:ascii="宋体" w:hAnsi="宋体" w:eastAsia="宋体" w:cs="宋体"/>
          <w:b w:val="0"/>
          <w:bCs w:val="0"/>
          <w:color w:val="auto"/>
          <w:sz w:val="24"/>
          <w:szCs w:val="24"/>
          <w:highlight w:val="none"/>
        </w:rPr>
        <w:t>按有关劳动法规为本项目服务人员</w:t>
      </w:r>
      <w:r>
        <w:rPr>
          <w:rFonts w:hint="eastAsia" w:ascii="宋体" w:hAnsi="宋体" w:eastAsia="宋体" w:cs="宋体"/>
          <w:b w:val="0"/>
          <w:bCs w:val="0"/>
          <w:color w:val="auto"/>
          <w:sz w:val="24"/>
          <w:szCs w:val="24"/>
          <w:highlight w:val="none"/>
          <w:lang w:val="en-US" w:eastAsia="zh-CN"/>
        </w:rPr>
        <w:t>签订</w:t>
      </w:r>
      <w:r>
        <w:rPr>
          <w:rFonts w:hint="eastAsia" w:ascii="宋体" w:hAnsi="宋体" w:eastAsia="宋体" w:cs="宋体"/>
          <w:b w:val="0"/>
          <w:bCs w:val="0"/>
          <w:color w:val="auto"/>
          <w:sz w:val="24"/>
          <w:szCs w:val="24"/>
          <w:highlight w:val="none"/>
        </w:rPr>
        <w:t>劳动合同</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为其办理</w:t>
      </w:r>
      <w:r>
        <w:rPr>
          <w:rFonts w:hint="eastAsia" w:ascii="宋体" w:hAnsi="宋体" w:eastAsia="宋体" w:cs="宋体"/>
          <w:b w:val="0"/>
          <w:bCs w:val="0"/>
          <w:color w:val="auto"/>
          <w:sz w:val="24"/>
          <w:szCs w:val="24"/>
          <w:highlight w:val="none"/>
        </w:rPr>
        <w:t>社会保险</w:t>
      </w:r>
      <w:r>
        <w:rPr>
          <w:rFonts w:hint="eastAsia" w:ascii="宋体" w:hAnsi="宋体" w:eastAsia="宋体" w:cs="宋体"/>
          <w:b w:val="0"/>
          <w:bCs w:val="0"/>
          <w:color w:val="auto"/>
          <w:sz w:val="24"/>
          <w:szCs w:val="24"/>
          <w:highlight w:val="none"/>
          <w:lang w:eastAsia="zh-CN"/>
        </w:rPr>
        <w:t>、公积金；</w:t>
      </w:r>
      <w:r>
        <w:rPr>
          <w:rFonts w:hint="eastAsia" w:ascii="宋体" w:hAnsi="宋体" w:eastAsia="宋体" w:cs="宋体"/>
          <w:b w:val="0"/>
          <w:bCs w:val="0"/>
          <w:color w:val="auto"/>
          <w:sz w:val="24"/>
          <w:szCs w:val="24"/>
          <w:highlight w:val="none"/>
          <w:lang w:val="en-US" w:eastAsia="zh-CN"/>
        </w:rPr>
        <w:t>按时发放</w:t>
      </w:r>
      <w:r>
        <w:rPr>
          <w:rFonts w:hint="eastAsia" w:ascii="宋体" w:hAnsi="宋体" w:eastAsia="宋体" w:cs="宋体"/>
          <w:b w:val="0"/>
          <w:bCs w:val="0"/>
          <w:color w:val="auto"/>
          <w:sz w:val="24"/>
          <w:szCs w:val="24"/>
          <w:highlight w:val="none"/>
        </w:rPr>
        <w:t>薪酬</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缴纳</w:t>
      </w:r>
      <w:r>
        <w:rPr>
          <w:rFonts w:hint="eastAsia" w:ascii="宋体" w:hAnsi="宋体" w:eastAsia="宋体" w:cs="宋体"/>
          <w:b w:val="0"/>
          <w:bCs w:val="0"/>
          <w:color w:val="auto"/>
          <w:sz w:val="24"/>
          <w:szCs w:val="24"/>
          <w:highlight w:val="none"/>
        </w:rPr>
        <w:t>个人所得税等</w:t>
      </w:r>
      <w:r>
        <w:rPr>
          <w:rFonts w:hint="eastAsia" w:ascii="宋体" w:hAnsi="宋体" w:eastAsia="宋体" w:cs="宋体"/>
          <w:b w:val="0"/>
          <w:bCs w:val="0"/>
          <w:color w:val="auto"/>
          <w:sz w:val="24"/>
          <w:szCs w:val="24"/>
          <w:highlight w:val="none"/>
          <w:lang w:eastAsia="zh-CN"/>
        </w:rPr>
        <w:t>；中标人应</w:t>
      </w:r>
      <w:r>
        <w:rPr>
          <w:rFonts w:hint="eastAsia" w:ascii="宋体" w:hAnsi="宋体" w:eastAsia="宋体" w:cs="宋体"/>
          <w:b w:val="0"/>
          <w:bCs w:val="0"/>
          <w:color w:val="auto"/>
          <w:sz w:val="24"/>
          <w:szCs w:val="24"/>
          <w:highlight w:val="none"/>
        </w:rPr>
        <w:t>根据当地有关社保规定征缴服务人员的社会保险等</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若国家、省、市政府在征缴期间有新的政策规定，</w:t>
      </w: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rPr>
        <w:t>必须及时按新规定进行调整。</w:t>
      </w:r>
      <w:r>
        <w:rPr>
          <w:rFonts w:hint="eastAsia" w:ascii="宋体" w:hAnsi="宋体" w:eastAsia="宋体" w:cs="宋体"/>
          <w:b w:val="0"/>
          <w:bCs w:val="0"/>
          <w:color w:val="auto"/>
          <w:sz w:val="24"/>
          <w:szCs w:val="24"/>
          <w:highlight w:val="none"/>
          <w:lang w:eastAsia="zh-CN"/>
        </w:rPr>
        <w:t>因中标人违法用工导致影响本合同履行的，招标人有权单方解除本合同；因中标人违法用工导致招标人产生损失的，中标人须赔偿招标人损失</w:t>
      </w:r>
      <w:r>
        <w:rPr>
          <w:rFonts w:hint="eastAsia" w:ascii="宋体" w:hAnsi="宋体" w:eastAsia="宋体" w:cs="宋体"/>
          <w:bCs w:val="0"/>
          <w:color w:val="auto"/>
          <w:sz w:val="24"/>
          <w:szCs w:val="24"/>
          <w:highlight w:val="none"/>
        </w:rPr>
        <w:t>，</w:t>
      </w:r>
      <w:r>
        <w:rPr>
          <w:rFonts w:hint="eastAsia" w:ascii="宋体" w:hAnsi="宋体" w:eastAsia="宋体" w:cs="宋体"/>
          <w:bCs w:val="0"/>
          <w:color w:val="auto"/>
          <w:sz w:val="24"/>
          <w:szCs w:val="24"/>
          <w:highlight w:val="none"/>
          <w:lang w:eastAsia="zh-CN"/>
        </w:rPr>
        <w:t>招标人</w:t>
      </w:r>
      <w:r>
        <w:rPr>
          <w:rFonts w:hint="eastAsia" w:ascii="宋体" w:hAnsi="宋体" w:eastAsia="宋体" w:cs="宋体"/>
          <w:bCs w:val="0"/>
          <w:color w:val="auto"/>
          <w:sz w:val="24"/>
          <w:szCs w:val="24"/>
          <w:highlight w:val="none"/>
        </w:rPr>
        <w:t>有权将本项目项下的服务费用优先用于抵扣损失</w:t>
      </w:r>
      <w:r>
        <w:rPr>
          <w:rFonts w:hint="eastAsia" w:ascii="宋体" w:hAnsi="宋体" w:eastAsia="宋体" w:cs="宋体"/>
          <w:b w:val="0"/>
          <w:bCs w:val="0"/>
          <w:color w:val="auto"/>
          <w:sz w:val="24"/>
          <w:szCs w:val="24"/>
          <w:highlight w:val="none"/>
          <w:lang w:eastAsia="zh-CN"/>
        </w:rPr>
        <w:t>。</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rPr>
        <w:t>服务期间，服务人员发生各种事故，包括治安、安全、交通和违反计划生育、劳资纠纷</w:t>
      </w:r>
      <w:r>
        <w:rPr>
          <w:rFonts w:hint="eastAsia" w:ascii="宋体" w:hAnsi="宋体" w:eastAsia="宋体" w:cs="宋体"/>
          <w:b w:val="0"/>
          <w:bCs w:val="0"/>
          <w:color w:val="auto"/>
          <w:sz w:val="24"/>
          <w:szCs w:val="24"/>
          <w:highlight w:val="none"/>
          <w:lang w:eastAsia="zh-CN"/>
        </w:rPr>
        <w:t>、工伤</w:t>
      </w:r>
      <w:r>
        <w:rPr>
          <w:rFonts w:hint="eastAsia" w:ascii="宋体" w:hAnsi="宋体" w:eastAsia="宋体" w:cs="宋体"/>
          <w:b w:val="0"/>
          <w:bCs w:val="0"/>
          <w:color w:val="auto"/>
          <w:sz w:val="24"/>
          <w:szCs w:val="24"/>
          <w:highlight w:val="none"/>
        </w:rPr>
        <w:t>等事件及其他各种损失，由</w:t>
      </w:r>
      <w:r>
        <w:rPr>
          <w:rFonts w:hint="eastAsia" w:ascii="宋体" w:hAnsi="宋体" w:eastAsia="宋体" w:cs="宋体"/>
          <w:b w:val="0"/>
          <w:bCs w:val="0"/>
          <w:color w:val="auto"/>
          <w:sz w:val="24"/>
          <w:szCs w:val="24"/>
          <w:highlight w:val="none"/>
          <w:lang w:eastAsia="zh-CN"/>
        </w:rPr>
        <w:t>中标人自行</w:t>
      </w:r>
      <w:r>
        <w:rPr>
          <w:rFonts w:hint="eastAsia" w:ascii="宋体" w:hAnsi="宋体" w:eastAsia="宋体" w:cs="宋体"/>
          <w:b w:val="0"/>
          <w:bCs w:val="0"/>
          <w:color w:val="auto"/>
          <w:sz w:val="24"/>
          <w:szCs w:val="24"/>
          <w:highlight w:val="none"/>
        </w:rPr>
        <w:t>承担和负责赔偿</w:t>
      </w:r>
      <w:r>
        <w:rPr>
          <w:rFonts w:hint="eastAsia" w:ascii="宋体" w:hAnsi="宋体" w:eastAsia="宋体" w:cs="宋体"/>
          <w:b w:val="0"/>
          <w:bCs w:val="0"/>
          <w:color w:val="auto"/>
          <w:sz w:val="24"/>
          <w:szCs w:val="24"/>
          <w:highlight w:val="none"/>
          <w:lang w:eastAsia="zh-CN"/>
        </w:rPr>
        <w:t>，与招标人无关；</w:t>
      </w:r>
      <w:r>
        <w:rPr>
          <w:rFonts w:hint="eastAsia" w:ascii="宋体" w:hAnsi="宋体" w:eastAsia="宋体" w:cs="宋体"/>
          <w:bCs w:val="0"/>
          <w:color w:val="auto"/>
          <w:sz w:val="24"/>
          <w:szCs w:val="24"/>
          <w:highlight w:val="none"/>
        </w:rPr>
        <w:t>如由此造成</w:t>
      </w:r>
      <w:r>
        <w:rPr>
          <w:rFonts w:hint="eastAsia" w:ascii="宋体" w:hAnsi="宋体" w:eastAsia="宋体" w:cs="宋体"/>
          <w:bCs w:val="0"/>
          <w:color w:val="auto"/>
          <w:sz w:val="24"/>
          <w:szCs w:val="24"/>
          <w:highlight w:val="none"/>
          <w:lang w:eastAsia="zh-CN"/>
        </w:rPr>
        <w:t>招标人</w:t>
      </w:r>
      <w:r>
        <w:rPr>
          <w:rFonts w:hint="eastAsia" w:ascii="宋体" w:hAnsi="宋体" w:eastAsia="宋体" w:cs="宋体"/>
          <w:bCs w:val="0"/>
          <w:color w:val="auto"/>
          <w:sz w:val="24"/>
          <w:szCs w:val="24"/>
          <w:highlight w:val="none"/>
        </w:rPr>
        <w:t>承担损失的，</w:t>
      </w:r>
      <w:r>
        <w:rPr>
          <w:rFonts w:hint="eastAsia" w:ascii="宋体" w:hAnsi="宋体" w:eastAsia="宋体" w:cs="宋体"/>
          <w:bCs w:val="0"/>
          <w:color w:val="auto"/>
          <w:sz w:val="24"/>
          <w:szCs w:val="24"/>
          <w:highlight w:val="none"/>
          <w:lang w:eastAsia="zh-CN"/>
        </w:rPr>
        <w:t>招标人</w:t>
      </w:r>
      <w:r>
        <w:rPr>
          <w:rFonts w:hint="eastAsia" w:ascii="宋体" w:hAnsi="宋体" w:eastAsia="宋体" w:cs="宋体"/>
          <w:bCs w:val="0"/>
          <w:color w:val="auto"/>
          <w:sz w:val="24"/>
          <w:szCs w:val="24"/>
          <w:highlight w:val="none"/>
        </w:rPr>
        <w:t>保留向</w:t>
      </w:r>
      <w:r>
        <w:rPr>
          <w:rFonts w:hint="eastAsia" w:ascii="宋体" w:hAnsi="宋体" w:eastAsia="宋体" w:cs="宋体"/>
          <w:bCs w:val="0"/>
          <w:color w:val="auto"/>
          <w:sz w:val="24"/>
          <w:szCs w:val="24"/>
          <w:highlight w:val="none"/>
          <w:lang w:eastAsia="zh-CN"/>
        </w:rPr>
        <w:t>中标人</w:t>
      </w:r>
      <w:r>
        <w:rPr>
          <w:rFonts w:hint="eastAsia" w:ascii="宋体" w:hAnsi="宋体" w:eastAsia="宋体" w:cs="宋体"/>
          <w:bCs w:val="0"/>
          <w:color w:val="auto"/>
          <w:sz w:val="24"/>
          <w:szCs w:val="24"/>
          <w:highlight w:val="none"/>
        </w:rPr>
        <w:t>追索的权利，</w:t>
      </w:r>
      <w:r>
        <w:rPr>
          <w:rFonts w:hint="eastAsia" w:ascii="宋体" w:hAnsi="宋体" w:eastAsia="宋体" w:cs="宋体"/>
          <w:bCs w:val="0"/>
          <w:color w:val="auto"/>
          <w:sz w:val="24"/>
          <w:szCs w:val="24"/>
          <w:highlight w:val="none"/>
          <w:lang w:eastAsia="zh-CN"/>
        </w:rPr>
        <w:t>招标人</w:t>
      </w:r>
      <w:r>
        <w:rPr>
          <w:rFonts w:hint="eastAsia" w:ascii="宋体" w:hAnsi="宋体" w:eastAsia="宋体" w:cs="宋体"/>
          <w:bCs w:val="0"/>
          <w:color w:val="auto"/>
          <w:sz w:val="24"/>
          <w:szCs w:val="24"/>
          <w:highlight w:val="none"/>
        </w:rPr>
        <w:t>有权将本项目项下的服务费用、履约保证金优先用于抵扣损失</w:t>
      </w:r>
      <w:r>
        <w:rPr>
          <w:rFonts w:hint="eastAsia" w:ascii="宋体" w:hAnsi="宋体" w:eastAsia="宋体" w:cs="宋体"/>
          <w:bCs w:val="0"/>
          <w:color w:val="auto"/>
          <w:sz w:val="24"/>
          <w:szCs w:val="24"/>
          <w:highlight w:val="none"/>
          <w:lang w:eastAsia="zh-CN"/>
        </w:rPr>
        <w:t>。</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bCs w:val="0"/>
          <w:color w:val="auto"/>
          <w:sz w:val="24"/>
          <w:szCs w:val="24"/>
          <w:highlight w:val="none"/>
          <w:lang w:eastAsia="zh-CN"/>
        </w:rPr>
        <w:t>中标人员工在服务过程中因劳务、工伤等问题与中标人发生纠纷，或对第三方造成损害的，均由中标人独立处理并承担全部法律责任。若因此导致招标人被起诉或遭受损失的，中标人应赔偿招标人全部损失，招标人有权从未支付的服务费中直接抵扣。</w:t>
      </w:r>
    </w:p>
    <w:p>
      <w:pPr>
        <w:keepNext w:val="0"/>
        <w:keepLines w:val="0"/>
        <w:pageBreakBefore w:val="0"/>
        <w:widowControl w:val="0"/>
        <w:numPr>
          <w:ilvl w:val="2"/>
          <w:numId w:val="25"/>
        </w:numPr>
        <w:tabs>
          <w:tab w:val="left" w:pos="540"/>
        </w:tabs>
        <w:kinsoku/>
        <w:wordWrap/>
        <w:overflowPunct/>
        <w:topLinePunct w:val="0"/>
        <w:autoSpaceDE/>
        <w:autoSpaceDN/>
        <w:bidi w:val="0"/>
        <w:adjustRightInd w:val="0"/>
        <w:snapToGrid/>
        <w:spacing w:line="440" w:lineRule="exact"/>
        <w:ind w:left="0" w:leftChars="0" w:firstLine="420" w:firstLineChars="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因中标人服务人员不具有相关资质资格，导致招标人遭受行政处罚</w:t>
      </w:r>
      <w:r>
        <w:rPr>
          <w:rFonts w:hint="eastAsia" w:ascii="宋体" w:hAnsi="宋体" w:eastAsia="宋体" w:cs="宋体"/>
          <w:sz w:val="24"/>
          <w:szCs w:val="24"/>
        </w:rPr>
        <w:t>、罚款、滞纳金及其他全部经济损失的</w:t>
      </w:r>
      <w:r>
        <w:rPr>
          <w:rFonts w:hint="eastAsia" w:ascii="宋体" w:hAnsi="宋体" w:eastAsia="宋体" w:cs="宋体"/>
          <w:color w:val="auto"/>
          <w:sz w:val="24"/>
          <w:szCs w:val="24"/>
          <w:highlight w:val="none"/>
          <w:lang w:eastAsia="zh-CN"/>
        </w:rPr>
        <w:t>，招标人有权要求中标人赔偿损失；招标人对中标人的监督、考核，不减免中标人的上述义务。</w:t>
      </w:r>
    </w:p>
    <w:p>
      <w:pPr>
        <w:keepNext w:val="0"/>
        <w:keepLines w:val="0"/>
        <w:pageBreakBefore w:val="0"/>
        <w:numPr>
          <w:ilvl w:val="0"/>
          <w:numId w:val="19"/>
        </w:numPr>
        <w:tabs>
          <w:tab w:val="left" w:pos="540"/>
        </w:tabs>
        <w:kinsoku/>
        <w:wordWrap/>
        <w:overflowPunct/>
        <w:topLinePunct w:val="0"/>
        <w:autoSpaceDE/>
        <w:autoSpaceDN/>
        <w:bidi w:val="0"/>
        <w:adjustRightInd w:val="0"/>
        <w:snapToGrid/>
        <w:spacing w:line="440" w:lineRule="exact"/>
        <w:ind w:left="0" w:leftChars="0" w:firstLine="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其他事项：</w:t>
      </w:r>
    </w:p>
    <w:p>
      <w:pPr>
        <w:keepNext w:val="0"/>
        <w:keepLines w:val="0"/>
        <w:pageBreakBefore w:val="0"/>
        <w:numPr>
          <w:ilvl w:val="0"/>
          <w:numId w:val="26"/>
        </w:numPr>
        <w:pBdr>
          <w:top w:val="none" w:color="auto" w:sz="0" w:space="0"/>
          <w:left w:val="none" w:color="auto" w:sz="0" w:space="0"/>
          <w:bottom w:val="none" w:color="auto" w:sz="0" w:space="0"/>
          <w:right w:val="none" w:color="auto" w:sz="0" w:space="0"/>
        </w:pBdr>
        <w:tabs>
          <w:tab w:val="left" w:pos="540"/>
        </w:tabs>
        <w:kinsoku/>
        <w:wordWrap/>
        <w:overflowPunct/>
        <w:topLinePunct w:val="0"/>
        <w:autoSpaceDE/>
        <w:autoSpaceDN/>
        <w:bidi w:val="0"/>
        <w:adjustRightInd w:val="0"/>
        <w:snapToGrid/>
        <w:spacing w:line="440" w:lineRule="exact"/>
        <w:ind w:firstLine="420"/>
        <w:jc w:val="left"/>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本项目物业服务所需全部工具、设备物料，包括但不限于办公设备、清洁用品、保安器械、对讲机设备、维修工具等，均由投标人自行负责购置，招标人可无偿提供必要的仓储场地供投标人存放相关物资。</w:t>
      </w:r>
    </w:p>
    <w:p>
      <w:pPr>
        <w:keepNext w:val="0"/>
        <w:keepLines w:val="0"/>
        <w:pageBreakBefore w:val="0"/>
        <w:numPr>
          <w:ilvl w:val="0"/>
          <w:numId w:val="26"/>
        </w:numPr>
        <w:pBdr>
          <w:top w:val="none" w:color="auto" w:sz="0" w:space="0"/>
          <w:left w:val="none" w:color="auto" w:sz="0" w:space="0"/>
          <w:bottom w:val="none" w:color="auto" w:sz="0" w:space="0"/>
          <w:right w:val="none" w:color="auto" w:sz="0" w:space="0"/>
        </w:pBdr>
        <w:tabs>
          <w:tab w:val="left" w:pos="540"/>
        </w:tabs>
        <w:kinsoku/>
        <w:wordWrap/>
        <w:overflowPunct/>
        <w:topLinePunct w:val="0"/>
        <w:autoSpaceDE/>
        <w:autoSpaceDN/>
        <w:bidi w:val="0"/>
        <w:adjustRightInd w:val="0"/>
        <w:snapToGrid/>
        <w:spacing w:line="440" w:lineRule="exact"/>
        <w:ind w:firstLine="420"/>
        <w:jc w:val="left"/>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招标人向投标人提供项目红线内产权归属于招标人的适量工作用房供其使用，工作用房内的办公设备、桌椅家具等用品由投标人自行购置，使用过程中产生的水、电、通讯等相关费用由投标人自行承担，招标人不提供任何服务人员的住宿用房。</w:t>
      </w:r>
    </w:p>
    <w:p>
      <w:pPr>
        <w:keepNext w:val="0"/>
        <w:keepLines w:val="0"/>
        <w:pageBreakBefore w:val="0"/>
        <w:numPr>
          <w:ilvl w:val="0"/>
          <w:numId w:val="26"/>
        </w:numPr>
        <w:pBdr>
          <w:top w:val="none" w:color="auto" w:sz="0" w:space="0"/>
          <w:left w:val="none" w:color="auto" w:sz="0" w:space="0"/>
          <w:bottom w:val="none" w:color="auto" w:sz="0" w:space="0"/>
          <w:right w:val="none" w:color="auto" w:sz="0" w:space="0"/>
        </w:pBdr>
        <w:tabs>
          <w:tab w:val="left" w:pos="540"/>
        </w:tabs>
        <w:kinsoku/>
        <w:wordWrap/>
        <w:overflowPunct/>
        <w:topLinePunct w:val="0"/>
        <w:autoSpaceDE/>
        <w:autoSpaceDN/>
        <w:bidi w:val="0"/>
        <w:adjustRightInd w:val="0"/>
        <w:snapToGrid/>
        <w:spacing w:line="440" w:lineRule="exact"/>
        <w:ind w:firstLine="420"/>
        <w:jc w:val="left"/>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提供秩序维护服务的安保人员，须完全符合《保安服务管理条例》规定的保安员任职条件及行业相关管理规定，投标人须按要求完成人员备案。</w:t>
      </w:r>
    </w:p>
    <w:p>
      <w:pPr>
        <w:keepNext w:val="0"/>
        <w:keepLines w:val="0"/>
        <w:pageBreakBefore w:val="0"/>
        <w:numPr>
          <w:ilvl w:val="0"/>
          <w:numId w:val="26"/>
        </w:numPr>
        <w:pBdr>
          <w:top w:val="none" w:color="auto" w:sz="0" w:space="0"/>
          <w:left w:val="none" w:color="auto" w:sz="0" w:space="0"/>
          <w:bottom w:val="none" w:color="auto" w:sz="0" w:space="0"/>
          <w:right w:val="none" w:color="auto" w:sz="0" w:space="0"/>
        </w:pBdr>
        <w:tabs>
          <w:tab w:val="left" w:pos="540"/>
        </w:tabs>
        <w:kinsoku/>
        <w:wordWrap/>
        <w:overflowPunct/>
        <w:topLinePunct w:val="0"/>
        <w:autoSpaceDE/>
        <w:autoSpaceDN/>
        <w:bidi w:val="0"/>
        <w:adjustRightInd w:val="0"/>
        <w:snapToGrid/>
        <w:spacing w:line="440" w:lineRule="exact"/>
        <w:ind w:firstLine="420"/>
        <w:jc w:val="left"/>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招标人严格按照合同约定，结合每月对中标人的服务质量考核结果，按月足额支付物业服务费；若招标人逾期支付服务费，每逾期一日，向中标人偿付欠款总额0.01%的违约金，累计违约金总额不超过欠款总额的1%。</w:t>
      </w:r>
    </w:p>
    <w:p>
      <w:pPr>
        <w:keepNext w:val="0"/>
        <w:keepLines w:val="0"/>
        <w:pageBreakBefore w:val="0"/>
        <w:numPr>
          <w:ilvl w:val="0"/>
          <w:numId w:val="26"/>
        </w:numPr>
        <w:pBdr>
          <w:top w:val="none" w:color="auto" w:sz="0" w:space="0"/>
          <w:left w:val="none" w:color="auto" w:sz="0" w:space="0"/>
          <w:bottom w:val="none" w:color="auto" w:sz="0" w:space="0"/>
          <w:right w:val="none" w:color="auto" w:sz="0" w:space="0"/>
        </w:pBdr>
        <w:tabs>
          <w:tab w:val="left" w:pos="540"/>
        </w:tabs>
        <w:kinsoku/>
        <w:wordWrap/>
        <w:overflowPunct/>
        <w:topLinePunct w:val="0"/>
        <w:autoSpaceDE/>
        <w:autoSpaceDN/>
        <w:bidi w:val="0"/>
        <w:adjustRightInd w:val="0"/>
        <w:snapToGrid/>
        <w:spacing w:line="440" w:lineRule="exact"/>
        <w:ind w:firstLine="420"/>
        <w:jc w:val="left"/>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本项目区位涵盖‌三水区政务服务中心‌、‌区档案馆‌及‌区文化馆‌等公共机构，为政府服务与公共文化融合的复合型载体，投标人须具备‌政府公共服务意识‌，服务团队需熟悉政务规范、响应高效、执行保密要求，常态化开展政治教育、廉政警示教育，具备配合开展党建活动，确保能协同政府单位保障日常运营与重大活动，并配套安全安保、综合保卫、防溺救护、应急救援等体系与‌定期安全评估机制。</w:t>
      </w:r>
    </w:p>
    <w:p>
      <w:pPr>
        <w:keepNext w:val="0"/>
        <w:keepLines w:val="0"/>
        <w:pageBreakBefore w:val="0"/>
        <w:widowControl/>
        <w:numPr>
          <w:ilvl w:val="0"/>
          <w:numId w:val="19"/>
        </w:numPr>
        <w:tabs>
          <w:tab w:val="left" w:pos="540"/>
        </w:tabs>
        <w:kinsoku/>
        <w:wordWrap/>
        <w:overflowPunct/>
        <w:topLinePunct w:val="0"/>
        <w:autoSpaceDE/>
        <w:autoSpaceDN/>
        <w:bidi w:val="0"/>
        <w:adjustRightInd w:val="0"/>
        <w:snapToGrid/>
        <w:spacing w:line="44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物业管理服务对照执行标准</w:t>
      </w:r>
    </w:p>
    <w:p>
      <w:pPr>
        <w:keepNext w:val="0"/>
        <w:keepLines w:val="0"/>
        <w:pageBreakBefore w:val="0"/>
        <w:widowControl w:val="0"/>
        <w:numPr>
          <w:ilvl w:val="0"/>
          <w:numId w:val="27"/>
        </w:numPr>
        <w:tabs>
          <w:tab w:val="left" w:pos="540"/>
        </w:tabs>
        <w:kinsoku/>
        <w:wordWrap/>
        <w:overflowPunct/>
        <w:topLinePunct w:val="0"/>
        <w:autoSpaceDE/>
        <w:autoSpaceDN/>
        <w:bidi w:val="0"/>
        <w:adjustRightInd w:val="0"/>
        <w:snapToGrid/>
        <w:spacing w:line="440" w:lineRule="exact"/>
        <w:ind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符合国家《物业管理条例》、《广东省物业管理条例》、《保安服务管理条例》；</w:t>
      </w:r>
    </w:p>
    <w:p>
      <w:pPr>
        <w:keepNext w:val="0"/>
        <w:keepLines w:val="0"/>
        <w:pageBreakBefore w:val="0"/>
        <w:widowControl w:val="0"/>
        <w:numPr>
          <w:ilvl w:val="0"/>
          <w:numId w:val="27"/>
        </w:numPr>
        <w:tabs>
          <w:tab w:val="left" w:pos="540"/>
        </w:tabs>
        <w:kinsoku/>
        <w:wordWrap/>
        <w:overflowPunct/>
        <w:topLinePunct w:val="0"/>
        <w:autoSpaceDE/>
        <w:autoSpaceDN/>
        <w:bidi w:val="0"/>
        <w:adjustRightInd w:val="0"/>
        <w:snapToGrid/>
        <w:spacing w:line="440" w:lineRule="exact"/>
        <w:ind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符合中华人民共和国国家和履约地相关安全质量标准、行业技术规范标准；</w:t>
      </w:r>
    </w:p>
    <w:p>
      <w:pPr>
        <w:keepNext w:val="0"/>
        <w:keepLines w:val="0"/>
        <w:pageBreakBefore w:val="0"/>
        <w:widowControl w:val="0"/>
        <w:numPr>
          <w:ilvl w:val="0"/>
          <w:numId w:val="27"/>
        </w:numPr>
        <w:tabs>
          <w:tab w:val="left" w:pos="540"/>
        </w:tabs>
        <w:kinsoku/>
        <w:wordWrap/>
        <w:overflowPunct/>
        <w:topLinePunct w:val="0"/>
        <w:autoSpaceDE/>
        <w:autoSpaceDN/>
        <w:bidi w:val="0"/>
        <w:adjustRightInd w:val="0"/>
        <w:snapToGrid/>
        <w:spacing w:line="440" w:lineRule="exact"/>
        <w:ind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符合采购文件和响应承诺中</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rPr>
        <w:t>各方共同认可的合理要求；</w:t>
      </w:r>
    </w:p>
    <w:p>
      <w:pPr>
        <w:keepNext w:val="0"/>
        <w:keepLines w:val="0"/>
        <w:pageBreakBefore w:val="0"/>
        <w:widowControl w:val="0"/>
        <w:numPr>
          <w:ilvl w:val="0"/>
          <w:numId w:val="27"/>
        </w:numPr>
        <w:tabs>
          <w:tab w:val="left" w:pos="540"/>
        </w:tabs>
        <w:kinsoku/>
        <w:wordWrap/>
        <w:overflowPunct/>
        <w:topLinePunct w:val="0"/>
        <w:autoSpaceDE/>
        <w:autoSpaceDN/>
        <w:bidi w:val="0"/>
        <w:adjustRightInd w:val="0"/>
        <w:snapToGrid/>
        <w:spacing w:line="440" w:lineRule="exact"/>
        <w:ind w:leftChars="0" w:firstLine="42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rPr>
        <w:t>上述各类标准与法规必须是有关官方机构最新发布的现行标准版本。</w:t>
      </w:r>
    </w:p>
    <w:p>
      <w:pPr>
        <w:keepNext w:val="0"/>
        <w:keepLines w:val="0"/>
        <w:pageBreakBefore w:val="0"/>
        <w:widowControl w:val="0"/>
        <w:numPr>
          <w:ilvl w:val="-1"/>
          <w:numId w:val="0"/>
        </w:numPr>
        <w:tabs>
          <w:tab w:val="left" w:pos="540"/>
        </w:tabs>
        <w:kinsoku/>
        <w:wordWrap/>
        <w:overflowPunct/>
        <w:topLinePunct w:val="0"/>
        <w:autoSpaceDE/>
        <w:autoSpaceDN/>
        <w:bidi w:val="0"/>
        <w:adjustRightInd w:val="0"/>
        <w:snapToGrid/>
        <w:spacing w:line="312" w:lineRule="auto"/>
        <w:ind w:left="0" w:leftChars="0" w:firstLine="0" w:firstLineChars="0"/>
        <w:textAlignment w:val="auto"/>
        <w:rPr>
          <w:rFonts w:hint="eastAsia" w:ascii="宋体" w:hAnsi="宋体" w:eastAsia="宋体" w:cs="宋体"/>
          <w:b/>
          <w:bCs/>
          <w:color w:val="auto"/>
          <w:sz w:val="21"/>
          <w:szCs w:val="24"/>
          <w:highlight w:val="none"/>
          <w:lang w:val="en-US" w:eastAsia="zh-CN"/>
        </w:rPr>
      </w:pPr>
    </w:p>
    <w:p>
      <w:pPr>
        <w:rPr>
          <w:rFonts w:hint="eastAsia"/>
          <w:color w:val="auto"/>
        </w:rPr>
      </w:pPr>
      <w:r>
        <w:rPr>
          <w:rFonts w:hint="eastAsia"/>
          <w:color w:val="auto"/>
        </w:rPr>
        <w:br w:type="page"/>
      </w:r>
    </w:p>
    <w:p>
      <w:pPr>
        <w:rPr>
          <w:rFonts w:hint="eastAsia"/>
        </w:rPr>
      </w:pPr>
    </w:p>
    <w:p>
      <w:pPr>
        <w:pStyle w:val="2"/>
        <w:jc w:val="center"/>
        <w:rPr>
          <w:rFonts w:hint="eastAsia"/>
          <w:color w:val="auto"/>
        </w:rPr>
      </w:pPr>
    </w:p>
    <w:p>
      <w:pPr>
        <w:pStyle w:val="2"/>
        <w:jc w:val="center"/>
        <w:rPr>
          <w:rFonts w:hint="eastAsia"/>
          <w:color w:val="auto"/>
        </w:rPr>
      </w:pPr>
    </w:p>
    <w:p>
      <w:pPr>
        <w:pStyle w:val="2"/>
        <w:jc w:val="center"/>
        <w:rPr>
          <w:rFonts w:hint="eastAsia"/>
          <w:color w:val="auto"/>
        </w:rPr>
      </w:pPr>
    </w:p>
    <w:p>
      <w:pPr>
        <w:pStyle w:val="2"/>
        <w:jc w:val="center"/>
        <w:rPr>
          <w:rFonts w:hint="eastAsia"/>
          <w:color w:val="auto"/>
        </w:rPr>
      </w:pPr>
    </w:p>
    <w:p>
      <w:pPr>
        <w:pStyle w:val="2"/>
        <w:jc w:val="center"/>
        <w:rPr>
          <w:rFonts w:hint="eastAsia"/>
          <w:color w:val="auto"/>
        </w:rPr>
      </w:pPr>
    </w:p>
    <w:p>
      <w:pPr>
        <w:pStyle w:val="2"/>
        <w:jc w:val="center"/>
        <w:rPr>
          <w:rFonts w:hint="eastAsia"/>
          <w:color w:val="auto"/>
        </w:rPr>
      </w:pPr>
    </w:p>
    <w:p>
      <w:pPr>
        <w:pStyle w:val="2"/>
        <w:jc w:val="center"/>
        <w:rPr>
          <w:rFonts w:hint="eastAsia"/>
          <w:color w:val="auto"/>
        </w:rPr>
      </w:pPr>
    </w:p>
    <w:p>
      <w:pPr>
        <w:pStyle w:val="2"/>
        <w:jc w:val="center"/>
        <w:rPr>
          <w:color w:val="auto"/>
        </w:rPr>
      </w:pPr>
      <w:bookmarkStart w:id="12" w:name="_Toc12076"/>
      <w:r>
        <w:rPr>
          <w:rFonts w:hint="eastAsia"/>
          <w:color w:val="auto"/>
        </w:rPr>
        <w:t>第三部分</w:t>
      </w:r>
      <w:r>
        <w:rPr>
          <w:color w:val="auto"/>
        </w:rPr>
        <w:t xml:space="preserve">  </w:t>
      </w:r>
      <w:r>
        <w:rPr>
          <w:rFonts w:hint="eastAsia"/>
          <w:color w:val="auto"/>
        </w:rPr>
        <w:t>投标人须知</w:t>
      </w:r>
      <w:bookmarkEnd w:id="11"/>
      <w:bookmarkEnd w:id="12"/>
    </w:p>
    <w:p>
      <w:pPr>
        <w:pStyle w:val="2"/>
        <w:jc w:val="center"/>
        <w:rPr>
          <w:rFonts w:hint="eastAsia" w:cs="Times New Roman"/>
          <w:color w:val="auto"/>
          <w:lang w:eastAsia="zh-CN"/>
        </w:rPr>
      </w:pPr>
      <w:r>
        <w:rPr>
          <w:rFonts w:hint="eastAsia" w:cs="Times New Roman"/>
          <w:color w:val="auto"/>
          <w:lang w:eastAsia="zh-CN"/>
        </w:rPr>
        <w:br w:type="page"/>
      </w:r>
      <w:bookmarkStart w:id="13" w:name="_Toc23232"/>
      <w:bookmarkStart w:id="14" w:name="_Toc17458"/>
      <w:r>
        <w:rPr>
          <w:rFonts w:hint="eastAsia" w:cs="Times New Roman"/>
          <w:color w:val="auto"/>
          <w:lang w:eastAsia="zh-CN"/>
        </w:rPr>
        <w:t>投标人须知前附表</w:t>
      </w:r>
      <w:bookmarkEnd w:id="13"/>
      <w:bookmarkEnd w:id="14"/>
    </w:p>
    <w:tbl>
      <w:tblPr>
        <w:tblStyle w:val="13"/>
        <w:tblW w:w="0" w:type="auto"/>
        <w:tblInd w:w="108" w:type="dxa"/>
        <w:tblLayout w:type="fixed"/>
        <w:tblCellMar>
          <w:top w:w="0" w:type="dxa"/>
          <w:left w:w="108" w:type="dxa"/>
          <w:bottom w:w="0" w:type="dxa"/>
          <w:right w:w="108" w:type="dxa"/>
        </w:tblCellMar>
      </w:tblPr>
      <w:tblGrid>
        <w:gridCol w:w="801"/>
        <w:gridCol w:w="1802"/>
        <w:gridCol w:w="6585"/>
      </w:tblGrid>
      <w:tr>
        <w:tblPrEx>
          <w:tblCellMar>
            <w:top w:w="0" w:type="dxa"/>
            <w:left w:w="108" w:type="dxa"/>
            <w:bottom w:w="0" w:type="dxa"/>
            <w:right w:w="108" w:type="dxa"/>
          </w:tblCellMar>
        </w:tblPrEx>
        <w:tc>
          <w:tcPr>
            <w:tcW w:w="801" w:type="dxa"/>
            <w:tcBorders>
              <w:top w:val="single" w:color="000000" w:sz="4" w:space="0"/>
              <w:left w:val="single" w:color="000000" w:sz="4" w:space="0"/>
              <w:bottom w:val="single" w:color="000000" w:sz="4" w:space="0"/>
            </w:tcBorders>
            <w:shd w:val="clear" w:color="auto" w:fill="F3F3F3"/>
            <w:noWrap w:val="0"/>
            <w:vAlign w:val="center"/>
          </w:tcPr>
          <w:p>
            <w:pPr>
              <w:spacing w:line="400" w:lineRule="exact"/>
              <w:jc w:val="center"/>
              <w:rPr>
                <w:rFonts w:hint="eastAsia" w:ascii="宋体" w:hAnsi="宋体" w:cs="宋体"/>
                <w:b/>
                <w:color w:val="auto"/>
                <w:szCs w:val="21"/>
              </w:rPr>
            </w:pPr>
            <w:r>
              <w:rPr>
                <w:rFonts w:hint="eastAsia" w:ascii="宋体" w:hAnsi="宋体" w:cs="宋体"/>
                <w:b/>
                <w:color w:val="auto"/>
                <w:szCs w:val="21"/>
              </w:rPr>
              <w:t>序号</w:t>
            </w:r>
          </w:p>
        </w:tc>
        <w:tc>
          <w:tcPr>
            <w:tcW w:w="1802" w:type="dxa"/>
            <w:tcBorders>
              <w:top w:val="single" w:color="000000" w:sz="4" w:space="0"/>
              <w:left w:val="single" w:color="000000" w:sz="4" w:space="0"/>
              <w:bottom w:val="single" w:color="000000" w:sz="4" w:space="0"/>
            </w:tcBorders>
            <w:shd w:val="clear" w:color="auto" w:fill="F3F3F3"/>
            <w:noWrap w:val="0"/>
            <w:vAlign w:val="center"/>
          </w:tcPr>
          <w:p>
            <w:pPr>
              <w:spacing w:line="400" w:lineRule="exact"/>
              <w:jc w:val="center"/>
              <w:rPr>
                <w:rFonts w:hint="eastAsia" w:ascii="宋体" w:hAnsi="宋体" w:cs="宋体"/>
                <w:b/>
                <w:color w:val="auto"/>
                <w:szCs w:val="21"/>
              </w:rPr>
            </w:pPr>
            <w:r>
              <w:rPr>
                <w:rFonts w:hint="eastAsia" w:ascii="宋体" w:hAnsi="宋体" w:cs="宋体"/>
                <w:b/>
                <w:color w:val="auto"/>
                <w:szCs w:val="21"/>
              </w:rPr>
              <w:t xml:space="preserve">事   项  </w:t>
            </w:r>
          </w:p>
        </w:tc>
        <w:tc>
          <w:tcPr>
            <w:tcW w:w="6585" w:type="dxa"/>
            <w:tcBorders>
              <w:top w:val="single" w:color="000000" w:sz="4" w:space="0"/>
              <w:left w:val="single" w:color="000000" w:sz="4" w:space="0"/>
              <w:bottom w:val="single" w:color="000000" w:sz="4" w:space="0"/>
              <w:right w:val="single" w:color="000000" w:sz="4" w:space="0"/>
            </w:tcBorders>
            <w:shd w:val="clear" w:color="auto" w:fill="F3F3F3"/>
            <w:noWrap w:val="0"/>
            <w:vAlign w:val="center"/>
          </w:tcPr>
          <w:p>
            <w:pPr>
              <w:spacing w:line="400" w:lineRule="exact"/>
              <w:jc w:val="center"/>
              <w:rPr>
                <w:color w:val="auto"/>
              </w:rPr>
            </w:pPr>
            <w:r>
              <w:rPr>
                <w:rFonts w:hint="eastAsia" w:ascii="宋体" w:hAnsi="宋体" w:cs="宋体"/>
                <w:b/>
                <w:color w:val="auto"/>
                <w:szCs w:val="21"/>
              </w:rPr>
              <w:t>主  要  内  容</w:t>
            </w:r>
          </w:p>
        </w:tc>
      </w:tr>
      <w:tr>
        <w:tblPrEx>
          <w:tblCellMar>
            <w:top w:w="0" w:type="dxa"/>
            <w:left w:w="108" w:type="dxa"/>
            <w:bottom w:w="0" w:type="dxa"/>
            <w:right w:w="108" w:type="dxa"/>
          </w:tblCellMar>
        </w:tblPrEx>
        <w:tc>
          <w:tcPr>
            <w:tcW w:w="801" w:type="dxa"/>
            <w:tcBorders>
              <w:top w:val="single" w:color="000000" w:sz="4" w:space="0"/>
              <w:left w:val="single" w:color="000000" w:sz="4" w:space="0"/>
              <w:bottom w:val="single" w:color="000000" w:sz="4" w:space="0"/>
            </w:tcBorders>
            <w:noWrap w:val="0"/>
            <w:vAlign w:val="center"/>
          </w:tcPr>
          <w:p>
            <w:pPr>
              <w:numPr>
                <w:ilvl w:val="0"/>
                <w:numId w:val="28"/>
              </w:numPr>
              <w:tabs>
                <w:tab w:val="left" w:pos="180"/>
              </w:tabs>
              <w:snapToGrid w:val="0"/>
              <w:spacing w:line="400" w:lineRule="exact"/>
              <w:jc w:val="center"/>
              <w:rPr>
                <w:rFonts w:hint="eastAsia" w:ascii="宋体" w:hAnsi="宋体" w:cs="宋体"/>
                <w:b/>
                <w:color w:val="auto"/>
                <w:szCs w:val="21"/>
              </w:rPr>
            </w:pPr>
          </w:p>
        </w:tc>
        <w:tc>
          <w:tcPr>
            <w:tcW w:w="1802" w:type="dxa"/>
            <w:tcBorders>
              <w:top w:val="single" w:color="000000" w:sz="4" w:space="0"/>
              <w:left w:val="single" w:color="000000" w:sz="4" w:space="0"/>
              <w:bottom w:val="single" w:color="000000" w:sz="4" w:space="0"/>
            </w:tcBorders>
            <w:noWrap w:val="0"/>
            <w:vAlign w:val="center"/>
          </w:tcPr>
          <w:p>
            <w:pPr>
              <w:spacing w:line="400" w:lineRule="exact"/>
              <w:jc w:val="center"/>
              <w:rPr>
                <w:rFonts w:ascii="宋体" w:hAnsi="宋体" w:cs="宋体"/>
                <w:color w:val="auto"/>
                <w:szCs w:val="21"/>
                <w:lang w:eastAsia="zh-CN"/>
              </w:rPr>
            </w:pPr>
            <w:r>
              <w:rPr>
                <w:rFonts w:hint="eastAsia" w:ascii="宋体" w:hAnsi="宋体" w:cs="宋体"/>
                <w:color w:val="auto"/>
                <w:szCs w:val="21"/>
                <w:lang w:eastAsia="zh-CN"/>
              </w:rPr>
              <w:t>采购人名称</w:t>
            </w:r>
          </w:p>
        </w:tc>
        <w:tc>
          <w:tcPr>
            <w:tcW w:w="6585"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rPr>
                <w:rFonts w:hint="eastAsia" w:ascii="宋体" w:hAnsi="宋体" w:cs="宋体"/>
                <w:b/>
                <w:color w:val="auto"/>
                <w:szCs w:val="21"/>
              </w:rPr>
            </w:pPr>
            <w:r>
              <w:rPr>
                <w:rFonts w:hint="eastAsia" w:cs="宋体"/>
                <w:color w:val="auto"/>
                <w:szCs w:val="21"/>
                <w:lang w:eastAsia="zh-CN"/>
              </w:rPr>
              <w:t>佛山市三水云东海新城开发投资有限公司</w:t>
            </w:r>
          </w:p>
        </w:tc>
      </w:tr>
      <w:tr>
        <w:tblPrEx>
          <w:tblCellMar>
            <w:top w:w="0" w:type="dxa"/>
            <w:left w:w="108" w:type="dxa"/>
            <w:bottom w:w="0" w:type="dxa"/>
            <w:right w:w="108" w:type="dxa"/>
          </w:tblCellMar>
        </w:tblPrEx>
        <w:tc>
          <w:tcPr>
            <w:tcW w:w="801" w:type="dxa"/>
            <w:tcBorders>
              <w:top w:val="single" w:color="000000" w:sz="4" w:space="0"/>
              <w:left w:val="single" w:color="000000" w:sz="4" w:space="0"/>
              <w:bottom w:val="single" w:color="000000" w:sz="4" w:space="0"/>
            </w:tcBorders>
            <w:noWrap w:val="0"/>
            <w:vAlign w:val="center"/>
          </w:tcPr>
          <w:p>
            <w:pPr>
              <w:numPr>
                <w:ilvl w:val="0"/>
                <w:numId w:val="28"/>
              </w:numPr>
              <w:tabs>
                <w:tab w:val="left" w:pos="180"/>
              </w:tabs>
              <w:snapToGrid w:val="0"/>
              <w:spacing w:line="400" w:lineRule="exact"/>
              <w:jc w:val="center"/>
              <w:rPr>
                <w:rFonts w:hint="eastAsia" w:ascii="宋体" w:hAnsi="宋体" w:cs="宋体"/>
                <w:b/>
                <w:color w:val="auto"/>
                <w:szCs w:val="21"/>
              </w:rPr>
            </w:pPr>
          </w:p>
        </w:tc>
        <w:tc>
          <w:tcPr>
            <w:tcW w:w="1802" w:type="dxa"/>
            <w:tcBorders>
              <w:top w:val="single" w:color="000000" w:sz="4" w:space="0"/>
              <w:left w:val="single" w:color="000000" w:sz="4" w:space="0"/>
              <w:bottom w:val="single" w:color="000000" w:sz="4" w:space="0"/>
            </w:tcBorders>
            <w:noWrap w:val="0"/>
            <w:vAlign w:val="center"/>
          </w:tcPr>
          <w:p>
            <w:pPr>
              <w:spacing w:line="400" w:lineRule="exact"/>
              <w:jc w:val="center"/>
              <w:rPr>
                <w:rFonts w:ascii="宋体" w:hAnsi="宋体" w:cs="宋体"/>
                <w:color w:val="auto"/>
                <w:szCs w:val="21"/>
                <w:lang w:eastAsia="zh-CN"/>
              </w:rPr>
            </w:pPr>
            <w:r>
              <w:rPr>
                <w:rFonts w:hint="eastAsia" w:ascii="宋体" w:hAnsi="宋体" w:cs="宋体"/>
                <w:color w:val="auto"/>
                <w:szCs w:val="21"/>
                <w:lang w:eastAsia="zh-CN"/>
              </w:rPr>
              <w:t>项目名称</w:t>
            </w:r>
          </w:p>
        </w:tc>
        <w:tc>
          <w:tcPr>
            <w:tcW w:w="6585"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rPr>
                <w:rFonts w:hint="eastAsia" w:ascii="宋体" w:hAnsi="宋体" w:cs="宋体"/>
                <w:color w:val="auto"/>
                <w:szCs w:val="21"/>
                <w:lang w:eastAsia="zh-CN"/>
              </w:rPr>
            </w:pPr>
            <w:r>
              <w:rPr>
                <w:rFonts w:hint="eastAsia" w:cs="宋体"/>
                <w:color w:val="auto"/>
                <w:szCs w:val="21"/>
                <w:lang w:eastAsia="zh-CN"/>
              </w:rPr>
              <w:t>三水文化中心物业管理服务项目</w:t>
            </w:r>
          </w:p>
        </w:tc>
      </w:tr>
      <w:tr>
        <w:tblPrEx>
          <w:tblCellMar>
            <w:top w:w="0" w:type="dxa"/>
            <w:left w:w="108" w:type="dxa"/>
            <w:bottom w:w="0" w:type="dxa"/>
            <w:right w:w="108" w:type="dxa"/>
          </w:tblCellMar>
        </w:tblPrEx>
        <w:tc>
          <w:tcPr>
            <w:tcW w:w="801" w:type="dxa"/>
            <w:tcBorders>
              <w:top w:val="single" w:color="000000" w:sz="4" w:space="0"/>
              <w:left w:val="single" w:color="000000" w:sz="4" w:space="0"/>
              <w:bottom w:val="single" w:color="000000" w:sz="4" w:space="0"/>
            </w:tcBorders>
            <w:noWrap w:val="0"/>
            <w:vAlign w:val="center"/>
          </w:tcPr>
          <w:p>
            <w:pPr>
              <w:numPr>
                <w:ilvl w:val="0"/>
                <w:numId w:val="28"/>
              </w:numPr>
              <w:tabs>
                <w:tab w:val="left" w:pos="180"/>
              </w:tabs>
              <w:snapToGrid w:val="0"/>
              <w:spacing w:line="400" w:lineRule="exact"/>
              <w:jc w:val="center"/>
              <w:rPr>
                <w:rFonts w:hint="eastAsia" w:ascii="宋体" w:hAnsi="宋体" w:cs="宋体"/>
                <w:b/>
                <w:color w:val="auto"/>
                <w:szCs w:val="21"/>
              </w:rPr>
            </w:pPr>
          </w:p>
        </w:tc>
        <w:tc>
          <w:tcPr>
            <w:tcW w:w="1802" w:type="dxa"/>
            <w:tcBorders>
              <w:top w:val="single" w:color="000000" w:sz="4" w:space="0"/>
              <w:left w:val="single" w:color="000000" w:sz="4" w:space="0"/>
              <w:bottom w:val="single" w:color="000000" w:sz="4" w:space="0"/>
            </w:tcBorders>
            <w:noWrap w:val="0"/>
            <w:vAlign w:val="center"/>
          </w:tcPr>
          <w:p>
            <w:pPr>
              <w:spacing w:line="400" w:lineRule="exact"/>
              <w:jc w:val="center"/>
              <w:rPr>
                <w:rFonts w:ascii="宋体" w:hAnsi="宋体" w:cs="宋体"/>
                <w:color w:val="auto"/>
                <w:szCs w:val="21"/>
                <w:lang w:eastAsia="zh-CN"/>
              </w:rPr>
            </w:pPr>
            <w:r>
              <w:rPr>
                <w:rFonts w:hint="eastAsia" w:ascii="宋体" w:hAnsi="宋体" w:cs="宋体"/>
                <w:color w:val="auto"/>
                <w:szCs w:val="21"/>
                <w:lang w:eastAsia="zh-CN"/>
              </w:rPr>
              <w:t>资金来源</w:t>
            </w:r>
          </w:p>
        </w:tc>
        <w:tc>
          <w:tcPr>
            <w:tcW w:w="6585"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rPr>
                <w:rFonts w:hint="eastAsia" w:ascii="宋体" w:hAnsi="宋体" w:cs="宋体"/>
                <w:color w:val="auto"/>
                <w:szCs w:val="21"/>
                <w:lang w:eastAsia="zh-CN"/>
              </w:rPr>
            </w:pPr>
            <w:r>
              <w:rPr>
                <w:rFonts w:hint="eastAsia" w:ascii="宋体" w:hAnsi="宋体" w:cs="宋体"/>
                <w:b/>
                <w:bCs/>
                <w:color w:val="auto"/>
                <w:szCs w:val="21"/>
                <w:lang w:val="en-US" w:eastAsia="zh-CN"/>
              </w:rPr>
              <w:t>国有</w:t>
            </w:r>
            <w:r>
              <w:rPr>
                <w:rFonts w:hint="eastAsia" w:ascii="宋体" w:hAnsi="宋体" w:cs="宋体"/>
                <w:b/>
                <w:bCs/>
                <w:color w:val="auto"/>
                <w:szCs w:val="21"/>
                <w:lang w:eastAsia="zh-CN"/>
              </w:rPr>
              <w:t>资金</w:t>
            </w:r>
          </w:p>
        </w:tc>
      </w:tr>
      <w:tr>
        <w:tblPrEx>
          <w:tblCellMar>
            <w:top w:w="0" w:type="dxa"/>
            <w:left w:w="108" w:type="dxa"/>
            <w:bottom w:w="0" w:type="dxa"/>
            <w:right w:w="108" w:type="dxa"/>
          </w:tblCellMar>
        </w:tblPrEx>
        <w:tc>
          <w:tcPr>
            <w:tcW w:w="801" w:type="dxa"/>
            <w:tcBorders>
              <w:top w:val="single" w:color="000000" w:sz="4" w:space="0"/>
              <w:left w:val="single" w:color="000000" w:sz="4" w:space="0"/>
              <w:bottom w:val="single" w:color="000000" w:sz="4" w:space="0"/>
            </w:tcBorders>
            <w:noWrap w:val="0"/>
            <w:vAlign w:val="center"/>
          </w:tcPr>
          <w:p>
            <w:pPr>
              <w:numPr>
                <w:ilvl w:val="0"/>
                <w:numId w:val="28"/>
              </w:numPr>
              <w:tabs>
                <w:tab w:val="left" w:pos="180"/>
              </w:tabs>
              <w:snapToGrid w:val="0"/>
              <w:spacing w:line="400" w:lineRule="exact"/>
              <w:jc w:val="center"/>
              <w:rPr>
                <w:rFonts w:hint="eastAsia" w:ascii="宋体" w:hAnsi="宋体" w:cs="宋体"/>
                <w:b/>
                <w:color w:val="auto"/>
                <w:szCs w:val="21"/>
              </w:rPr>
            </w:pPr>
          </w:p>
        </w:tc>
        <w:tc>
          <w:tcPr>
            <w:tcW w:w="1802" w:type="dxa"/>
            <w:tcBorders>
              <w:top w:val="single" w:color="000000" w:sz="4" w:space="0"/>
              <w:left w:val="single" w:color="000000" w:sz="4" w:space="0"/>
              <w:bottom w:val="single" w:color="000000" w:sz="4" w:space="0"/>
            </w:tcBorders>
            <w:noWrap w:val="0"/>
            <w:vAlign w:val="center"/>
          </w:tcPr>
          <w:p>
            <w:pPr>
              <w:spacing w:line="400" w:lineRule="exact"/>
              <w:jc w:val="center"/>
              <w:rPr>
                <w:rFonts w:ascii="宋体" w:hAnsi="宋体" w:cs="宋体"/>
                <w:color w:val="auto"/>
                <w:szCs w:val="21"/>
                <w:lang w:eastAsia="zh-CN"/>
              </w:rPr>
            </w:pPr>
            <w:r>
              <w:rPr>
                <w:rFonts w:hint="eastAsia" w:ascii="宋体" w:hAnsi="宋体" w:cs="宋体"/>
                <w:bCs/>
                <w:color w:val="auto"/>
                <w:szCs w:val="21"/>
              </w:rPr>
              <w:t>招标控制价（最高</w:t>
            </w:r>
            <w:r>
              <w:rPr>
                <w:rFonts w:hint="eastAsia" w:ascii="宋体" w:hAnsi="宋体" w:cs="宋体"/>
                <w:bCs/>
                <w:color w:val="auto"/>
                <w:szCs w:val="21"/>
                <w:lang w:eastAsia="zh-CN"/>
              </w:rPr>
              <w:t>投标</w:t>
            </w:r>
            <w:r>
              <w:rPr>
                <w:rFonts w:hint="eastAsia" w:ascii="宋体" w:hAnsi="宋体" w:cs="宋体"/>
                <w:bCs/>
                <w:color w:val="auto"/>
                <w:szCs w:val="21"/>
              </w:rPr>
              <w:t>限价）</w:t>
            </w:r>
          </w:p>
        </w:tc>
        <w:tc>
          <w:tcPr>
            <w:tcW w:w="6585"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rPr>
                <w:rFonts w:hint="default" w:ascii="宋体" w:hAnsi="宋体" w:cs="宋体"/>
                <w:b/>
                <w:color w:val="auto"/>
                <w:szCs w:val="21"/>
                <w:lang w:val="en-US" w:eastAsia="zh-CN"/>
              </w:rPr>
            </w:pPr>
            <w:r>
              <w:rPr>
                <w:rFonts w:hint="eastAsia" w:ascii="宋体" w:hAnsi="宋体" w:cs="宋体"/>
                <w:color w:val="auto"/>
                <w:szCs w:val="21"/>
              </w:rPr>
              <w:t>本项目</w:t>
            </w:r>
            <w:r>
              <w:rPr>
                <w:rFonts w:hint="eastAsia" w:ascii="宋体" w:hAnsi="宋体" w:cs="宋体"/>
                <w:bCs/>
                <w:color w:val="auto"/>
                <w:szCs w:val="21"/>
              </w:rPr>
              <w:t>招标控制价（</w:t>
            </w:r>
            <w:r>
              <w:rPr>
                <w:rFonts w:hint="eastAsia" w:ascii="宋体" w:hAnsi="宋体" w:cs="宋体"/>
                <w:color w:val="auto"/>
                <w:szCs w:val="21"/>
              </w:rPr>
              <w:t>最高</w:t>
            </w:r>
            <w:r>
              <w:rPr>
                <w:rFonts w:hint="eastAsia" w:ascii="宋体" w:hAnsi="宋体" w:cs="宋体"/>
                <w:color w:val="auto"/>
                <w:szCs w:val="21"/>
                <w:lang w:eastAsia="zh-CN"/>
              </w:rPr>
              <w:t>投标</w:t>
            </w:r>
            <w:r>
              <w:rPr>
                <w:rFonts w:hint="eastAsia" w:ascii="宋体" w:hAnsi="宋体" w:cs="宋体"/>
                <w:color w:val="auto"/>
                <w:szCs w:val="21"/>
              </w:rPr>
              <w:t>限价）：</w:t>
            </w:r>
            <w:r>
              <w:rPr>
                <w:rFonts w:hint="eastAsia" w:cs="宋体"/>
                <w:color w:val="auto"/>
                <w:szCs w:val="21"/>
                <w:lang w:val="en-US" w:eastAsia="zh-CN"/>
              </w:rPr>
              <w:t>4,914,700.00</w:t>
            </w:r>
          </w:p>
        </w:tc>
      </w:tr>
      <w:tr>
        <w:tblPrEx>
          <w:tblCellMar>
            <w:top w:w="0" w:type="dxa"/>
            <w:left w:w="108" w:type="dxa"/>
            <w:bottom w:w="0" w:type="dxa"/>
            <w:right w:w="108" w:type="dxa"/>
          </w:tblCellMar>
        </w:tblPrEx>
        <w:tc>
          <w:tcPr>
            <w:tcW w:w="801" w:type="dxa"/>
            <w:tcBorders>
              <w:top w:val="single" w:color="000000" w:sz="4" w:space="0"/>
              <w:left w:val="single" w:color="000000" w:sz="4" w:space="0"/>
              <w:bottom w:val="single" w:color="000000" w:sz="4" w:space="0"/>
            </w:tcBorders>
            <w:noWrap w:val="0"/>
            <w:vAlign w:val="center"/>
          </w:tcPr>
          <w:p>
            <w:pPr>
              <w:numPr>
                <w:ilvl w:val="0"/>
                <w:numId w:val="28"/>
              </w:numPr>
              <w:tabs>
                <w:tab w:val="left" w:pos="180"/>
              </w:tabs>
              <w:snapToGrid w:val="0"/>
              <w:spacing w:line="400" w:lineRule="exact"/>
              <w:jc w:val="center"/>
              <w:rPr>
                <w:rFonts w:hint="eastAsia" w:ascii="宋体" w:hAnsi="宋体" w:cs="宋体"/>
                <w:b/>
                <w:color w:val="auto"/>
                <w:szCs w:val="21"/>
              </w:rPr>
            </w:pPr>
          </w:p>
        </w:tc>
        <w:tc>
          <w:tcPr>
            <w:tcW w:w="1802" w:type="dxa"/>
            <w:tcBorders>
              <w:top w:val="single" w:color="000000" w:sz="4" w:space="0"/>
              <w:left w:val="single" w:color="000000" w:sz="4" w:space="0"/>
              <w:bottom w:val="single" w:color="000000" w:sz="4" w:space="0"/>
            </w:tcBorders>
            <w:noWrap w:val="0"/>
            <w:vAlign w:val="center"/>
          </w:tcPr>
          <w:p>
            <w:pPr>
              <w:spacing w:line="400" w:lineRule="exact"/>
              <w:jc w:val="center"/>
              <w:rPr>
                <w:rFonts w:ascii="Wingdings 2" w:hAnsi="Wingdings 2" w:cs="Wingdings 2"/>
                <w:color w:val="auto"/>
                <w:szCs w:val="21"/>
              </w:rPr>
            </w:pPr>
            <w:r>
              <w:rPr>
                <w:rFonts w:hint="eastAsia" w:ascii="宋体" w:hAnsi="宋体" w:cs="宋体"/>
                <w:color w:val="auto"/>
                <w:szCs w:val="21"/>
              </w:rPr>
              <w:t>投标保证金</w:t>
            </w:r>
          </w:p>
        </w:tc>
        <w:tc>
          <w:tcPr>
            <w:tcW w:w="6585"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rPr>
                <w:rFonts w:hint="default" w:eastAsia="宋体"/>
                <w:color w:val="auto"/>
                <w:lang w:val="en-US" w:eastAsia="zh-CN"/>
              </w:rPr>
            </w:pPr>
            <w:r>
              <w:rPr>
                <w:rFonts w:hint="eastAsia"/>
                <w:color w:val="auto"/>
                <w:lang w:val="en-US" w:eastAsia="zh-CN"/>
              </w:rPr>
              <w:t>本项目不设投标保证金。</w:t>
            </w:r>
          </w:p>
        </w:tc>
      </w:tr>
      <w:tr>
        <w:tblPrEx>
          <w:tblCellMar>
            <w:top w:w="0" w:type="dxa"/>
            <w:left w:w="108" w:type="dxa"/>
            <w:bottom w:w="0" w:type="dxa"/>
            <w:right w:w="108" w:type="dxa"/>
          </w:tblCellMar>
        </w:tblPrEx>
        <w:tc>
          <w:tcPr>
            <w:tcW w:w="801" w:type="dxa"/>
            <w:tcBorders>
              <w:top w:val="single" w:color="000000" w:sz="4" w:space="0"/>
              <w:left w:val="single" w:color="000000" w:sz="4" w:space="0"/>
              <w:bottom w:val="single" w:color="000000" w:sz="4" w:space="0"/>
            </w:tcBorders>
            <w:noWrap w:val="0"/>
            <w:vAlign w:val="center"/>
          </w:tcPr>
          <w:p>
            <w:pPr>
              <w:numPr>
                <w:ilvl w:val="0"/>
                <w:numId w:val="28"/>
              </w:numPr>
              <w:tabs>
                <w:tab w:val="left" w:pos="180"/>
              </w:tabs>
              <w:snapToGrid w:val="0"/>
              <w:spacing w:line="400" w:lineRule="exact"/>
              <w:jc w:val="center"/>
              <w:rPr>
                <w:rFonts w:hint="eastAsia" w:ascii="宋体" w:hAnsi="宋体" w:cs="宋体"/>
                <w:color w:val="auto"/>
                <w:szCs w:val="21"/>
              </w:rPr>
            </w:pPr>
          </w:p>
        </w:tc>
        <w:tc>
          <w:tcPr>
            <w:tcW w:w="1802" w:type="dxa"/>
            <w:tcBorders>
              <w:top w:val="single" w:color="000000" w:sz="4" w:space="0"/>
              <w:left w:val="single" w:color="000000" w:sz="4" w:space="0"/>
              <w:bottom w:val="single" w:color="000000" w:sz="4" w:space="0"/>
            </w:tcBorders>
            <w:noWrap w:val="0"/>
            <w:vAlign w:val="center"/>
          </w:tcPr>
          <w:p>
            <w:pPr>
              <w:spacing w:line="400" w:lineRule="exact"/>
              <w:jc w:val="center"/>
              <w:rPr>
                <w:rFonts w:hint="eastAsia" w:ascii="宋体" w:hAnsi="宋体" w:cs="宋体"/>
                <w:color w:val="auto"/>
                <w:szCs w:val="21"/>
              </w:rPr>
            </w:pPr>
            <w:r>
              <w:rPr>
                <w:rFonts w:hint="eastAsia" w:ascii="宋体" w:hAnsi="宋体" w:cs="宋体"/>
                <w:color w:val="auto"/>
                <w:szCs w:val="21"/>
              </w:rPr>
              <w:t>投标有效期</w:t>
            </w:r>
          </w:p>
        </w:tc>
        <w:tc>
          <w:tcPr>
            <w:tcW w:w="6585"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rPr>
                <w:color w:val="auto"/>
              </w:rPr>
            </w:pPr>
            <w:r>
              <w:rPr>
                <w:rFonts w:hint="eastAsia" w:ascii="宋体" w:hAnsi="宋体" w:cs="宋体"/>
                <w:color w:val="auto"/>
                <w:szCs w:val="21"/>
              </w:rPr>
              <w:t>投标有效期为投标截止时间起满90天。</w:t>
            </w:r>
          </w:p>
        </w:tc>
      </w:tr>
      <w:tr>
        <w:tblPrEx>
          <w:tblCellMar>
            <w:top w:w="0" w:type="dxa"/>
            <w:left w:w="108" w:type="dxa"/>
            <w:bottom w:w="0" w:type="dxa"/>
            <w:right w:w="108" w:type="dxa"/>
          </w:tblCellMar>
        </w:tblPrEx>
        <w:tc>
          <w:tcPr>
            <w:tcW w:w="801" w:type="dxa"/>
            <w:tcBorders>
              <w:top w:val="single" w:color="000000" w:sz="4" w:space="0"/>
              <w:left w:val="single" w:color="000000" w:sz="4" w:space="0"/>
              <w:bottom w:val="single" w:color="000000" w:sz="4" w:space="0"/>
            </w:tcBorders>
            <w:noWrap w:val="0"/>
            <w:vAlign w:val="center"/>
          </w:tcPr>
          <w:p>
            <w:pPr>
              <w:numPr>
                <w:ilvl w:val="0"/>
                <w:numId w:val="28"/>
              </w:numPr>
              <w:tabs>
                <w:tab w:val="left" w:pos="180"/>
              </w:tabs>
              <w:snapToGrid w:val="0"/>
              <w:spacing w:line="400" w:lineRule="exact"/>
              <w:jc w:val="center"/>
              <w:rPr>
                <w:rFonts w:hint="eastAsia" w:ascii="宋体" w:hAnsi="宋体" w:cs="宋体"/>
                <w:color w:val="auto"/>
                <w:szCs w:val="21"/>
              </w:rPr>
            </w:pPr>
          </w:p>
        </w:tc>
        <w:tc>
          <w:tcPr>
            <w:tcW w:w="1802" w:type="dxa"/>
            <w:tcBorders>
              <w:top w:val="single" w:color="000000" w:sz="4" w:space="0"/>
              <w:left w:val="single" w:color="000000" w:sz="4" w:space="0"/>
              <w:bottom w:val="single" w:color="000000" w:sz="4" w:space="0"/>
            </w:tcBorders>
            <w:noWrap w:val="0"/>
            <w:vAlign w:val="center"/>
          </w:tcPr>
          <w:p>
            <w:pPr>
              <w:widowControl/>
              <w:spacing w:line="400" w:lineRule="exact"/>
              <w:jc w:val="center"/>
              <w:rPr>
                <w:rFonts w:hint="eastAsia" w:ascii="宋体" w:hAnsi="宋体" w:cs="宋体"/>
                <w:color w:val="auto"/>
                <w:szCs w:val="21"/>
              </w:rPr>
            </w:pPr>
            <w:r>
              <w:rPr>
                <w:rFonts w:hint="eastAsia" w:ascii="宋体" w:hAnsi="宋体" w:cs="宋体"/>
                <w:color w:val="auto"/>
                <w:kern w:val="0"/>
                <w:szCs w:val="21"/>
                <w:lang w:eastAsia="zh-CN" w:bidi="ar"/>
              </w:rPr>
              <w:t>投标文件的提交</w:t>
            </w:r>
            <w:r>
              <w:rPr>
                <w:rFonts w:hint="eastAsia" w:ascii="宋体" w:hAnsi="宋体" w:cs="宋体"/>
                <w:color w:val="auto"/>
                <w:szCs w:val="21"/>
              </w:rPr>
              <w:t>与解密要求</w:t>
            </w:r>
          </w:p>
        </w:tc>
        <w:tc>
          <w:tcPr>
            <w:tcW w:w="6585"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rPr>
                <w:rFonts w:hint="eastAsia" w:ascii="宋体" w:hAnsi="宋体" w:eastAsia="宋体" w:cs="宋体"/>
                <w:color w:val="auto"/>
                <w:szCs w:val="21"/>
                <w:lang w:eastAsia="zh-CN"/>
              </w:rPr>
            </w:pPr>
            <w:r>
              <w:rPr>
                <w:rFonts w:hint="eastAsia" w:ascii="宋体" w:hAnsi="宋体" w:eastAsia="宋体" w:cs="宋体"/>
                <w:color w:val="auto"/>
                <w:szCs w:val="21"/>
                <w:lang w:eastAsia="zh-CN"/>
              </w:rPr>
              <w:t xml:space="preserve">本项目采用电子化采购模式，投标人须按照电子招标文件要求，登录佛山市公共资源交易综合管理云平台进行网上获取招标文件和递交电子投标文件参与投标。 </w:t>
            </w:r>
          </w:p>
          <w:p>
            <w:pPr>
              <w:spacing w:line="400" w:lineRule="exact"/>
              <w:rPr>
                <w:rFonts w:hint="eastAsia" w:ascii="宋体" w:hAnsi="宋体" w:eastAsia="宋体" w:cs="宋体"/>
                <w:color w:val="auto"/>
                <w:szCs w:val="21"/>
                <w:lang w:eastAsia="zh-CN"/>
              </w:rPr>
            </w:pPr>
            <w:r>
              <w:rPr>
                <w:rFonts w:hint="eastAsia" w:ascii="宋体" w:hAnsi="宋体" w:eastAsia="宋体" w:cs="宋体"/>
                <w:color w:val="auto"/>
                <w:szCs w:val="21"/>
                <w:lang w:eastAsia="zh-CN"/>
              </w:rPr>
              <w:t>（1）电子投标文件提交截止时间：北京时间2026年</w:t>
            </w:r>
            <w:r>
              <w:rPr>
                <w:rFonts w:hint="eastAsia" w:ascii="宋体" w:hAnsi="宋体" w:eastAsia="宋体" w:cs="宋体"/>
                <w:color w:val="auto"/>
                <w:szCs w:val="21"/>
                <w:lang w:val="en-US" w:eastAsia="zh-CN"/>
              </w:rPr>
              <w:t>9</w:t>
            </w:r>
            <w:r>
              <w:rPr>
                <w:rFonts w:hint="eastAsia" w:ascii="宋体" w:hAnsi="宋体" w:eastAsia="宋体" w:cs="宋体"/>
                <w:color w:val="auto"/>
                <w:szCs w:val="21"/>
                <w:lang w:eastAsia="zh-CN"/>
              </w:rPr>
              <w:t>月</w:t>
            </w:r>
            <w:r>
              <w:rPr>
                <w:rFonts w:hint="eastAsia" w:ascii="宋体" w:hAnsi="宋体" w:eastAsia="宋体" w:cs="宋体"/>
                <w:color w:val="auto"/>
                <w:szCs w:val="21"/>
                <w:lang w:val="en-US" w:eastAsia="zh-CN"/>
              </w:rPr>
              <w:t>18</w:t>
            </w:r>
            <w:r>
              <w:rPr>
                <w:rFonts w:hint="eastAsia" w:ascii="宋体" w:hAnsi="宋体" w:eastAsia="宋体" w:cs="宋体"/>
                <w:color w:val="auto"/>
                <w:szCs w:val="21"/>
                <w:lang w:eastAsia="zh-CN"/>
              </w:rPr>
              <w:t>日9时</w:t>
            </w:r>
            <w:r>
              <w:rPr>
                <w:rFonts w:hint="eastAsia" w:cs="宋体"/>
                <w:color w:val="auto"/>
                <w:szCs w:val="21"/>
                <w:lang w:val="en-US" w:eastAsia="zh-CN"/>
              </w:rPr>
              <w:t>3</w:t>
            </w:r>
            <w:r>
              <w:rPr>
                <w:rFonts w:hint="eastAsia" w:ascii="宋体" w:hAnsi="宋体" w:eastAsia="宋体" w:cs="宋体"/>
                <w:color w:val="auto"/>
                <w:szCs w:val="21"/>
                <w:lang w:val="en-US" w:eastAsia="zh-CN"/>
              </w:rPr>
              <w:t>0</w:t>
            </w:r>
            <w:r>
              <w:rPr>
                <w:rFonts w:hint="eastAsia" w:ascii="宋体" w:hAnsi="宋体" w:eastAsia="宋体" w:cs="宋体"/>
                <w:color w:val="auto"/>
                <w:szCs w:val="21"/>
                <w:lang w:eastAsia="zh-CN"/>
              </w:rPr>
              <w:t>分。</w:t>
            </w:r>
          </w:p>
          <w:p>
            <w:pPr>
              <w:spacing w:line="400" w:lineRule="exact"/>
              <w:rPr>
                <w:rFonts w:hint="eastAsia" w:ascii="宋体" w:hAnsi="宋体" w:eastAsia="宋体" w:cs="宋体"/>
                <w:color w:val="auto"/>
                <w:szCs w:val="21"/>
                <w:lang w:eastAsia="zh-CN"/>
              </w:rPr>
            </w:pPr>
            <w:r>
              <w:rPr>
                <w:rFonts w:hint="eastAsia" w:ascii="宋体" w:hAnsi="宋体" w:eastAsia="宋体" w:cs="宋体"/>
                <w:color w:val="auto"/>
                <w:szCs w:val="21"/>
                <w:lang w:eastAsia="zh-CN"/>
              </w:rPr>
              <w:t>（2）电子投标文件提交方式：投标人须在投标截止时间前将加密的电子投标文件通过交易系统“佛山市公共资源交易综合管理云平台”成功上传。</w:t>
            </w:r>
          </w:p>
          <w:p>
            <w:pPr>
              <w:spacing w:line="400" w:lineRule="exact"/>
              <w:rPr>
                <w:rFonts w:hint="eastAsia" w:ascii="宋体" w:hAnsi="宋体" w:eastAsia="宋体" w:cs="宋体"/>
                <w:color w:val="auto"/>
                <w:szCs w:val="21"/>
                <w:lang w:eastAsia="zh-CN"/>
              </w:rPr>
            </w:pPr>
            <w:r>
              <w:rPr>
                <w:rFonts w:hint="eastAsia" w:ascii="宋体" w:hAnsi="宋体" w:eastAsia="宋体" w:cs="宋体"/>
                <w:color w:val="auto"/>
                <w:szCs w:val="21"/>
                <w:lang w:eastAsia="zh-CN"/>
              </w:rPr>
              <w:t>（3）投标文件解密（开启）：开标时，代理机构公布投标人名单后，投标人应在招标文件规定的解密时间内对电子投标文件进行解密。</w:t>
            </w:r>
          </w:p>
          <w:p>
            <w:pPr>
              <w:spacing w:line="400" w:lineRule="exact"/>
              <w:rPr>
                <w:rFonts w:hint="eastAsia" w:ascii="宋体" w:hAnsi="宋体" w:eastAsia="宋体" w:cs="宋体"/>
                <w:color w:val="auto"/>
                <w:szCs w:val="21"/>
                <w:lang w:eastAsia="zh-CN"/>
              </w:rPr>
            </w:pPr>
            <w:r>
              <w:rPr>
                <w:rFonts w:hint="eastAsia" w:ascii="宋体" w:hAnsi="宋体" w:eastAsia="宋体" w:cs="宋体"/>
                <w:color w:val="auto"/>
                <w:szCs w:val="21"/>
                <w:lang w:eastAsia="zh-CN"/>
              </w:rPr>
              <w:t>（4）编制电子投标文件的相关软件和工具，请详细阅读佛山市公共资源交易综合管理云平台国企采购招投标业务投标人操作手册，手 册 获取网址：https://docs.qq.com/doc/DSFFCRUNzVXdrRUdj?u=d50417b20611435fa62710d048ece097。</w:t>
            </w:r>
          </w:p>
        </w:tc>
      </w:tr>
      <w:tr>
        <w:tblPrEx>
          <w:tblCellMar>
            <w:top w:w="0" w:type="dxa"/>
            <w:left w:w="108" w:type="dxa"/>
            <w:bottom w:w="0" w:type="dxa"/>
            <w:right w:w="108" w:type="dxa"/>
          </w:tblCellMar>
        </w:tblPrEx>
        <w:tc>
          <w:tcPr>
            <w:tcW w:w="801" w:type="dxa"/>
            <w:tcBorders>
              <w:top w:val="single" w:color="000000" w:sz="4" w:space="0"/>
              <w:left w:val="single" w:color="000000" w:sz="4" w:space="0"/>
              <w:bottom w:val="single" w:color="000000" w:sz="4" w:space="0"/>
            </w:tcBorders>
            <w:noWrap w:val="0"/>
            <w:vAlign w:val="center"/>
          </w:tcPr>
          <w:p>
            <w:pPr>
              <w:numPr>
                <w:ilvl w:val="0"/>
                <w:numId w:val="28"/>
              </w:numPr>
              <w:tabs>
                <w:tab w:val="left" w:pos="180"/>
              </w:tabs>
              <w:snapToGrid w:val="0"/>
              <w:spacing w:line="400" w:lineRule="exact"/>
              <w:jc w:val="center"/>
              <w:rPr>
                <w:rFonts w:hint="eastAsia" w:ascii="宋体" w:hAnsi="宋体" w:cs="宋体"/>
                <w:color w:val="auto"/>
                <w:szCs w:val="21"/>
              </w:rPr>
            </w:pPr>
          </w:p>
        </w:tc>
        <w:tc>
          <w:tcPr>
            <w:tcW w:w="1802" w:type="dxa"/>
            <w:tcBorders>
              <w:top w:val="single" w:color="000000" w:sz="4" w:space="0"/>
              <w:left w:val="single" w:color="000000" w:sz="4" w:space="0"/>
              <w:bottom w:val="single" w:color="000000" w:sz="4" w:space="0"/>
            </w:tcBorders>
            <w:noWrap w:val="0"/>
            <w:vAlign w:val="top"/>
          </w:tcPr>
          <w:p>
            <w:pPr>
              <w:spacing w:line="400" w:lineRule="exact"/>
              <w:rPr>
                <w:rFonts w:ascii="Arial"/>
                <w:color w:val="auto"/>
              </w:rPr>
            </w:pPr>
          </w:p>
          <w:p>
            <w:pPr>
              <w:pStyle w:val="20"/>
              <w:spacing w:before="69" w:line="400" w:lineRule="exact"/>
              <w:ind w:right="151"/>
              <w:jc w:val="center"/>
              <w:rPr>
                <w:rFonts w:hint="eastAsia"/>
                <w:color w:val="auto"/>
              </w:rPr>
            </w:pPr>
            <w:r>
              <w:rPr>
                <w:color w:val="auto"/>
                <w:spacing w:val="-1"/>
              </w:rPr>
              <w:t>评标委员会的组</w:t>
            </w:r>
            <w:r>
              <w:rPr>
                <w:color w:val="auto"/>
              </w:rPr>
              <w:t>成</w:t>
            </w:r>
          </w:p>
        </w:tc>
        <w:tc>
          <w:tcPr>
            <w:tcW w:w="6585"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rPr>
                <w:rFonts w:hint="eastAsia" w:ascii="宋体" w:hAnsi="宋体" w:eastAsia="宋体" w:cs="宋体"/>
                <w:color w:val="auto"/>
                <w:szCs w:val="21"/>
                <w:lang w:eastAsia="zh-CN"/>
              </w:rPr>
            </w:pPr>
            <w:r>
              <w:rPr>
                <w:rFonts w:hint="eastAsia" w:ascii="宋体" w:hAnsi="宋体" w:eastAsia="宋体" w:cs="宋体"/>
                <w:color w:val="auto"/>
                <w:szCs w:val="21"/>
                <w:lang w:eastAsia="zh-CN"/>
              </w:rPr>
              <w:t>评标委员会成员由采购人代表和（技术、经济等）相关领域专家库中选取的专家组成，采购人代表人数、专家人数及专业构成按采购规定确定。评标委员会成员共5人。</w:t>
            </w:r>
          </w:p>
        </w:tc>
      </w:tr>
      <w:tr>
        <w:tblPrEx>
          <w:tblCellMar>
            <w:top w:w="0" w:type="dxa"/>
            <w:left w:w="108" w:type="dxa"/>
            <w:bottom w:w="0" w:type="dxa"/>
            <w:right w:w="108" w:type="dxa"/>
          </w:tblCellMar>
        </w:tblPrEx>
        <w:tc>
          <w:tcPr>
            <w:tcW w:w="801" w:type="dxa"/>
            <w:tcBorders>
              <w:top w:val="single" w:color="000000" w:sz="4" w:space="0"/>
              <w:left w:val="single" w:color="000000" w:sz="4" w:space="0"/>
              <w:bottom w:val="single" w:color="000000" w:sz="4" w:space="0"/>
            </w:tcBorders>
            <w:noWrap w:val="0"/>
            <w:vAlign w:val="center"/>
          </w:tcPr>
          <w:p>
            <w:pPr>
              <w:numPr>
                <w:ilvl w:val="0"/>
                <w:numId w:val="28"/>
              </w:numPr>
              <w:tabs>
                <w:tab w:val="left" w:pos="180"/>
              </w:tabs>
              <w:snapToGrid w:val="0"/>
              <w:spacing w:line="400" w:lineRule="exact"/>
              <w:jc w:val="center"/>
              <w:rPr>
                <w:rFonts w:hint="eastAsia" w:ascii="宋体" w:hAnsi="宋体" w:cs="宋体"/>
                <w:color w:val="auto"/>
                <w:szCs w:val="21"/>
              </w:rPr>
            </w:pPr>
          </w:p>
        </w:tc>
        <w:tc>
          <w:tcPr>
            <w:tcW w:w="1802" w:type="dxa"/>
            <w:tcBorders>
              <w:top w:val="single" w:color="000000" w:sz="4" w:space="0"/>
              <w:left w:val="single" w:color="000000" w:sz="4" w:space="0"/>
              <w:bottom w:val="single" w:color="000000" w:sz="4" w:space="0"/>
            </w:tcBorders>
            <w:noWrap w:val="0"/>
            <w:vAlign w:val="center"/>
          </w:tcPr>
          <w:p>
            <w:pPr>
              <w:spacing w:line="400" w:lineRule="exact"/>
              <w:jc w:val="center"/>
              <w:rPr>
                <w:rFonts w:hint="eastAsia"/>
                <w:color w:val="auto"/>
                <w:szCs w:val="21"/>
              </w:rPr>
            </w:pPr>
            <w:r>
              <w:rPr>
                <w:rFonts w:hint="eastAsia" w:ascii="宋体" w:hAnsi="宋体" w:cs="宋体"/>
                <w:color w:val="auto"/>
              </w:rPr>
              <w:t>评标办法</w:t>
            </w:r>
          </w:p>
        </w:tc>
        <w:tc>
          <w:tcPr>
            <w:tcW w:w="6585" w:type="dxa"/>
            <w:tcBorders>
              <w:top w:val="single" w:color="000000" w:sz="4" w:space="0"/>
              <w:left w:val="single" w:color="000000" w:sz="4" w:space="0"/>
              <w:bottom w:val="single" w:color="000000" w:sz="4" w:space="0"/>
              <w:right w:val="single" w:color="000000" w:sz="4" w:space="0"/>
            </w:tcBorders>
            <w:noWrap w:val="0"/>
            <w:vAlign w:val="center"/>
          </w:tcPr>
          <w:p>
            <w:pPr>
              <w:pStyle w:val="5"/>
              <w:spacing w:line="400" w:lineRule="exact"/>
              <w:ind w:firstLine="2"/>
              <w:outlineLvl w:val="3"/>
              <w:rPr>
                <w:color w:val="auto"/>
              </w:rPr>
            </w:pPr>
            <w:bookmarkStart w:id="15" w:name="EBd0bbc64070944b46b6bd62ac00ae7254"/>
            <w:bookmarkEnd w:id="15"/>
            <w:r>
              <w:rPr>
                <w:rFonts w:hint="eastAsia"/>
                <w:color w:val="auto"/>
                <w:sz w:val="21"/>
                <w:szCs w:val="21"/>
              </w:rPr>
              <w:t>综合评分法</w:t>
            </w:r>
          </w:p>
        </w:tc>
      </w:tr>
      <w:tr>
        <w:tblPrEx>
          <w:tblCellMar>
            <w:top w:w="0" w:type="dxa"/>
            <w:left w:w="108" w:type="dxa"/>
            <w:bottom w:w="0" w:type="dxa"/>
            <w:right w:w="108" w:type="dxa"/>
          </w:tblCellMar>
        </w:tblPrEx>
        <w:tc>
          <w:tcPr>
            <w:tcW w:w="801" w:type="dxa"/>
            <w:tcBorders>
              <w:top w:val="single" w:color="000000" w:sz="4" w:space="0"/>
              <w:left w:val="single" w:color="000000" w:sz="4" w:space="0"/>
              <w:bottom w:val="single" w:color="000000" w:sz="4" w:space="0"/>
            </w:tcBorders>
            <w:noWrap w:val="0"/>
            <w:vAlign w:val="center"/>
          </w:tcPr>
          <w:p>
            <w:pPr>
              <w:numPr>
                <w:ilvl w:val="0"/>
                <w:numId w:val="28"/>
              </w:numPr>
              <w:tabs>
                <w:tab w:val="left" w:pos="180"/>
              </w:tabs>
              <w:snapToGrid w:val="0"/>
              <w:spacing w:line="400" w:lineRule="exact"/>
              <w:jc w:val="center"/>
              <w:rPr>
                <w:rFonts w:hint="eastAsia" w:ascii="宋体" w:hAnsi="宋体" w:cs="宋体"/>
                <w:color w:val="auto"/>
                <w:szCs w:val="21"/>
                <w:lang w:val="en-GB"/>
              </w:rPr>
            </w:pPr>
          </w:p>
        </w:tc>
        <w:tc>
          <w:tcPr>
            <w:tcW w:w="1802" w:type="dxa"/>
            <w:tcBorders>
              <w:top w:val="single" w:color="000000" w:sz="4" w:space="0"/>
              <w:left w:val="single" w:color="000000" w:sz="4" w:space="0"/>
              <w:bottom w:val="single" w:color="000000" w:sz="4" w:space="0"/>
            </w:tcBorders>
            <w:noWrap w:val="0"/>
            <w:vAlign w:val="center"/>
          </w:tcPr>
          <w:p>
            <w:pPr>
              <w:spacing w:line="400" w:lineRule="exact"/>
              <w:jc w:val="center"/>
              <w:rPr>
                <w:rFonts w:hint="eastAsia" w:ascii="宋体" w:hAnsi="宋体" w:cs="宋体"/>
                <w:color w:val="auto"/>
                <w:szCs w:val="21"/>
              </w:rPr>
            </w:pPr>
            <w:r>
              <w:rPr>
                <w:rFonts w:hint="eastAsia" w:ascii="宋体" w:hAnsi="宋体" w:cs="宋体"/>
                <w:color w:val="auto"/>
                <w:kern w:val="0"/>
                <w:szCs w:val="21"/>
                <w:lang w:eastAsia="zh-CN" w:bidi="ar"/>
              </w:rPr>
              <w:t>有效投标</w:t>
            </w:r>
            <w:r>
              <w:rPr>
                <w:rFonts w:hint="eastAsia" w:ascii="宋体" w:hAnsi="宋体" w:cs="宋体"/>
                <w:color w:val="auto"/>
                <w:szCs w:val="21"/>
                <w:lang w:eastAsia="zh-CN" w:bidi="ar"/>
              </w:rPr>
              <w:t>人</w:t>
            </w:r>
            <w:r>
              <w:rPr>
                <w:rFonts w:hint="eastAsia" w:ascii="宋体" w:hAnsi="宋体" w:cs="宋体"/>
                <w:color w:val="auto"/>
                <w:szCs w:val="21"/>
              </w:rPr>
              <w:t>数量</w:t>
            </w:r>
          </w:p>
        </w:tc>
        <w:tc>
          <w:tcPr>
            <w:tcW w:w="6585"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rPr>
                <w:rFonts w:hint="eastAsia" w:ascii="宋体" w:hAnsi="宋体" w:cs="宋体"/>
                <w:color w:val="auto"/>
                <w:szCs w:val="21"/>
              </w:rPr>
            </w:pPr>
            <w:r>
              <w:rPr>
                <w:rFonts w:hint="eastAsia" w:ascii="宋体" w:hAnsi="宋体" w:cs="宋体"/>
                <w:color w:val="auto"/>
                <w:szCs w:val="21"/>
                <w:lang w:eastAsia="zh-CN"/>
              </w:rPr>
              <w:t xml:space="preserve">3家。此人数约定了开标与评标过程中的最低有效投标人家数，当家 </w:t>
            </w:r>
          </w:p>
          <w:p>
            <w:pPr>
              <w:spacing w:line="400" w:lineRule="exact"/>
              <w:rPr>
                <w:color w:val="auto"/>
              </w:rPr>
            </w:pPr>
            <w:r>
              <w:rPr>
                <w:rFonts w:hint="eastAsia" w:ascii="宋体" w:hAnsi="宋体" w:cs="宋体"/>
                <w:color w:val="auto"/>
                <w:szCs w:val="21"/>
                <w:lang w:eastAsia="zh-CN"/>
              </w:rPr>
              <w:t>数不足时项目将不得开标、不得评标或直接废标。</w:t>
            </w:r>
          </w:p>
        </w:tc>
      </w:tr>
      <w:tr>
        <w:tblPrEx>
          <w:tblCellMar>
            <w:top w:w="0" w:type="dxa"/>
            <w:left w:w="108" w:type="dxa"/>
            <w:bottom w:w="0" w:type="dxa"/>
            <w:right w:w="108" w:type="dxa"/>
          </w:tblCellMar>
        </w:tblPrEx>
        <w:tc>
          <w:tcPr>
            <w:tcW w:w="801" w:type="dxa"/>
            <w:tcBorders>
              <w:top w:val="single" w:color="000000" w:sz="4" w:space="0"/>
              <w:left w:val="single" w:color="000000" w:sz="4" w:space="0"/>
              <w:bottom w:val="single" w:color="000000" w:sz="4" w:space="0"/>
            </w:tcBorders>
            <w:noWrap w:val="0"/>
            <w:vAlign w:val="center"/>
          </w:tcPr>
          <w:p>
            <w:pPr>
              <w:numPr>
                <w:ilvl w:val="0"/>
                <w:numId w:val="28"/>
              </w:numPr>
              <w:tabs>
                <w:tab w:val="left" w:pos="180"/>
              </w:tabs>
              <w:snapToGrid w:val="0"/>
              <w:spacing w:line="400" w:lineRule="exact"/>
              <w:jc w:val="center"/>
              <w:rPr>
                <w:rFonts w:hint="eastAsia" w:ascii="宋体" w:hAnsi="宋体" w:cs="宋体"/>
                <w:color w:val="auto"/>
                <w:szCs w:val="21"/>
                <w:lang w:val="en-GB"/>
              </w:rPr>
            </w:pPr>
          </w:p>
        </w:tc>
        <w:tc>
          <w:tcPr>
            <w:tcW w:w="1802" w:type="dxa"/>
            <w:tcBorders>
              <w:top w:val="single" w:color="000000" w:sz="4" w:space="0"/>
              <w:left w:val="single" w:color="000000" w:sz="4" w:space="0"/>
              <w:bottom w:val="single" w:color="000000" w:sz="4" w:space="0"/>
            </w:tcBorders>
            <w:noWrap w:val="0"/>
            <w:vAlign w:val="center"/>
          </w:tcPr>
          <w:p>
            <w:pPr>
              <w:spacing w:line="400" w:lineRule="exact"/>
              <w:jc w:val="center"/>
              <w:rPr>
                <w:rFonts w:hint="eastAsia" w:ascii="宋体" w:hAnsi="宋体" w:cs="宋体"/>
                <w:color w:val="auto"/>
                <w:szCs w:val="21"/>
              </w:rPr>
            </w:pPr>
            <w:r>
              <w:rPr>
                <w:rFonts w:hint="eastAsia" w:ascii="宋体" w:hAnsi="宋体" w:cs="宋体"/>
                <w:color w:val="auto"/>
                <w:szCs w:val="21"/>
              </w:rPr>
              <w:t xml:space="preserve">中标候选人推荐 </w:t>
            </w:r>
          </w:p>
          <w:p>
            <w:pPr>
              <w:spacing w:line="400" w:lineRule="exact"/>
              <w:jc w:val="center"/>
              <w:rPr>
                <w:rFonts w:hint="eastAsia" w:ascii="宋体" w:hAnsi="宋体" w:cs="宋体"/>
                <w:color w:val="auto"/>
                <w:szCs w:val="21"/>
              </w:rPr>
            </w:pPr>
            <w:r>
              <w:rPr>
                <w:rFonts w:hint="eastAsia" w:ascii="宋体" w:hAnsi="宋体" w:cs="宋体"/>
                <w:color w:val="auto"/>
                <w:szCs w:val="21"/>
              </w:rPr>
              <w:t>数量</w:t>
            </w:r>
          </w:p>
        </w:tc>
        <w:tc>
          <w:tcPr>
            <w:tcW w:w="6585"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rPr>
                <w:rFonts w:hint="eastAsia"/>
                <w:color w:val="auto"/>
                <w:lang w:eastAsia="zh-CN"/>
              </w:rPr>
            </w:pPr>
            <w:r>
              <w:rPr>
                <w:rFonts w:hint="eastAsia" w:ascii="宋体" w:hAnsi="宋体" w:cs="宋体"/>
                <w:color w:val="auto"/>
                <w:szCs w:val="21"/>
                <w:u w:val="single"/>
              </w:rPr>
              <w:t xml:space="preserve"> </w:t>
            </w:r>
            <w:r>
              <w:rPr>
                <w:rFonts w:hint="eastAsia" w:cs="宋体"/>
                <w:color w:val="auto"/>
                <w:szCs w:val="21"/>
                <w:u w:val="single"/>
                <w:lang w:val="en-US" w:eastAsia="zh-CN"/>
              </w:rPr>
              <w:t>2</w:t>
            </w:r>
            <w:r>
              <w:rPr>
                <w:rFonts w:hint="eastAsia" w:ascii="宋体" w:hAnsi="宋体" w:cs="宋体"/>
                <w:color w:val="auto"/>
                <w:szCs w:val="21"/>
                <w:u w:val="single"/>
              </w:rPr>
              <w:t xml:space="preserve"> </w:t>
            </w:r>
            <w:r>
              <w:rPr>
                <w:rFonts w:hint="eastAsia" w:ascii="宋体" w:hAnsi="宋体" w:cs="宋体"/>
                <w:color w:val="auto"/>
                <w:szCs w:val="21"/>
              </w:rPr>
              <w:t>家。</w:t>
            </w:r>
          </w:p>
        </w:tc>
      </w:tr>
      <w:tr>
        <w:tblPrEx>
          <w:tblCellMar>
            <w:top w:w="0" w:type="dxa"/>
            <w:left w:w="108" w:type="dxa"/>
            <w:bottom w:w="0" w:type="dxa"/>
            <w:right w:w="108" w:type="dxa"/>
          </w:tblCellMar>
        </w:tblPrEx>
        <w:tc>
          <w:tcPr>
            <w:tcW w:w="801" w:type="dxa"/>
            <w:tcBorders>
              <w:top w:val="single" w:color="000000" w:sz="4" w:space="0"/>
              <w:left w:val="single" w:color="000000" w:sz="4" w:space="0"/>
              <w:bottom w:val="single" w:color="000000" w:sz="4" w:space="0"/>
            </w:tcBorders>
            <w:noWrap w:val="0"/>
            <w:vAlign w:val="center"/>
          </w:tcPr>
          <w:p>
            <w:pPr>
              <w:numPr>
                <w:ilvl w:val="0"/>
                <w:numId w:val="28"/>
              </w:numPr>
              <w:tabs>
                <w:tab w:val="left" w:pos="180"/>
              </w:tabs>
              <w:snapToGrid w:val="0"/>
              <w:spacing w:line="400" w:lineRule="exact"/>
              <w:jc w:val="center"/>
              <w:rPr>
                <w:rFonts w:hint="eastAsia" w:ascii="宋体" w:hAnsi="宋体" w:cs="宋体"/>
                <w:color w:val="auto"/>
                <w:szCs w:val="21"/>
                <w:lang w:val="en-GB"/>
              </w:rPr>
            </w:pPr>
          </w:p>
        </w:tc>
        <w:tc>
          <w:tcPr>
            <w:tcW w:w="1802" w:type="dxa"/>
            <w:tcBorders>
              <w:top w:val="single" w:color="000000" w:sz="4" w:space="0"/>
              <w:left w:val="single" w:color="000000" w:sz="4" w:space="0"/>
              <w:bottom w:val="single" w:color="000000" w:sz="4" w:space="0"/>
            </w:tcBorders>
            <w:noWrap w:val="0"/>
            <w:vAlign w:val="center"/>
          </w:tcPr>
          <w:p>
            <w:pPr>
              <w:spacing w:line="400" w:lineRule="exact"/>
              <w:jc w:val="center"/>
              <w:rPr>
                <w:rFonts w:hint="eastAsia" w:ascii="宋体" w:hAnsi="宋体" w:cs="宋体"/>
                <w:color w:val="auto"/>
                <w:szCs w:val="21"/>
              </w:rPr>
            </w:pPr>
            <w:r>
              <w:rPr>
                <w:rFonts w:hint="eastAsia" w:ascii="宋体" w:hAnsi="宋体" w:cs="宋体"/>
                <w:color w:val="auto"/>
                <w:szCs w:val="21"/>
              </w:rPr>
              <w:t>中标</w:t>
            </w:r>
            <w:r>
              <w:rPr>
                <w:rFonts w:hint="eastAsia" w:ascii="宋体" w:hAnsi="宋体" w:cs="宋体"/>
                <w:color w:val="auto"/>
                <w:szCs w:val="21"/>
                <w:lang w:eastAsia="zh-CN"/>
              </w:rPr>
              <w:t>人</w:t>
            </w:r>
            <w:r>
              <w:rPr>
                <w:rFonts w:hint="eastAsia" w:ascii="宋体" w:hAnsi="宋体" w:cs="宋体"/>
                <w:color w:val="auto"/>
                <w:szCs w:val="21"/>
              </w:rPr>
              <w:t>数量</w:t>
            </w:r>
          </w:p>
        </w:tc>
        <w:tc>
          <w:tcPr>
            <w:tcW w:w="6585"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rPr>
                <w:rFonts w:hint="eastAsia"/>
                <w:color w:val="auto"/>
                <w:lang w:eastAsia="zh-CN"/>
              </w:rPr>
            </w:pPr>
            <w:r>
              <w:rPr>
                <w:rFonts w:hint="eastAsia" w:ascii="宋体" w:hAnsi="宋体" w:cs="宋体"/>
                <w:color w:val="auto"/>
                <w:szCs w:val="21"/>
                <w:u w:val="single"/>
              </w:rPr>
              <w:t xml:space="preserve"> 1 </w:t>
            </w:r>
            <w:r>
              <w:rPr>
                <w:rFonts w:hint="eastAsia" w:ascii="宋体" w:hAnsi="宋体" w:cs="宋体"/>
                <w:color w:val="auto"/>
                <w:szCs w:val="21"/>
              </w:rPr>
              <w:t>家。</w:t>
            </w:r>
          </w:p>
        </w:tc>
      </w:tr>
      <w:tr>
        <w:tblPrEx>
          <w:tblCellMar>
            <w:top w:w="0" w:type="dxa"/>
            <w:left w:w="108" w:type="dxa"/>
            <w:bottom w:w="0" w:type="dxa"/>
            <w:right w:w="108" w:type="dxa"/>
          </w:tblCellMar>
        </w:tblPrEx>
        <w:tc>
          <w:tcPr>
            <w:tcW w:w="801" w:type="dxa"/>
            <w:tcBorders>
              <w:top w:val="single" w:color="000000" w:sz="4" w:space="0"/>
              <w:left w:val="single" w:color="000000" w:sz="4" w:space="0"/>
              <w:bottom w:val="single" w:color="000000" w:sz="4" w:space="0"/>
            </w:tcBorders>
            <w:noWrap w:val="0"/>
            <w:vAlign w:val="center"/>
          </w:tcPr>
          <w:p>
            <w:pPr>
              <w:numPr>
                <w:ilvl w:val="0"/>
                <w:numId w:val="28"/>
              </w:numPr>
              <w:tabs>
                <w:tab w:val="left" w:pos="180"/>
              </w:tabs>
              <w:snapToGrid w:val="0"/>
              <w:spacing w:line="400" w:lineRule="exact"/>
              <w:jc w:val="center"/>
              <w:rPr>
                <w:rFonts w:hint="eastAsia" w:ascii="宋体" w:hAnsi="宋体" w:cs="宋体"/>
                <w:color w:val="auto"/>
                <w:szCs w:val="21"/>
                <w:lang w:val="en-GB"/>
              </w:rPr>
            </w:pPr>
          </w:p>
        </w:tc>
        <w:tc>
          <w:tcPr>
            <w:tcW w:w="1802" w:type="dxa"/>
            <w:tcBorders>
              <w:top w:val="single" w:color="000000" w:sz="4" w:space="0"/>
              <w:left w:val="single" w:color="000000" w:sz="4" w:space="0"/>
              <w:bottom w:val="single" w:color="000000" w:sz="4" w:space="0"/>
            </w:tcBorders>
            <w:noWrap w:val="0"/>
            <w:vAlign w:val="center"/>
          </w:tcPr>
          <w:p>
            <w:pPr>
              <w:spacing w:line="400" w:lineRule="exact"/>
              <w:jc w:val="center"/>
              <w:rPr>
                <w:rFonts w:hint="eastAsia" w:ascii="宋体" w:hAnsi="宋体" w:cs="宋体"/>
                <w:color w:val="auto"/>
                <w:szCs w:val="21"/>
                <w:shd w:val="clear" w:color="auto" w:fill="FFFF00"/>
                <w:lang w:val="en-GB"/>
              </w:rPr>
            </w:pPr>
            <w:r>
              <w:rPr>
                <w:rFonts w:ascii="宋体" w:hAnsi="宋体" w:cs="宋体"/>
                <w:color w:val="auto"/>
                <w:szCs w:val="21"/>
              </w:rPr>
              <w:t>履约保证金</w:t>
            </w:r>
          </w:p>
        </w:tc>
        <w:tc>
          <w:tcPr>
            <w:tcW w:w="6585"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jc w:val="left"/>
              <w:rPr>
                <w:rFonts w:hint="default"/>
                <w:color w:val="auto"/>
                <w:lang w:val="en-US" w:eastAsia="zh-CN"/>
              </w:rPr>
            </w:pPr>
            <w:r>
              <w:rPr>
                <w:rFonts w:hint="eastAsia" w:ascii="宋体" w:hAnsi="宋体" w:cs="宋体"/>
                <w:color w:val="auto"/>
                <w:sz w:val="24"/>
                <w:szCs w:val="24"/>
                <w:highlight w:val="none"/>
                <w:shd w:val="clear" w:color="auto" w:fill="FFFFFF"/>
                <w:lang w:val="en-US" w:eastAsia="zh-CN"/>
              </w:rPr>
              <w:t>本项目不设履约保证金。</w:t>
            </w:r>
          </w:p>
        </w:tc>
      </w:tr>
      <w:tr>
        <w:tblPrEx>
          <w:tblCellMar>
            <w:top w:w="0" w:type="dxa"/>
            <w:left w:w="108" w:type="dxa"/>
            <w:bottom w:w="0" w:type="dxa"/>
            <w:right w:w="108" w:type="dxa"/>
          </w:tblCellMar>
        </w:tblPrEx>
        <w:tc>
          <w:tcPr>
            <w:tcW w:w="801" w:type="dxa"/>
            <w:tcBorders>
              <w:top w:val="single" w:color="000000" w:sz="4" w:space="0"/>
              <w:left w:val="single" w:color="000000" w:sz="4" w:space="0"/>
              <w:bottom w:val="single" w:color="000000" w:sz="4" w:space="0"/>
            </w:tcBorders>
            <w:noWrap w:val="0"/>
            <w:vAlign w:val="center"/>
          </w:tcPr>
          <w:p>
            <w:pPr>
              <w:numPr>
                <w:ilvl w:val="0"/>
                <w:numId w:val="28"/>
              </w:numPr>
              <w:tabs>
                <w:tab w:val="left" w:pos="180"/>
              </w:tabs>
              <w:snapToGrid w:val="0"/>
              <w:spacing w:line="400" w:lineRule="exact"/>
              <w:jc w:val="center"/>
              <w:rPr>
                <w:rFonts w:hint="eastAsia" w:ascii="宋体" w:hAnsi="宋体" w:cs="宋体"/>
                <w:color w:val="auto"/>
                <w:szCs w:val="21"/>
              </w:rPr>
            </w:pPr>
          </w:p>
        </w:tc>
        <w:tc>
          <w:tcPr>
            <w:tcW w:w="1802" w:type="dxa"/>
            <w:tcBorders>
              <w:top w:val="single" w:color="000000" w:sz="4" w:space="0"/>
              <w:left w:val="single" w:color="000000" w:sz="4" w:space="0"/>
              <w:bottom w:val="single" w:color="000000" w:sz="4" w:space="0"/>
            </w:tcBorders>
            <w:noWrap w:val="0"/>
            <w:vAlign w:val="center"/>
          </w:tcPr>
          <w:p>
            <w:pPr>
              <w:spacing w:line="400" w:lineRule="exact"/>
              <w:jc w:val="center"/>
              <w:rPr>
                <w:rFonts w:hint="eastAsia" w:ascii="宋体" w:hAnsi="宋体" w:cs="宋体"/>
                <w:color w:val="auto"/>
                <w:szCs w:val="21"/>
                <w:lang w:val="en-GB"/>
              </w:rPr>
            </w:pPr>
            <w:r>
              <w:rPr>
                <w:rFonts w:hint="eastAsia" w:ascii="宋体" w:hAnsi="宋体" w:cs="宋体"/>
                <w:color w:val="auto"/>
                <w:szCs w:val="21"/>
              </w:rPr>
              <w:t>有效通知载体</w:t>
            </w:r>
          </w:p>
        </w:tc>
        <w:tc>
          <w:tcPr>
            <w:tcW w:w="6585" w:type="dxa"/>
            <w:tcBorders>
              <w:top w:val="single" w:color="000000" w:sz="4" w:space="0"/>
              <w:left w:val="single" w:color="000000" w:sz="4" w:space="0"/>
              <w:bottom w:val="single" w:color="000000" w:sz="4" w:space="0"/>
              <w:right w:val="single" w:color="000000" w:sz="4" w:space="0"/>
            </w:tcBorders>
            <w:noWrap w:val="0"/>
            <w:vAlign w:val="center"/>
          </w:tcPr>
          <w:p>
            <w:pPr>
              <w:wordWrap w:val="0"/>
              <w:spacing w:line="400" w:lineRule="exact"/>
              <w:jc w:val="left"/>
              <w:rPr>
                <w:rFonts w:hint="eastAsia" w:ascii="宋体" w:hAnsi="宋体" w:cs="宋体"/>
                <w:color w:val="auto"/>
                <w:szCs w:val="21"/>
                <w:lang w:val="en-GB"/>
              </w:rPr>
            </w:pPr>
            <w:r>
              <w:rPr>
                <w:rFonts w:hint="eastAsia" w:ascii="宋体" w:hAnsi="宋体" w:cs="宋体"/>
                <w:color w:val="auto"/>
                <w:szCs w:val="21"/>
                <w:lang w:val="en-GB"/>
              </w:rPr>
              <w:t>本项目相关信息和内容一经在项目公告网站（</w:t>
            </w:r>
            <w:r>
              <w:rPr>
                <w:rFonts w:hint="eastAsia" w:cs="宋体"/>
                <w:color w:val="auto"/>
                <w:szCs w:val="21"/>
                <w:lang w:eastAsia="zh-CN"/>
              </w:rPr>
              <w:t>全国公共资源交易平台（广东省·佛山市）（https://ygp.gdzwfw.gov.cn/#/440600/index）</w:t>
            </w:r>
            <w:r>
              <w:rPr>
                <w:rFonts w:hint="eastAsia" w:ascii="宋体" w:hAnsi="宋体" w:cs="宋体"/>
                <w:color w:val="auto"/>
                <w:szCs w:val="21"/>
              </w:rPr>
              <w:t>；</w:t>
            </w:r>
            <w:r>
              <w:rPr>
                <w:rFonts w:hint="eastAsia" w:cs="宋体"/>
                <w:color w:val="auto"/>
                <w:szCs w:val="21"/>
                <w:lang w:eastAsia="zh-CN"/>
              </w:rPr>
              <w:t>广东中采招标有限公司</w:t>
            </w:r>
            <w:r>
              <w:rPr>
                <w:rFonts w:hint="eastAsia" w:ascii="宋体" w:hAnsi="宋体" w:cs="宋体"/>
                <w:color w:val="auto"/>
                <w:szCs w:val="21"/>
              </w:rPr>
              <w:t>网</w:t>
            </w:r>
            <w:r>
              <w:rPr>
                <w:rFonts w:hint="eastAsia" w:ascii="宋体" w:hAnsi="宋体" w:cs="宋体"/>
                <w:color w:val="auto"/>
                <w:szCs w:val="21"/>
                <w:lang w:eastAsia="zh-CN"/>
              </w:rPr>
              <w:t>：</w:t>
            </w:r>
            <w:r>
              <w:rPr>
                <w:color w:val="auto"/>
              </w:rPr>
              <w:fldChar w:fldCharType="begin"/>
            </w:r>
            <w:r>
              <w:rPr>
                <w:color w:val="auto"/>
              </w:rPr>
              <w:instrText xml:space="preserve"> HYPERLINK "http://www.gmgitc.com/"</w:instrText>
            </w:r>
            <w:r>
              <w:rPr>
                <w:color w:val="auto"/>
              </w:rPr>
              <w:fldChar w:fldCharType="separate"/>
            </w:r>
            <w:r>
              <w:rPr>
                <w:rStyle w:val="18"/>
                <w:rFonts w:hint="eastAsia" w:cs="宋体"/>
                <w:color w:val="auto"/>
                <w:szCs w:val="21"/>
                <w:lang w:eastAsia="zh-CN"/>
              </w:rPr>
              <w:t>http://www.gdzczb.com/</w:t>
            </w:r>
            <w:r>
              <w:rPr>
                <w:color w:val="auto"/>
              </w:rPr>
              <w:fldChar w:fldCharType="end"/>
            </w:r>
            <w:r>
              <w:rPr>
                <w:rFonts w:hint="eastAsia" w:ascii="宋体" w:hAnsi="宋体" w:cs="宋体"/>
                <w:color w:val="auto"/>
                <w:szCs w:val="21"/>
                <w:lang w:val="en-GB"/>
              </w:rPr>
              <w:t>）</w:t>
            </w:r>
            <w:r>
              <w:rPr>
                <w:rFonts w:hint="eastAsia"/>
                <w:color w:val="auto"/>
                <w:spacing w:val="-3"/>
                <w:lang w:eastAsia="zh-CN"/>
              </w:rPr>
              <w:t>及</w:t>
            </w:r>
            <w:r>
              <w:rPr>
                <w:rFonts w:hint="eastAsia" w:ascii="宋体" w:hAnsi="宋体" w:cs="宋体"/>
                <w:color w:val="auto"/>
                <w:szCs w:val="21"/>
                <w:lang w:val="en-GB"/>
              </w:rPr>
              <w:t>交易系统（</w:t>
            </w:r>
            <w:r>
              <w:rPr>
                <w:rFonts w:hint="eastAsia" w:ascii="宋体" w:hAnsi="宋体" w:cs="宋体"/>
                <w:color w:val="auto"/>
                <w:szCs w:val="21"/>
                <w:lang w:val="en-GB" w:eastAsia="zh-CN"/>
              </w:rPr>
              <w:t>佛山市公共资源交易综合管理云平台</w:t>
            </w:r>
            <w:r>
              <w:rPr>
                <w:rFonts w:hint="eastAsia" w:ascii="宋体" w:hAnsi="宋体" w:cs="宋体"/>
                <w:color w:val="auto"/>
                <w:szCs w:val="21"/>
                <w:lang w:val="en-GB"/>
              </w:rPr>
              <w:t>）发布，视作已送达所有</w:t>
            </w:r>
            <w:r>
              <w:rPr>
                <w:rFonts w:hint="eastAsia" w:ascii="宋体" w:hAnsi="宋体" w:cs="宋体"/>
                <w:color w:val="auto"/>
                <w:szCs w:val="21"/>
                <w:lang w:val="en-GB" w:eastAsia="zh-CN"/>
              </w:rPr>
              <w:t>投标人</w:t>
            </w:r>
            <w:r>
              <w:rPr>
                <w:rFonts w:hint="eastAsia" w:ascii="宋体" w:hAnsi="宋体" w:cs="宋体"/>
                <w:color w:val="auto"/>
                <w:szCs w:val="21"/>
                <w:lang w:val="en-GB"/>
              </w:rPr>
              <w:t>，并对</w:t>
            </w:r>
            <w:r>
              <w:rPr>
                <w:rFonts w:hint="eastAsia" w:ascii="宋体" w:hAnsi="宋体" w:cs="宋体"/>
                <w:color w:val="auto"/>
                <w:szCs w:val="21"/>
                <w:lang w:val="en-GB" w:eastAsia="zh-CN"/>
              </w:rPr>
              <w:t>投标人</w:t>
            </w:r>
            <w:r>
              <w:rPr>
                <w:rFonts w:hint="eastAsia" w:ascii="宋体" w:hAnsi="宋体" w:cs="宋体"/>
                <w:color w:val="auto"/>
                <w:szCs w:val="21"/>
                <w:lang w:val="en-GB"/>
              </w:rPr>
              <w:t>具有约束力</w:t>
            </w:r>
            <w:r>
              <w:rPr>
                <w:rFonts w:hint="eastAsia" w:ascii="宋体" w:hAnsi="宋体" w:cs="宋体"/>
                <w:color w:val="auto"/>
                <w:szCs w:val="21"/>
              </w:rPr>
              <w:t>。</w:t>
            </w:r>
          </w:p>
          <w:p>
            <w:pPr>
              <w:wordWrap w:val="0"/>
              <w:spacing w:line="400" w:lineRule="exact"/>
              <w:rPr>
                <w:rFonts w:hint="eastAsia"/>
                <w:color w:val="auto"/>
                <w:lang w:eastAsia="zh-CN"/>
              </w:rPr>
            </w:pPr>
            <w:r>
              <w:rPr>
                <w:rFonts w:hint="eastAsia" w:ascii="宋体" w:hAnsi="宋体" w:cs="宋体"/>
                <w:color w:val="auto"/>
                <w:szCs w:val="21"/>
                <w:lang w:val="en-GB" w:eastAsia="zh-CN"/>
              </w:rPr>
              <w:t>投标人</w:t>
            </w:r>
            <w:r>
              <w:rPr>
                <w:rFonts w:hint="eastAsia" w:ascii="宋体" w:hAnsi="宋体" w:cs="宋体"/>
                <w:color w:val="auto"/>
                <w:szCs w:val="21"/>
                <w:lang w:val="en-GB"/>
              </w:rPr>
              <w:t>须及时登录</w:t>
            </w:r>
            <w:r>
              <w:rPr>
                <w:color w:val="auto"/>
              </w:rPr>
              <w:fldChar w:fldCharType="begin"/>
            </w:r>
            <w:r>
              <w:rPr>
                <w:color w:val="auto"/>
              </w:rPr>
              <w:instrText xml:space="preserve"> HYPERLINK "http://www.emedchina.net/"</w:instrText>
            </w:r>
            <w:r>
              <w:rPr>
                <w:color w:val="auto"/>
              </w:rPr>
              <w:fldChar w:fldCharType="separate"/>
            </w:r>
            <w:r>
              <w:rPr>
                <w:rStyle w:val="18"/>
                <w:rFonts w:hint="eastAsia" w:ascii="宋体" w:hAnsi="宋体" w:cs="宋体"/>
                <w:color w:val="auto"/>
                <w:szCs w:val="21"/>
                <w:lang w:val="en-GB"/>
              </w:rPr>
              <w:t>上述网站</w:t>
            </w:r>
            <w:r>
              <w:rPr>
                <w:color w:val="auto"/>
              </w:rPr>
              <w:fldChar w:fldCharType="end"/>
            </w:r>
            <w:r>
              <w:rPr>
                <w:rFonts w:hint="eastAsia" w:ascii="宋体" w:hAnsi="宋体" w:cs="宋体"/>
                <w:color w:val="auto"/>
                <w:szCs w:val="21"/>
                <w:lang w:val="en-GB"/>
              </w:rPr>
              <w:t>获取与本采购项目相关的所有信息。</w:t>
            </w:r>
          </w:p>
        </w:tc>
      </w:tr>
      <w:tr>
        <w:tblPrEx>
          <w:tblCellMar>
            <w:top w:w="0" w:type="dxa"/>
            <w:left w:w="108" w:type="dxa"/>
            <w:bottom w:w="0" w:type="dxa"/>
            <w:right w:w="108" w:type="dxa"/>
          </w:tblCellMar>
        </w:tblPrEx>
        <w:tc>
          <w:tcPr>
            <w:tcW w:w="801" w:type="dxa"/>
            <w:tcBorders>
              <w:top w:val="single" w:color="000000" w:sz="4" w:space="0"/>
              <w:left w:val="single" w:color="000000" w:sz="4" w:space="0"/>
              <w:bottom w:val="single" w:color="000000" w:sz="4" w:space="0"/>
            </w:tcBorders>
            <w:noWrap w:val="0"/>
            <w:vAlign w:val="center"/>
          </w:tcPr>
          <w:p>
            <w:pPr>
              <w:numPr>
                <w:ilvl w:val="0"/>
                <w:numId w:val="28"/>
              </w:numPr>
              <w:tabs>
                <w:tab w:val="left" w:pos="180"/>
              </w:tabs>
              <w:snapToGrid w:val="0"/>
              <w:spacing w:line="400" w:lineRule="exact"/>
              <w:jc w:val="center"/>
              <w:rPr>
                <w:rFonts w:hint="eastAsia" w:ascii="宋体" w:hAnsi="宋体" w:cs="宋体"/>
                <w:color w:val="auto"/>
                <w:szCs w:val="21"/>
                <w:shd w:val="clear" w:color="auto" w:fill="FFFF00"/>
              </w:rPr>
            </w:pPr>
          </w:p>
        </w:tc>
        <w:tc>
          <w:tcPr>
            <w:tcW w:w="1802" w:type="dxa"/>
            <w:tcBorders>
              <w:top w:val="single" w:color="000000" w:sz="4" w:space="0"/>
              <w:left w:val="single" w:color="000000" w:sz="4" w:space="0"/>
              <w:bottom w:val="single" w:color="000000" w:sz="4" w:space="0"/>
            </w:tcBorders>
            <w:noWrap w:val="0"/>
            <w:vAlign w:val="center"/>
          </w:tcPr>
          <w:p>
            <w:pPr>
              <w:spacing w:line="400" w:lineRule="exact"/>
              <w:jc w:val="center"/>
              <w:rPr>
                <w:rFonts w:hint="eastAsia" w:ascii="宋体" w:hAnsi="宋体" w:cs="宋体"/>
                <w:color w:val="auto"/>
                <w:szCs w:val="21"/>
                <w:lang w:val="en-GB"/>
              </w:rPr>
            </w:pPr>
            <w:r>
              <w:rPr>
                <w:rFonts w:hint="eastAsia" w:ascii="宋体" w:hAnsi="宋体" w:cs="宋体"/>
                <w:color w:val="auto"/>
                <w:szCs w:val="21"/>
                <w:lang w:eastAsia="zh-CN"/>
              </w:rPr>
              <w:t>采购代理</w:t>
            </w:r>
            <w:r>
              <w:rPr>
                <w:rFonts w:hint="eastAsia" w:ascii="宋体" w:hAnsi="宋体" w:cs="宋体"/>
                <w:color w:val="auto"/>
                <w:szCs w:val="21"/>
              </w:rPr>
              <w:t>服务费</w:t>
            </w:r>
          </w:p>
        </w:tc>
        <w:tc>
          <w:tcPr>
            <w:tcW w:w="6585"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numPr>
                <w:ilvl w:val="-1"/>
                <w:numId w:val="0"/>
              </w:numPr>
              <w:kinsoku/>
              <w:wordWrap/>
              <w:overflowPunct/>
              <w:topLinePunct w:val="0"/>
              <w:autoSpaceDE/>
              <w:autoSpaceDN/>
              <w:bidi w:val="0"/>
              <w:adjustRightInd w:val="0"/>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中标人须向</w:t>
            </w:r>
            <w:r>
              <w:rPr>
                <w:rFonts w:hint="eastAsia" w:ascii="宋体" w:hAnsi="宋体" w:eastAsia="宋体" w:cs="宋体"/>
                <w:color w:val="auto"/>
                <w:sz w:val="24"/>
                <w:szCs w:val="24"/>
                <w:highlight w:val="none"/>
                <w:lang w:eastAsia="zh-CN"/>
              </w:rPr>
              <w:t>招标代理机构</w:t>
            </w:r>
            <w:r>
              <w:rPr>
                <w:rFonts w:hint="eastAsia" w:ascii="宋体" w:hAnsi="宋体" w:eastAsia="宋体" w:cs="宋体"/>
                <w:color w:val="auto"/>
                <w:sz w:val="24"/>
                <w:szCs w:val="24"/>
                <w:highlight w:val="none"/>
              </w:rPr>
              <w:t>按如下标准和规定缴纳招标代理服务费：</w:t>
            </w:r>
          </w:p>
          <w:p>
            <w:pPr>
              <w:keepNext w:val="0"/>
              <w:keepLines w:val="0"/>
              <w:pageBreakBefore w:val="0"/>
              <w:widowControl w:val="0"/>
              <w:kinsoku/>
              <w:wordWrap/>
              <w:overflowPunct/>
              <w:topLinePunct w:val="0"/>
              <w:autoSpaceDE/>
              <w:autoSpaceDN/>
              <w:bidi w:val="0"/>
              <w:adjustRightInd w:val="0"/>
              <w:snapToGrid/>
              <w:spacing w:line="312"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（1）以中标通知书的</w:t>
            </w:r>
            <w:r>
              <w:rPr>
                <w:rFonts w:hint="eastAsia" w:ascii="宋体" w:hAnsi="宋体" w:eastAsia="宋体" w:cs="宋体"/>
                <w:bCs/>
                <w:color w:val="auto"/>
                <w:sz w:val="24"/>
                <w:szCs w:val="24"/>
                <w:highlight w:val="none"/>
              </w:rPr>
              <w:t>中标金额作为招标代理服务费的计算基数。</w:t>
            </w:r>
            <w:r>
              <w:rPr>
                <w:rFonts w:hint="eastAsia" w:ascii="宋体" w:hAnsi="宋体" w:eastAsia="宋体" w:cs="宋体"/>
                <w:color w:val="auto"/>
                <w:sz w:val="24"/>
                <w:szCs w:val="24"/>
                <w:highlight w:val="none"/>
              </w:rPr>
              <w:t>招标代理服务费收费采用差额定率累进法计算方式。按中华人民共和国国家发展计划委员会颁发的计价格[2002]1980号、国家发改委[2003]857号及发改价格</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2011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534号文规定的“</w:t>
            </w:r>
            <w:r>
              <w:rPr>
                <w:rFonts w:hint="eastAsia" w:ascii="宋体" w:hAnsi="宋体" w:eastAsia="宋体" w:cs="宋体"/>
                <w:color w:val="auto"/>
                <w:sz w:val="24"/>
                <w:szCs w:val="24"/>
                <w:highlight w:val="none"/>
                <w:lang w:eastAsia="zh-CN"/>
              </w:rPr>
              <w:t>服务</w:t>
            </w:r>
            <w:r>
              <w:rPr>
                <w:rFonts w:hint="eastAsia" w:ascii="宋体" w:hAnsi="宋体" w:eastAsia="宋体" w:cs="宋体"/>
                <w:color w:val="auto"/>
                <w:sz w:val="24"/>
                <w:szCs w:val="24"/>
                <w:highlight w:val="none"/>
              </w:rPr>
              <w:t>类”计算。</w:t>
            </w:r>
            <w:r>
              <w:rPr>
                <w:rFonts w:hint="eastAsia" w:ascii="宋体" w:hAnsi="宋体" w:eastAsia="宋体" w:cs="宋体"/>
                <w:color w:val="auto"/>
                <w:sz w:val="24"/>
                <w:szCs w:val="24"/>
                <w:highlight w:val="none"/>
                <w:lang w:val="en-US" w:eastAsia="zh-CN"/>
              </w:rPr>
              <w:t>实际缴纳招标代理服务费=招标代理服务费×78.20%。</w:t>
            </w:r>
          </w:p>
          <w:p>
            <w:pPr>
              <w:keepNext w:val="0"/>
              <w:keepLines w:val="0"/>
              <w:pageBreakBefore w:val="0"/>
              <w:widowControl w:val="0"/>
              <w:numPr>
                <w:ilvl w:val="-1"/>
                <w:numId w:val="0"/>
              </w:numPr>
              <w:kinsoku/>
              <w:wordWrap/>
              <w:overflowPunct/>
              <w:topLinePunct w:val="0"/>
              <w:autoSpaceDE/>
              <w:autoSpaceDN/>
              <w:bidi w:val="0"/>
              <w:adjustRightInd w:val="0"/>
              <w:snapToGrid/>
              <w:spacing w:line="312" w:lineRule="auto"/>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t>（2）招标代理服务费的缴纳形式：向</w:t>
            </w:r>
            <w:r>
              <w:rPr>
                <w:rFonts w:hint="eastAsia" w:ascii="宋体" w:hAnsi="宋体" w:eastAsia="宋体" w:cs="宋体"/>
                <w:color w:val="auto"/>
                <w:sz w:val="24"/>
                <w:szCs w:val="24"/>
                <w:highlight w:val="none"/>
                <w:lang w:eastAsia="zh-CN"/>
              </w:rPr>
              <w:t>招标代理机构</w:t>
            </w:r>
            <w:r>
              <w:rPr>
                <w:rFonts w:hint="eastAsia" w:ascii="宋体" w:hAnsi="宋体" w:eastAsia="宋体" w:cs="宋体"/>
                <w:color w:val="auto"/>
                <w:sz w:val="24"/>
                <w:szCs w:val="24"/>
                <w:highlight w:val="none"/>
              </w:rPr>
              <w:t>直接缴纳招标代理服务费。可用支票、汇票、电汇、现金等付款方式。</w:t>
            </w:r>
          </w:p>
        </w:tc>
      </w:tr>
      <w:tr>
        <w:tblPrEx>
          <w:tblCellMar>
            <w:top w:w="0" w:type="dxa"/>
            <w:left w:w="108" w:type="dxa"/>
            <w:bottom w:w="0" w:type="dxa"/>
            <w:right w:w="108" w:type="dxa"/>
          </w:tblCellMar>
        </w:tblPrEx>
        <w:tc>
          <w:tcPr>
            <w:tcW w:w="801" w:type="dxa"/>
            <w:tcBorders>
              <w:top w:val="single" w:color="000000" w:sz="4" w:space="0"/>
              <w:left w:val="single" w:color="000000" w:sz="4" w:space="0"/>
              <w:bottom w:val="single" w:color="000000" w:sz="4" w:space="0"/>
            </w:tcBorders>
            <w:noWrap w:val="0"/>
            <w:vAlign w:val="center"/>
          </w:tcPr>
          <w:p>
            <w:pPr>
              <w:numPr>
                <w:ilvl w:val="0"/>
                <w:numId w:val="28"/>
              </w:numPr>
              <w:tabs>
                <w:tab w:val="left" w:pos="180"/>
              </w:tabs>
              <w:snapToGrid w:val="0"/>
              <w:spacing w:line="400" w:lineRule="exact"/>
              <w:jc w:val="center"/>
              <w:rPr>
                <w:rFonts w:hint="eastAsia" w:ascii="宋体" w:hAnsi="宋体" w:cs="宋体"/>
                <w:color w:val="auto"/>
                <w:szCs w:val="21"/>
              </w:rPr>
            </w:pPr>
          </w:p>
        </w:tc>
        <w:tc>
          <w:tcPr>
            <w:tcW w:w="1802" w:type="dxa"/>
            <w:tcBorders>
              <w:top w:val="single" w:color="000000" w:sz="4" w:space="0"/>
              <w:left w:val="single" w:color="000000" w:sz="4" w:space="0"/>
              <w:bottom w:val="single" w:color="000000" w:sz="4" w:space="0"/>
            </w:tcBorders>
            <w:noWrap w:val="0"/>
            <w:vAlign w:val="center"/>
          </w:tcPr>
          <w:p>
            <w:pPr>
              <w:spacing w:line="400" w:lineRule="exact"/>
              <w:jc w:val="center"/>
              <w:rPr>
                <w:rFonts w:hint="eastAsia" w:ascii="宋体" w:hAnsi="宋体" w:cs="宋体"/>
                <w:color w:val="auto"/>
                <w:szCs w:val="21"/>
              </w:rPr>
            </w:pPr>
            <w:r>
              <w:rPr>
                <w:rFonts w:hint="eastAsia" w:ascii="宋体" w:hAnsi="宋体" w:cs="宋体"/>
                <w:color w:val="auto"/>
                <w:szCs w:val="21"/>
              </w:rPr>
              <w:t>有关资质、荣誉证书有效期要求</w:t>
            </w:r>
          </w:p>
        </w:tc>
        <w:tc>
          <w:tcPr>
            <w:tcW w:w="6585" w:type="dxa"/>
            <w:tcBorders>
              <w:top w:val="single" w:color="000000" w:sz="4" w:space="0"/>
              <w:left w:val="single" w:color="000000" w:sz="4" w:space="0"/>
              <w:bottom w:val="single" w:color="000000" w:sz="4" w:space="0"/>
              <w:right w:val="single" w:color="000000" w:sz="4" w:space="0"/>
            </w:tcBorders>
            <w:noWrap w:val="0"/>
            <w:vAlign w:val="center"/>
          </w:tcPr>
          <w:p>
            <w:pPr>
              <w:tabs>
                <w:tab w:val="left" w:pos="993"/>
              </w:tabs>
              <w:spacing w:line="400" w:lineRule="exact"/>
              <w:rPr>
                <w:rFonts w:hint="eastAsia" w:ascii="宋体" w:hAnsi="宋体" w:cs="宋体"/>
                <w:color w:val="auto"/>
                <w:szCs w:val="21"/>
              </w:rPr>
            </w:pPr>
            <w:r>
              <w:rPr>
                <w:rFonts w:hint="eastAsia" w:ascii="宋体" w:hAnsi="宋体" w:cs="宋体"/>
                <w:color w:val="auto"/>
                <w:szCs w:val="21"/>
                <w:lang w:eastAsia="zh-CN"/>
              </w:rPr>
              <w:t>（1）</w:t>
            </w:r>
            <w:r>
              <w:rPr>
                <w:rFonts w:hint="eastAsia" w:ascii="宋体" w:hAnsi="宋体" w:cs="宋体"/>
                <w:color w:val="auto"/>
                <w:szCs w:val="21"/>
              </w:rPr>
              <w:t>投标文件中提交的所有企业或人员的资质、荣誉证书均须有效；</w:t>
            </w:r>
          </w:p>
          <w:p>
            <w:pPr>
              <w:tabs>
                <w:tab w:val="left" w:pos="993"/>
              </w:tabs>
              <w:spacing w:line="400" w:lineRule="exact"/>
              <w:rPr>
                <w:rFonts w:hint="eastAsia" w:ascii="宋体" w:hAnsi="宋体" w:cs="宋体"/>
                <w:color w:val="auto"/>
                <w:szCs w:val="21"/>
              </w:rPr>
            </w:pPr>
            <w:r>
              <w:rPr>
                <w:rFonts w:hint="eastAsia" w:ascii="宋体" w:hAnsi="宋体" w:cs="宋体"/>
                <w:color w:val="auto"/>
                <w:szCs w:val="21"/>
                <w:lang w:eastAsia="zh-CN"/>
              </w:rPr>
              <w:t>（2）</w:t>
            </w:r>
            <w:r>
              <w:rPr>
                <w:rFonts w:hint="eastAsia" w:ascii="宋体" w:hAnsi="宋体" w:cs="宋体"/>
                <w:color w:val="auto"/>
                <w:szCs w:val="21"/>
              </w:rPr>
              <w:t>如证书设有有效期的，有效期要求不少于投标截止当日或已办理延期手续；</w:t>
            </w:r>
          </w:p>
          <w:p>
            <w:pPr>
              <w:tabs>
                <w:tab w:val="left" w:pos="993"/>
              </w:tabs>
              <w:spacing w:line="400" w:lineRule="exact"/>
              <w:rPr>
                <w:rFonts w:hint="eastAsia" w:ascii="宋体" w:hAnsi="宋体" w:cs="宋体"/>
                <w:color w:val="auto"/>
                <w:szCs w:val="21"/>
              </w:rPr>
            </w:pPr>
            <w:r>
              <w:rPr>
                <w:rFonts w:hint="eastAsia" w:ascii="宋体" w:hAnsi="宋体" w:cs="宋体"/>
                <w:color w:val="auto"/>
                <w:szCs w:val="21"/>
                <w:lang w:eastAsia="zh-CN"/>
              </w:rPr>
              <w:t>（3）</w:t>
            </w:r>
            <w:r>
              <w:rPr>
                <w:rFonts w:hint="eastAsia" w:ascii="宋体" w:hAnsi="宋体" w:cs="宋体"/>
                <w:color w:val="auto"/>
                <w:szCs w:val="21"/>
              </w:rPr>
              <w:t>如证书没有有效期且该资质未被取消的，则视为仍在有效期内。</w:t>
            </w:r>
          </w:p>
          <w:p>
            <w:pPr>
              <w:tabs>
                <w:tab w:val="left" w:pos="993"/>
              </w:tabs>
              <w:spacing w:line="400" w:lineRule="exact"/>
              <w:rPr>
                <w:rFonts w:hint="eastAsia" w:ascii="宋体" w:hAnsi="宋体" w:cs="宋体"/>
                <w:color w:val="auto"/>
                <w:szCs w:val="21"/>
              </w:rPr>
            </w:pPr>
            <w:r>
              <w:rPr>
                <w:rFonts w:hint="eastAsia" w:ascii="宋体" w:hAnsi="宋体" w:cs="宋体"/>
                <w:color w:val="auto"/>
                <w:szCs w:val="21"/>
                <w:lang w:eastAsia="zh-CN"/>
              </w:rPr>
              <w:t>（4）</w:t>
            </w:r>
            <w:r>
              <w:rPr>
                <w:rFonts w:hint="eastAsia" w:ascii="宋体" w:hAnsi="宋体" w:cs="宋体"/>
                <w:color w:val="auto"/>
                <w:szCs w:val="21"/>
              </w:rPr>
              <w:t>有关企业或人员的资质证书如有最新的行业管理规定或政策文件要求的，按照有关要求执行。</w:t>
            </w:r>
          </w:p>
        </w:tc>
      </w:tr>
      <w:tr>
        <w:tblPrEx>
          <w:tblCellMar>
            <w:top w:w="0" w:type="dxa"/>
            <w:left w:w="108" w:type="dxa"/>
            <w:bottom w:w="0" w:type="dxa"/>
            <w:right w:w="108" w:type="dxa"/>
          </w:tblCellMar>
        </w:tblPrEx>
        <w:tc>
          <w:tcPr>
            <w:tcW w:w="801" w:type="dxa"/>
            <w:tcBorders>
              <w:top w:val="single" w:color="000000" w:sz="4" w:space="0"/>
              <w:left w:val="single" w:color="000000" w:sz="4" w:space="0"/>
              <w:bottom w:val="single" w:color="000000" w:sz="4" w:space="0"/>
            </w:tcBorders>
            <w:noWrap w:val="0"/>
            <w:vAlign w:val="center"/>
          </w:tcPr>
          <w:p>
            <w:pPr>
              <w:numPr>
                <w:ilvl w:val="0"/>
                <w:numId w:val="28"/>
              </w:numPr>
              <w:tabs>
                <w:tab w:val="left" w:pos="180"/>
              </w:tabs>
              <w:snapToGrid w:val="0"/>
              <w:spacing w:line="400" w:lineRule="exact"/>
              <w:jc w:val="center"/>
              <w:rPr>
                <w:rFonts w:hint="eastAsia" w:ascii="宋体" w:hAnsi="宋体" w:cs="宋体"/>
                <w:color w:val="auto"/>
                <w:szCs w:val="21"/>
              </w:rPr>
            </w:pPr>
          </w:p>
        </w:tc>
        <w:tc>
          <w:tcPr>
            <w:tcW w:w="1802" w:type="dxa"/>
            <w:tcBorders>
              <w:top w:val="single" w:color="000000" w:sz="4" w:space="0"/>
              <w:left w:val="single" w:color="000000" w:sz="4" w:space="0"/>
              <w:bottom w:val="single" w:color="000000" w:sz="4" w:space="0"/>
            </w:tcBorders>
            <w:noWrap w:val="0"/>
            <w:vAlign w:val="center"/>
          </w:tcPr>
          <w:p>
            <w:pPr>
              <w:spacing w:line="400" w:lineRule="exact"/>
              <w:jc w:val="center"/>
              <w:rPr>
                <w:rFonts w:hint="eastAsia"/>
                <w:color w:val="auto"/>
                <w:szCs w:val="21"/>
                <w:shd w:val="clear" w:color="auto" w:fill="FFFF00"/>
              </w:rPr>
            </w:pPr>
            <w:r>
              <w:rPr>
                <w:b/>
                <w:bCs/>
                <w:color w:val="auto"/>
                <w:spacing w:val="7"/>
              </w:rPr>
              <w:t>注意事项</w:t>
            </w:r>
          </w:p>
        </w:tc>
        <w:tc>
          <w:tcPr>
            <w:tcW w:w="6585" w:type="dxa"/>
            <w:tcBorders>
              <w:top w:val="single" w:color="000000" w:sz="4" w:space="0"/>
              <w:left w:val="single" w:color="000000" w:sz="4" w:space="0"/>
              <w:bottom w:val="single" w:color="000000" w:sz="4" w:space="0"/>
              <w:right w:val="single" w:color="000000" w:sz="4" w:space="0"/>
            </w:tcBorders>
            <w:noWrap w:val="0"/>
            <w:vAlign w:val="center"/>
          </w:tcPr>
          <w:p>
            <w:pPr>
              <w:tabs>
                <w:tab w:val="left" w:pos="993"/>
              </w:tabs>
              <w:spacing w:line="400" w:lineRule="exact"/>
              <w:rPr>
                <w:rFonts w:hint="eastAsia" w:ascii="宋体" w:hAnsi="宋体" w:cs="宋体"/>
                <w:color w:val="auto"/>
                <w:szCs w:val="21"/>
              </w:rPr>
            </w:pPr>
            <w:r>
              <w:rPr>
                <w:rFonts w:hint="eastAsia" w:ascii="宋体" w:hAnsi="宋体" w:cs="宋体"/>
                <w:color w:val="auto"/>
                <w:szCs w:val="21"/>
              </w:rPr>
              <w:t>一、投标人获取招标文件后，应仔细阅读招标文件及附件的全部内容，招标文件与附件（如有）具有同等效力。</w:t>
            </w:r>
          </w:p>
          <w:p>
            <w:pPr>
              <w:tabs>
                <w:tab w:val="left" w:pos="993"/>
              </w:tabs>
              <w:spacing w:line="400" w:lineRule="exact"/>
              <w:rPr>
                <w:rFonts w:hint="eastAsia" w:ascii="宋体" w:hAnsi="宋体" w:cs="宋体"/>
                <w:color w:val="auto"/>
                <w:szCs w:val="21"/>
              </w:rPr>
            </w:pPr>
            <w:r>
              <w:rPr>
                <w:rFonts w:hint="eastAsia" w:ascii="宋体" w:hAnsi="宋体" w:cs="宋体"/>
                <w:color w:val="auto"/>
                <w:szCs w:val="21"/>
              </w:rPr>
              <w:t>二、投标人在投标截止时间前，应随时查看有关该项目招标文件的澄清（答疑）、补充、修改内容。招标文件的澄清（答疑）、补充、修改内容不一致时，以最后发出的为准。招标文件的澄清修正内容将在项目公告网站发布更正公告，当澄清修正涉及项目重要内容或影响投标文件编制时，将在交易系统发布招标文件的最新版本（澄清文件），投标人需按照更正公告要求重新下载最新的澄清文件并重新编制投标文件，否则其后果由投标人自行承担。</w:t>
            </w:r>
          </w:p>
          <w:p>
            <w:pPr>
              <w:tabs>
                <w:tab w:val="left" w:pos="993"/>
              </w:tabs>
              <w:spacing w:line="400" w:lineRule="exact"/>
              <w:rPr>
                <w:rFonts w:hint="eastAsia" w:ascii="宋体" w:hAnsi="宋体" w:cs="宋体"/>
                <w:color w:val="auto"/>
                <w:szCs w:val="21"/>
              </w:rPr>
            </w:pPr>
            <w:r>
              <w:rPr>
                <w:rFonts w:hint="eastAsia" w:ascii="宋体" w:hAnsi="宋体" w:cs="宋体"/>
                <w:color w:val="auto"/>
                <w:szCs w:val="21"/>
              </w:rPr>
              <w:t>三、投标人应在遵循招标文件的各项规定和要求的前提下，编制投标文件。编制投标文件时，应注意：</w:t>
            </w:r>
          </w:p>
          <w:p>
            <w:pPr>
              <w:tabs>
                <w:tab w:val="left" w:pos="993"/>
              </w:tabs>
              <w:spacing w:line="400" w:lineRule="exact"/>
              <w:rPr>
                <w:rFonts w:hint="eastAsia" w:ascii="宋体" w:hAnsi="宋体" w:cs="宋体"/>
                <w:color w:val="auto"/>
                <w:szCs w:val="21"/>
              </w:rPr>
            </w:pPr>
            <w:r>
              <w:rPr>
                <w:rFonts w:hint="eastAsia" w:ascii="宋体" w:hAnsi="宋体" w:cs="宋体"/>
                <w:color w:val="auto"/>
                <w:szCs w:val="21"/>
              </w:rPr>
              <w:t>1、投标文件必须满足招标文件中的实质性要求和条件。投标文件的所有否决性条款已在招标文件中集中载明，若出现其中任何一个情形的，其投标将会被否决。</w:t>
            </w:r>
          </w:p>
          <w:p>
            <w:pPr>
              <w:tabs>
                <w:tab w:val="left" w:pos="993"/>
              </w:tabs>
              <w:spacing w:line="400" w:lineRule="exact"/>
              <w:rPr>
                <w:rFonts w:hint="eastAsia" w:ascii="宋体" w:hAnsi="宋体" w:cs="宋体"/>
                <w:color w:val="auto"/>
                <w:szCs w:val="21"/>
              </w:rPr>
            </w:pPr>
            <w:r>
              <w:rPr>
                <w:rFonts w:hint="eastAsia" w:ascii="宋体" w:hAnsi="宋体" w:cs="宋体"/>
                <w:color w:val="auto"/>
                <w:szCs w:val="21"/>
              </w:rPr>
              <w:t>2、投标人对招标文件有不明之处，应登录“</w:t>
            </w:r>
            <w:r>
              <w:rPr>
                <w:rFonts w:hint="eastAsia" w:ascii="宋体" w:hAnsi="宋体" w:cs="宋体"/>
                <w:color w:val="auto"/>
                <w:szCs w:val="21"/>
                <w:lang w:eastAsia="zh-CN"/>
              </w:rPr>
              <w:t>佛山市公共资源交易综合管理云平台</w:t>
            </w:r>
            <w:r>
              <w:rPr>
                <w:rFonts w:hint="eastAsia" w:ascii="宋体" w:hAnsi="宋体" w:cs="宋体"/>
                <w:color w:val="auto"/>
                <w:szCs w:val="21"/>
              </w:rPr>
              <w:t xml:space="preserve"> ”，进入</w:t>
            </w:r>
            <w:r>
              <w:rPr>
                <w:rFonts w:hint="eastAsia" w:ascii="宋体" w:hAnsi="宋体" w:cs="宋体"/>
                <w:color w:val="auto"/>
                <w:szCs w:val="21"/>
                <w:lang w:eastAsia="zh-CN"/>
              </w:rPr>
              <w:t>“提问”模块</w:t>
            </w:r>
            <w:r>
              <w:rPr>
                <w:rFonts w:hint="eastAsia" w:ascii="宋体" w:hAnsi="宋体" w:cs="宋体"/>
                <w:color w:val="auto"/>
                <w:szCs w:val="21"/>
              </w:rPr>
              <w:t>填写相关信息，并将询问函及相关证明材料按</w:t>
            </w:r>
            <w:r>
              <w:rPr>
                <w:rFonts w:hint="eastAsia" w:ascii="宋体" w:hAnsi="宋体" w:cs="宋体"/>
                <w:color w:val="auto"/>
                <w:szCs w:val="21"/>
                <w:lang w:eastAsia="zh-CN"/>
              </w:rPr>
              <w:t>综合管理云平台</w:t>
            </w:r>
            <w:r>
              <w:rPr>
                <w:rFonts w:hint="eastAsia" w:ascii="宋体" w:hAnsi="宋体" w:cs="宋体"/>
                <w:color w:val="auto"/>
                <w:szCs w:val="21"/>
              </w:rPr>
              <w:t>要求进行提交， 并查询和打印询问受理回执。</w:t>
            </w:r>
          </w:p>
          <w:p>
            <w:pPr>
              <w:tabs>
                <w:tab w:val="left" w:pos="993"/>
              </w:tabs>
              <w:spacing w:line="400" w:lineRule="exact"/>
              <w:rPr>
                <w:rFonts w:hint="eastAsia" w:ascii="宋体" w:hAnsi="宋体" w:cs="宋体"/>
                <w:color w:val="auto"/>
                <w:szCs w:val="21"/>
              </w:rPr>
            </w:pPr>
            <w:r>
              <w:rPr>
                <w:rFonts w:hint="eastAsia" w:ascii="宋体" w:hAnsi="宋体" w:cs="宋体"/>
                <w:color w:val="auto"/>
                <w:szCs w:val="21"/>
              </w:rPr>
              <w:t>3、本招标项目采用电子招投标，请务必按相关要求编制投标文件，有疑问的可通过招标文件载明的联系方式进行技术咨询。因投标文件编制不规范导致投标文件内容无法成功上传的，该投标文件将被视为无效投标文件。</w:t>
            </w:r>
          </w:p>
          <w:p>
            <w:pPr>
              <w:tabs>
                <w:tab w:val="left" w:pos="993"/>
              </w:tabs>
              <w:spacing w:line="400" w:lineRule="exact"/>
              <w:rPr>
                <w:rFonts w:hint="eastAsia" w:ascii="宋体" w:hAnsi="宋体" w:cs="宋体"/>
                <w:color w:val="auto"/>
                <w:szCs w:val="21"/>
              </w:rPr>
            </w:pPr>
            <w:r>
              <w:rPr>
                <w:rFonts w:hint="eastAsia" w:ascii="宋体" w:hAnsi="宋体" w:cs="宋体"/>
                <w:color w:val="auto"/>
                <w:szCs w:val="21"/>
              </w:rPr>
              <w:t>4、投标文件中需签字、盖章的，投标人应按要求签字、盖章。未对电子文件进行数字证书加密的，以及对投标文件进行加密但在开标会规定的时间内没有进行解密的，开标会现场将作为不予受理的投标文件处理。</w:t>
            </w:r>
          </w:p>
          <w:p>
            <w:pPr>
              <w:tabs>
                <w:tab w:val="left" w:pos="993"/>
              </w:tabs>
              <w:spacing w:line="400" w:lineRule="exact"/>
              <w:rPr>
                <w:rFonts w:hint="eastAsia" w:ascii="宋体" w:hAnsi="宋体" w:cs="宋体"/>
                <w:color w:val="auto"/>
                <w:szCs w:val="21"/>
              </w:rPr>
            </w:pPr>
            <w:r>
              <w:rPr>
                <w:rFonts w:hint="eastAsia" w:ascii="宋体" w:hAnsi="宋体" w:cs="宋体"/>
                <w:color w:val="auto"/>
                <w:szCs w:val="21"/>
              </w:rPr>
              <w:t>四、投标人在提交投标文件时，必须在投标截止时间前通过</w:t>
            </w:r>
            <w:r>
              <w:rPr>
                <w:rFonts w:hint="eastAsia" w:ascii="宋体" w:hAnsi="宋体" w:cs="宋体"/>
                <w:color w:val="auto"/>
                <w:szCs w:val="21"/>
                <w:lang w:eastAsia="zh-CN"/>
              </w:rPr>
              <w:t>佛山市公共资源交易综合管理云平台</w:t>
            </w:r>
            <w:r>
              <w:rPr>
                <w:rFonts w:hint="eastAsia" w:ascii="宋体" w:hAnsi="宋体" w:cs="宋体"/>
                <w:color w:val="auto"/>
                <w:szCs w:val="21"/>
              </w:rPr>
              <w:t>成功上传投标文件。为防止网络阻塞，建议提前上传投标文件。</w:t>
            </w:r>
          </w:p>
          <w:p>
            <w:pPr>
              <w:tabs>
                <w:tab w:val="left" w:pos="993"/>
              </w:tabs>
              <w:spacing w:line="400" w:lineRule="exact"/>
              <w:rPr>
                <w:rFonts w:hint="eastAsia" w:ascii="宋体" w:hAnsi="宋体" w:cs="宋体"/>
                <w:color w:val="auto"/>
                <w:szCs w:val="21"/>
              </w:rPr>
            </w:pPr>
            <w:r>
              <w:rPr>
                <w:rFonts w:hint="eastAsia" w:ascii="宋体" w:hAnsi="宋体" w:cs="宋体"/>
                <w:color w:val="auto"/>
                <w:szCs w:val="21"/>
              </w:rPr>
              <w:t>五、由于电子标已固化格式，如未有节点上传相关证明材料的。各投标人自行上传相关证明材料至投标文件中即可。不按顺序提交相关证明材料或投标文件指引页码不正确的，不构成无效投标。</w:t>
            </w:r>
          </w:p>
          <w:p>
            <w:pPr>
              <w:tabs>
                <w:tab w:val="left" w:pos="993"/>
              </w:tabs>
              <w:spacing w:line="400" w:lineRule="exact"/>
              <w:rPr>
                <w:rFonts w:hint="eastAsia" w:ascii="宋体" w:hAnsi="宋体" w:cs="宋体"/>
                <w:color w:val="auto"/>
                <w:szCs w:val="21"/>
                <w:lang w:eastAsia="zh-CN"/>
              </w:rPr>
            </w:pPr>
            <w:r>
              <w:rPr>
                <w:rFonts w:hint="eastAsia" w:ascii="宋体" w:hAnsi="宋体" w:cs="宋体"/>
                <w:color w:val="auto"/>
                <w:szCs w:val="21"/>
                <w:lang w:eastAsia="zh-CN"/>
              </w:rPr>
              <w:t>六、</w:t>
            </w:r>
            <w:r>
              <w:rPr>
                <w:rFonts w:hint="eastAsia" w:ascii="宋体" w:hAnsi="宋体" w:cs="宋体"/>
                <w:b/>
                <w:color w:val="auto"/>
                <w:kern w:val="0"/>
                <w:szCs w:val="21"/>
                <w:lang w:eastAsia="zh-CN" w:bidi="ar"/>
              </w:rPr>
              <w:t>根据《关于推动解决政府采购异常低价问题的通知》（财库〔2026〕2号）等相关规定，评审中出现下列情形之一的，评审委员会应当启动异常低价投标（响应）审查程序：（1）投标（响应）报价低于全部通过符合性审查供应商投标（响应）报价平均值50%的，即投标（响应）报价&lt;全部通过符合性审查供应商投标（响应）报价平均值×50%；（2）投标（响应）报价低于通过符合性审查的次低报价供应商投标（响应）报价50%的，即投标（响应）报价&lt;通过符合性审查的次低报价供应商投标（响应）报价×50%；（3）投标（响应）报价低于采购项目最高限价45%的，即投标（响应）报价&lt;采购项目最高限价×45%；（4）评审委员会基于专业判断，认为供应商报价过低，有可能影响产品质量或者不能诚信履约的其他情形。评审委员会启动异常低价投标（响应）审查后，属于前述第1项至第4项情形的，应当要求相关供应商在评审现场合理的时间内对投标（响应）价格作出解释。</w:t>
            </w:r>
          </w:p>
        </w:tc>
      </w:tr>
    </w:tbl>
    <w:p>
      <w:pPr>
        <w:pStyle w:val="3"/>
        <w:pageBreakBefore/>
        <w:ind w:left="118" w:hanging="118"/>
        <w:rPr>
          <w:rFonts w:hint="eastAsia" w:ascii="宋体" w:hAnsi="宋体" w:eastAsia="宋体" w:cs="宋体"/>
          <w:color w:val="auto"/>
          <w:sz w:val="21"/>
          <w:szCs w:val="21"/>
        </w:rPr>
      </w:pPr>
      <w:r>
        <w:rPr>
          <w:rFonts w:hint="eastAsia" w:ascii="宋体" w:hAnsi="宋体" w:eastAsia="宋体" w:cs="宋体"/>
          <w:color w:val="auto"/>
          <w:lang w:eastAsia="zh-CN"/>
        </w:rPr>
        <w:t>（</w:t>
      </w:r>
      <w:r>
        <w:rPr>
          <w:rFonts w:hint="eastAsia" w:ascii="宋体" w:hAnsi="宋体" w:eastAsia="宋体" w:cs="宋体"/>
          <w:color w:val="auto"/>
          <w:lang w:val="en-US" w:eastAsia="zh-CN"/>
        </w:rPr>
        <w:t>一</w:t>
      </w:r>
      <w:r>
        <w:rPr>
          <w:rFonts w:hint="eastAsia" w:ascii="宋体" w:hAnsi="宋体" w:eastAsia="宋体" w:cs="宋体"/>
          <w:color w:val="auto"/>
          <w:lang w:eastAsia="zh-CN"/>
        </w:rPr>
        <w:t>）</w:t>
      </w:r>
      <w:r>
        <w:rPr>
          <w:rFonts w:hint="eastAsia" w:ascii="宋体" w:hAnsi="宋体" w:eastAsia="宋体" w:cs="宋体"/>
          <w:color w:val="auto"/>
        </w:rPr>
        <w:t>说明</w:t>
      </w:r>
    </w:p>
    <w:p>
      <w:pPr>
        <w:pStyle w:val="4"/>
        <w:rPr>
          <w:rFonts w:hint="eastAsia" w:ascii="宋体" w:hAnsi="宋体" w:cs="宋体"/>
          <w:color w:val="auto"/>
          <w:szCs w:val="21"/>
        </w:rPr>
      </w:pPr>
      <w:r>
        <w:rPr>
          <w:rFonts w:hint="eastAsia" w:ascii="宋体" w:hAnsi="宋体" w:eastAsia="宋体" w:cs="宋体"/>
          <w:b/>
          <w:color w:val="auto"/>
          <w:sz w:val="21"/>
          <w:szCs w:val="21"/>
        </w:rPr>
        <w:t>1、资金来源</w:t>
      </w:r>
    </w:p>
    <w:p>
      <w:pPr>
        <w:spacing w:line="360" w:lineRule="auto"/>
        <w:rPr>
          <w:rFonts w:hint="eastAsia" w:ascii="宋体" w:hAnsi="宋体" w:cs="宋体"/>
          <w:b/>
          <w:color w:val="auto"/>
          <w:szCs w:val="21"/>
        </w:rPr>
      </w:pPr>
      <w:r>
        <w:rPr>
          <w:rFonts w:hint="eastAsia" w:ascii="宋体" w:hAnsi="宋体" w:cs="宋体"/>
          <w:color w:val="auto"/>
          <w:szCs w:val="21"/>
        </w:rPr>
        <w:t>1.1</w:t>
      </w:r>
      <w:r>
        <w:rPr>
          <w:rFonts w:hint="eastAsia" w:ascii="宋体" w:hAnsi="宋体" w:cs="宋体"/>
          <w:b/>
          <w:color w:val="auto"/>
          <w:szCs w:val="21"/>
          <w:lang w:eastAsia="zh-CN"/>
        </w:rPr>
        <w:t>本项目资金为非财政预算资金，不属于政府采购项目，具体适用规则以本招标文件以及采购人、采购代理机构的要求、解释为准</w:t>
      </w:r>
      <w:r>
        <w:rPr>
          <w:rFonts w:hint="eastAsia" w:ascii="宋体" w:hAnsi="宋体" w:cs="宋体"/>
          <w:color w:val="auto"/>
          <w:szCs w:val="21"/>
        </w:rPr>
        <w:t>。</w:t>
      </w:r>
    </w:p>
    <w:p>
      <w:pPr>
        <w:pStyle w:val="4"/>
        <w:rPr>
          <w:rFonts w:hint="eastAsia" w:ascii="宋体" w:hAnsi="宋体" w:cs="宋体"/>
          <w:color w:val="auto"/>
          <w:szCs w:val="21"/>
        </w:rPr>
      </w:pPr>
      <w:r>
        <w:rPr>
          <w:rFonts w:hint="eastAsia" w:ascii="宋体" w:hAnsi="宋体" w:eastAsia="宋体" w:cs="宋体"/>
          <w:b/>
          <w:color w:val="auto"/>
          <w:sz w:val="21"/>
          <w:szCs w:val="21"/>
        </w:rPr>
        <w:t>2、采购人</w:t>
      </w:r>
    </w:p>
    <w:p>
      <w:pPr>
        <w:spacing w:line="360" w:lineRule="auto"/>
        <w:rPr>
          <w:rFonts w:hint="eastAsia" w:ascii="宋体" w:hAnsi="宋体" w:cs="宋体"/>
          <w:b/>
          <w:color w:val="auto"/>
          <w:szCs w:val="21"/>
          <w:lang w:eastAsia="zh-CN"/>
        </w:rPr>
      </w:pPr>
      <w:r>
        <w:rPr>
          <w:rFonts w:hint="eastAsia" w:ascii="宋体" w:hAnsi="宋体" w:cs="宋体"/>
          <w:color w:val="auto"/>
          <w:szCs w:val="21"/>
        </w:rPr>
        <w:t>2.1采购人是指</w:t>
      </w:r>
      <w:r>
        <w:rPr>
          <w:rFonts w:hint="eastAsia" w:ascii="宋体" w:hAnsi="宋体" w:cs="宋体"/>
          <w:b/>
          <w:color w:val="auto"/>
          <w:szCs w:val="21"/>
        </w:rPr>
        <w:t>“</w:t>
      </w:r>
      <w:r>
        <w:rPr>
          <w:rFonts w:hint="eastAsia" w:cs="宋体"/>
          <w:b/>
          <w:color w:val="auto"/>
          <w:szCs w:val="21"/>
          <w:lang w:eastAsia="zh-CN"/>
        </w:rPr>
        <w:t>佛山市三水云东海新城开发投资有限公司</w:t>
      </w:r>
      <w:r>
        <w:rPr>
          <w:rFonts w:hint="eastAsia" w:ascii="宋体" w:hAnsi="宋体" w:cs="宋体"/>
          <w:b/>
          <w:color w:val="auto"/>
          <w:szCs w:val="21"/>
        </w:rPr>
        <w:t>”</w:t>
      </w:r>
      <w:r>
        <w:rPr>
          <w:rFonts w:hint="eastAsia" w:ascii="宋体" w:hAnsi="宋体" w:cs="宋体"/>
          <w:color w:val="auto"/>
          <w:szCs w:val="21"/>
        </w:rPr>
        <w:t>，简称采购人或用户（业主）或买方。</w:t>
      </w:r>
    </w:p>
    <w:p>
      <w:pPr>
        <w:pStyle w:val="4"/>
        <w:rPr>
          <w:rFonts w:hint="eastAsia" w:ascii="宋体" w:hAnsi="宋体" w:cs="宋体"/>
          <w:color w:val="auto"/>
          <w:szCs w:val="21"/>
        </w:rPr>
      </w:pPr>
      <w:r>
        <w:rPr>
          <w:rFonts w:hint="eastAsia" w:ascii="宋体" w:hAnsi="宋体" w:eastAsia="宋体" w:cs="宋体"/>
          <w:b/>
          <w:color w:val="auto"/>
          <w:sz w:val="21"/>
          <w:szCs w:val="21"/>
        </w:rPr>
        <w:t>3、采购代理机构</w:t>
      </w:r>
    </w:p>
    <w:p>
      <w:pPr>
        <w:spacing w:line="360" w:lineRule="auto"/>
        <w:rPr>
          <w:rFonts w:hint="eastAsia" w:ascii="宋体" w:hAnsi="宋体" w:cs="宋体"/>
          <w:color w:val="auto"/>
          <w:szCs w:val="21"/>
        </w:rPr>
      </w:pPr>
      <w:r>
        <w:rPr>
          <w:rFonts w:hint="eastAsia" w:ascii="宋体" w:hAnsi="宋体" w:cs="宋体"/>
          <w:color w:val="auto"/>
          <w:szCs w:val="21"/>
        </w:rPr>
        <w:t>3.1采购代理</w:t>
      </w:r>
      <w:r>
        <w:rPr>
          <w:rFonts w:hint="eastAsia" w:ascii="宋体" w:hAnsi="宋体" w:cs="宋体"/>
          <w:bCs/>
          <w:color w:val="auto"/>
          <w:szCs w:val="21"/>
        </w:rPr>
        <w:t>机构</w:t>
      </w:r>
      <w:r>
        <w:rPr>
          <w:rFonts w:hint="eastAsia" w:ascii="宋体" w:hAnsi="宋体" w:cs="宋体"/>
          <w:color w:val="auto"/>
          <w:szCs w:val="21"/>
        </w:rPr>
        <w:t>是指依法取得招标资格、从事采购代理机构业务并提供相关服务的专门机构。本招标文件的采购代理机构特指</w:t>
      </w:r>
      <w:r>
        <w:rPr>
          <w:rFonts w:hint="eastAsia" w:ascii="宋体" w:hAnsi="宋体" w:cs="宋体"/>
          <w:b/>
          <w:color w:val="auto"/>
          <w:szCs w:val="21"/>
        </w:rPr>
        <w:t>“</w:t>
      </w:r>
      <w:r>
        <w:rPr>
          <w:rFonts w:hint="eastAsia" w:cs="宋体"/>
          <w:b/>
          <w:color w:val="auto"/>
          <w:szCs w:val="21"/>
          <w:lang w:eastAsia="zh-CN"/>
        </w:rPr>
        <w:t>广东中采招标有限公司</w:t>
      </w:r>
      <w:r>
        <w:rPr>
          <w:rFonts w:hint="eastAsia" w:ascii="宋体" w:hAnsi="宋体" w:cs="宋体"/>
          <w:b/>
          <w:color w:val="auto"/>
          <w:szCs w:val="21"/>
        </w:rPr>
        <w:t>”</w:t>
      </w:r>
      <w:r>
        <w:rPr>
          <w:rFonts w:hint="eastAsia" w:ascii="宋体" w:hAnsi="宋体" w:cs="宋体"/>
          <w:color w:val="auto"/>
          <w:szCs w:val="21"/>
        </w:rPr>
        <w:t>，简称采购代理机构。</w:t>
      </w:r>
    </w:p>
    <w:p>
      <w:pPr>
        <w:spacing w:line="360" w:lineRule="auto"/>
        <w:ind w:left="718" w:hanging="149"/>
        <w:rPr>
          <w:rFonts w:hint="eastAsia" w:ascii="宋体" w:hAnsi="宋体" w:eastAsia="宋体" w:cs="宋体"/>
          <w:color w:val="auto"/>
          <w:szCs w:val="21"/>
          <w:lang w:eastAsia="zh-CN"/>
        </w:rPr>
      </w:pPr>
      <w:r>
        <w:rPr>
          <w:rFonts w:hint="eastAsia" w:ascii="宋体" w:hAnsi="宋体" w:cs="宋体"/>
          <w:color w:val="auto"/>
          <w:szCs w:val="21"/>
        </w:rPr>
        <w:t>地    址：</w:t>
      </w:r>
      <w:r>
        <w:rPr>
          <w:rFonts w:hint="eastAsia" w:cs="宋体"/>
          <w:color w:val="auto"/>
          <w:szCs w:val="21"/>
          <w:lang w:eastAsia="zh-CN"/>
        </w:rPr>
        <w:t>佛山市禅城区祖庙街道季华六路17号一座1603室</w:t>
      </w:r>
    </w:p>
    <w:p>
      <w:pPr>
        <w:spacing w:line="360" w:lineRule="auto"/>
        <w:ind w:left="718" w:hanging="149"/>
        <w:rPr>
          <w:rFonts w:hint="eastAsia" w:ascii="宋体" w:hAnsi="宋体" w:eastAsia="宋体" w:cs="宋体"/>
          <w:bCs/>
          <w:color w:val="auto"/>
          <w:szCs w:val="21"/>
          <w:lang w:eastAsia="zh-CN"/>
        </w:rPr>
      </w:pPr>
      <w:r>
        <w:rPr>
          <w:rFonts w:hint="eastAsia" w:ascii="宋体" w:hAnsi="宋体" w:cs="宋体"/>
          <w:color w:val="auto"/>
          <w:szCs w:val="21"/>
        </w:rPr>
        <w:t xml:space="preserve">电    </w:t>
      </w:r>
      <w:r>
        <w:rPr>
          <w:rFonts w:hint="eastAsia" w:ascii="宋体" w:hAnsi="宋体" w:cs="宋体"/>
          <w:bCs/>
          <w:color w:val="auto"/>
          <w:szCs w:val="21"/>
        </w:rPr>
        <w:t>话：</w:t>
      </w:r>
      <w:r>
        <w:rPr>
          <w:rFonts w:hint="eastAsia" w:ascii="宋体" w:hAnsi="宋体" w:cs="宋体"/>
          <w:bCs/>
          <w:color w:val="auto"/>
          <w:szCs w:val="21"/>
          <w:lang w:eastAsia="zh-CN"/>
        </w:rPr>
        <w:t>0757-83284195</w:t>
      </w:r>
    </w:p>
    <w:p>
      <w:pPr>
        <w:spacing w:line="360" w:lineRule="auto"/>
        <w:ind w:left="718" w:hanging="149"/>
        <w:rPr>
          <w:rFonts w:hint="eastAsia" w:ascii="宋体" w:hAnsi="宋体" w:eastAsia="宋体" w:cs="宋体"/>
          <w:bCs/>
          <w:color w:val="auto"/>
          <w:szCs w:val="21"/>
          <w:lang w:eastAsia="zh-CN"/>
        </w:rPr>
      </w:pPr>
      <w:r>
        <w:rPr>
          <w:rFonts w:hint="eastAsia" w:ascii="宋体" w:hAnsi="宋体" w:cs="宋体"/>
          <w:bCs/>
          <w:color w:val="auto"/>
          <w:szCs w:val="21"/>
        </w:rPr>
        <w:t>邮    箱：</w:t>
      </w:r>
      <w:r>
        <w:rPr>
          <w:rFonts w:hint="eastAsia" w:cs="宋体"/>
          <w:bCs/>
          <w:color w:val="auto"/>
          <w:szCs w:val="21"/>
          <w:lang w:eastAsia="zh-CN"/>
        </w:rPr>
        <w:t xml:space="preserve">0757-81993027 </w:t>
      </w:r>
    </w:p>
    <w:p>
      <w:pPr>
        <w:spacing w:line="360" w:lineRule="auto"/>
        <w:ind w:left="718" w:right="420" w:hanging="149"/>
        <w:rPr>
          <w:rFonts w:hint="eastAsia" w:ascii="宋体" w:hAnsi="宋体" w:eastAsia="宋体" w:cs="宋体"/>
          <w:b/>
          <w:color w:val="auto"/>
          <w:szCs w:val="21"/>
          <w:lang w:eastAsia="zh-CN"/>
        </w:rPr>
      </w:pPr>
      <w:r>
        <w:rPr>
          <w:rFonts w:hint="eastAsia" w:ascii="宋体" w:hAnsi="宋体" w:cs="宋体"/>
          <w:bCs/>
          <w:color w:val="auto"/>
          <w:szCs w:val="21"/>
        </w:rPr>
        <w:t>联 系 人：</w:t>
      </w:r>
      <w:r>
        <w:rPr>
          <w:rFonts w:hint="eastAsia" w:cs="宋体"/>
          <w:bCs/>
          <w:color w:val="auto"/>
          <w:szCs w:val="21"/>
          <w:lang w:eastAsia="zh-CN"/>
        </w:rPr>
        <w:t>张小姐、余先生</w:t>
      </w:r>
    </w:p>
    <w:p>
      <w:pPr>
        <w:pStyle w:val="4"/>
        <w:rPr>
          <w:rFonts w:hint="eastAsia" w:ascii="宋体" w:hAnsi="宋体" w:eastAsia="宋体" w:cs="宋体"/>
          <w:color w:val="auto"/>
          <w:szCs w:val="21"/>
          <w:lang w:eastAsia="zh-CN"/>
        </w:rPr>
      </w:pPr>
      <w:r>
        <w:rPr>
          <w:rFonts w:hint="eastAsia" w:ascii="宋体" w:hAnsi="宋体" w:eastAsia="宋体" w:cs="宋体"/>
          <w:b/>
          <w:color w:val="auto"/>
          <w:sz w:val="21"/>
          <w:szCs w:val="21"/>
        </w:rPr>
        <w:t>4、合格的</w:t>
      </w:r>
      <w:r>
        <w:rPr>
          <w:rFonts w:hint="eastAsia" w:ascii="宋体" w:hAnsi="宋体" w:eastAsia="宋体" w:cs="宋体"/>
          <w:b/>
          <w:color w:val="auto"/>
          <w:sz w:val="21"/>
          <w:szCs w:val="21"/>
          <w:lang w:eastAsia="zh-CN"/>
        </w:rPr>
        <w:t>投标人</w:t>
      </w:r>
    </w:p>
    <w:p>
      <w:pPr>
        <w:spacing w:line="360" w:lineRule="auto"/>
        <w:rPr>
          <w:rFonts w:hint="eastAsia" w:ascii="宋体" w:hAnsi="宋体" w:cs="宋体"/>
          <w:color w:val="auto"/>
          <w:szCs w:val="21"/>
        </w:rPr>
      </w:pPr>
      <w:r>
        <w:rPr>
          <w:rFonts w:hint="eastAsia" w:ascii="宋体" w:hAnsi="宋体" w:cs="宋体"/>
          <w:color w:val="auto"/>
          <w:szCs w:val="21"/>
        </w:rPr>
        <w:t>4.1</w:t>
      </w:r>
      <w:r>
        <w:rPr>
          <w:rFonts w:hint="eastAsia" w:ascii="宋体" w:hAnsi="宋体" w:cs="宋体"/>
          <w:bCs/>
          <w:color w:val="auto"/>
          <w:szCs w:val="21"/>
        </w:rPr>
        <w:t>除本文另有规定的，凡是有能力提供本项目相关服务，符合并承认和履行本招标文件中的各项规定者为合格的</w:t>
      </w:r>
      <w:r>
        <w:rPr>
          <w:rFonts w:hint="eastAsia" w:ascii="宋体" w:hAnsi="宋体" w:cs="宋体"/>
          <w:bCs/>
          <w:color w:val="auto"/>
          <w:szCs w:val="21"/>
          <w:lang w:eastAsia="zh-CN"/>
        </w:rPr>
        <w:t>投标人</w:t>
      </w:r>
      <w:r>
        <w:rPr>
          <w:rFonts w:hint="eastAsia" w:ascii="宋体" w:hAnsi="宋体" w:cs="宋体"/>
          <w:bCs/>
          <w:color w:val="auto"/>
          <w:szCs w:val="21"/>
        </w:rPr>
        <w:t>。</w:t>
      </w:r>
    </w:p>
    <w:p>
      <w:pPr>
        <w:spacing w:line="360" w:lineRule="auto"/>
        <w:rPr>
          <w:rFonts w:hint="eastAsia" w:ascii="宋体" w:hAnsi="宋体" w:cs="宋体"/>
          <w:b/>
          <w:color w:val="auto"/>
          <w:szCs w:val="21"/>
        </w:rPr>
      </w:pPr>
      <w:r>
        <w:rPr>
          <w:rFonts w:hint="eastAsia" w:ascii="宋体" w:hAnsi="宋体" w:cs="宋体"/>
          <w:color w:val="auto"/>
          <w:szCs w:val="21"/>
        </w:rPr>
        <w:t>4.2</w:t>
      </w:r>
      <w:r>
        <w:rPr>
          <w:rFonts w:hint="eastAsia" w:ascii="宋体" w:hAnsi="宋体" w:cs="宋体"/>
          <w:bCs/>
          <w:color w:val="auto"/>
          <w:szCs w:val="21"/>
          <w:lang w:eastAsia="zh-CN"/>
        </w:rPr>
        <w:t>投标人</w:t>
      </w:r>
      <w:r>
        <w:rPr>
          <w:rFonts w:hint="eastAsia" w:ascii="宋体" w:hAnsi="宋体" w:cs="宋体"/>
          <w:bCs/>
          <w:color w:val="auto"/>
          <w:szCs w:val="21"/>
        </w:rPr>
        <w:t>必</w:t>
      </w:r>
      <w:r>
        <w:rPr>
          <w:rFonts w:hint="eastAsia" w:ascii="宋体" w:hAnsi="宋体" w:cs="宋体"/>
          <w:color w:val="auto"/>
          <w:szCs w:val="21"/>
        </w:rPr>
        <w:t>须参照《中华人民共和国民法典》的有关规定和其他相关的法律、法规、规章、条例及招标文件中的规定。</w:t>
      </w:r>
    </w:p>
    <w:p>
      <w:pPr>
        <w:pStyle w:val="4"/>
        <w:rPr>
          <w:rFonts w:hint="eastAsia" w:ascii="宋体" w:hAnsi="宋体" w:cs="宋体"/>
          <w:color w:val="auto"/>
          <w:szCs w:val="21"/>
        </w:rPr>
      </w:pPr>
      <w:r>
        <w:rPr>
          <w:rFonts w:hint="eastAsia" w:ascii="宋体" w:hAnsi="宋体" w:eastAsia="宋体" w:cs="宋体"/>
          <w:b/>
          <w:color w:val="auto"/>
          <w:sz w:val="21"/>
          <w:szCs w:val="21"/>
        </w:rPr>
        <w:t>5、合格的</w:t>
      </w:r>
      <w:r>
        <w:rPr>
          <w:rFonts w:hint="eastAsia" w:ascii="宋体" w:hAnsi="宋体" w:eastAsia="宋体" w:cs="宋体"/>
          <w:b/>
          <w:color w:val="auto"/>
          <w:sz w:val="21"/>
          <w:szCs w:val="21"/>
          <w:lang w:eastAsia="zh-CN"/>
        </w:rPr>
        <w:t>货物及</w:t>
      </w:r>
      <w:r>
        <w:rPr>
          <w:rFonts w:hint="eastAsia" w:ascii="宋体" w:hAnsi="宋体" w:eastAsia="宋体" w:cs="宋体"/>
          <w:b/>
          <w:color w:val="auto"/>
          <w:sz w:val="21"/>
          <w:szCs w:val="21"/>
        </w:rPr>
        <w:t>服务</w:t>
      </w:r>
    </w:p>
    <w:p>
      <w:pPr>
        <w:spacing w:line="360" w:lineRule="auto"/>
        <w:rPr>
          <w:rFonts w:hint="eastAsia" w:ascii="宋体" w:hAnsi="宋体" w:cs="宋体"/>
          <w:color w:val="auto"/>
          <w:szCs w:val="21"/>
        </w:rPr>
      </w:pPr>
      <w:r>
        <w:rPr>
          <w:rFonts w:hint="eastAsia" w:ascii="宋体" w:hAnsi="宋体" w:cs="宋体"/>
          <w:color w:val="auto"/>
          <w:szCs w:val="21"/>
        </w:rPr>
        <w:t>5.1“货物”是指投标人制造或组织符合</w:t>
      </w:r>
      <w:r>
        <w:rPr>
          <w:rFonts w:hint="eastAsia" w:ascii="宋体" w:hAnsi="宋体" w:cs="宋体"/>
          <w:color w:val="auto"/>
          <w:szCs w:val="21"/>
          <w:lang w:eastAsia="zh-CN"/>
        </w:rPr>
        <w:t>招标文件</w:t>
      </w:r>
      <w:r>
        <w:rPr>
          <w:rFonts w:hint="eastAsia" w:ascii="宋体" w:hAnsi="宋体" w:cs="宋体"/>
          <w:color w:val="auto"/>
          <w:szCs w:val="21"/>
        </w:rPr>
        <w:t>要求的货物等。</w:t>
      </w:r>
      <w:r>
        <w:rPr>
          <w:rFonts w:hint="eastAsia" w:ascii="宋体" w:hAnsi="宋体" w:cs="宋体"/>
          <w:color w:val="auto"/>
          <w:szCs w:val="21"/>
          <w:lang w:eastAsia="zh-CN"/>
        </w:rPr>
        <w:t>招标文件</w:t>
      </w:r>
      <w:r>
        <w:rPr>
          <w:rFonts w:hint="eastAsia" w:ascii="宋体" w:hAnsi="宋体" w:cs="宋体"/>
          <w:color w:val="auto"/>
          <w:szCs w:val="21"/>
        </w:rPr>
        <w:t>中没有提及招标货物来源地的，均应是本国货物，优先采购自主创新、节能、环保产品。投标的货物必须是其合法生产的符合国家有关标准要求的货物，并满足</w:t>
      </w:r>
      <w:r>
        <w:rPr>
          <w:rFonts w:hint="eastAsia" w:ascii="宋体" w:hAnsi="宋体" w:cs="宋体"/>
          <w:color w:val="auto"/>
          <w:szCs w:val="21"/>
          <w:lang w:eastAsia="zh-CN"/>
        </w:rPr>
        <w:t>招标文件</w:t>
      </w:r>
      <w:r>
        <w:rPr>
          <w:rFonts w:hint="eastAsia" w:ascii="宋体" w:hAnsi="宋体" w:cs="宋体"/>
          <w:color w:val="auto"/>
          <w:szCs w:val="21"/>
        </w:rPr>
        <w:t>规定的规格、参数、质量、价格、有效期、售后服务等要求。</w:t>
      </w:r>
    </w:p>
    <w:p>
      <w:pPr>
        <w:spacing w:line="360" w:lineRule="auto"/>
        <w:rPr>
          <w:rFonts w:hint="eastAsia" w:ascii="宋体" w:hAnsi="宋体" w:cs="宋体"/>
          <w:color w:val="auto"/>
          <w:szCs w:val="21"/>
        </w:rPr>
      </w:pPr>
      <w:r>
        <w:rPr>
          <w:rFonts w:hint="eastAsia" w:ascii="宋体" w:hAnsi="宋体" w:cs="宋体"/>
          <w:color w:val="auto"/>
          <w:szCs w:val="21"/>
        </w:rPr>
        <w:t>5.2“服务”是指除货物和工程以外的其他采购对象</w:t>
      </w:r>
      <w:r>
        <w:rPr>
          <w:rFonts w:hint="eastAsia" w:ascii="宋体" w:hAnsi="宋体" w:cs="宋体"/>
          <w:color w:val="auto"/>
          <w:szCs w:val="21"/>
          <w:lang w:eastAsia="zh-CN"/>
        </w:rPr>
        <w:t>，</w:t>
      </w:r>
      <w:r>
        <w:rPr>
          <w:rFonts w:hint="eastAsia" w:ascii="宋体" w:hAnsi="宋体" w:cs="宋体"/>
          <w:color w:val="auto"/>
          <w:szCs w:val="21"/>
        </w:rPr>
        <w:t xml:space="preserve"> “合格的服务”是指投标人按招标文件的规定，依据中华人民共和国的相关</w:t>
      </w:r>
      <w:r>
        <w:rPr>
          <w:rFonts w:hint="eastAsia" w:ascii="宋体" w:hAnsi="宋体" w:cs="宋体"/>
          <w:color w:val="auto"/>
          <w:szCs w:val="21"/>
          <w:lang w:eastAsia="zh-CN"/>
        </w:rPr>
        <w:t>法律法规</w:t>
      </w:r>
      <w:r>
        <w:rPr>
          <w:rFonts w:hint="eastAsia" w:ascii="宋体" w:hAnsi="宋体" w:cs="宋体"/>
          <w:color w:val="auto"/>
          <w:szCs w:val="21"/>
        </w:rPr>
        <w:t>、规章以及相关国家标准、行业标准或地方（或企业）标准（如有）的规定或规范要求，向采购人提供的满足招标文件规定的需求或特定目标的服务。</w:t>
      </w:r>
    </w:p>
    <w:p>
      <w:pPr>
        <w:spacing w:line="360" w:lineRule="auto"/>
        <w:rPr>
          <w:rFonts w:hint="eastAsia" w:ascii="宋体" w:hAnsi="宋体" w:cs="宋体"/>
          <w:color w:val="auto"/>
          <w:szCs w:val="21"/>
          <w:lang w:eastAsia="zh-CN"/>
        </w:rPr>
      </w:pPr>
      <w:r>
        <w:rPr>
          <w:rFonts w:hint="eastAsia" w:ascii="宋体" w:hAnsi="宋体" w:cs="宋体"/>
          <w:color w:val="auto"/>
          <w:szCs w:val="21"/>
          <w:lang w:eastAsia="zh-CN"/>
        </w:rPr>
        <w:t>5.3</w:t>
      </w:r>
      <w:r>
        <w:rPr>
          <w:rFonts w:hint="eastAsia" w:ascii="宋体" w:hAnsi="宋体" w:cs="宋体"/>
          <w:color w:val="auto"/>
          <w:szCs w:val="21"/>
        </w:rPr>
        <w:t>投标人须保证，采购人在中华人民共和国接受和使用投标人所提供服务的全部或任何一部分时，或者在享有合同的全部或部分权益时，免受第三方以侵犯其合法权益（例如侵犯其专利权、商标权、著作权或其它知识产权等）而提出的任何求偿责任起诉。否则，投标人须承担采购人与此相关的一切损失（包括且不限于：诉讼费、律师费、经裁定由采购人承担的任何费用、导致采购人需重新采购所产生的一切费用及时间费用损失等）</w:t>
      </w:r>
    </w:p>
    <w:p>
      <w:pPr>
        <w:pStyle w:val="4"/>
        <w:rPr>
          <w:rFonts w:ascii="宋体" w:hAnsi="宋体" w:eastAsia="宋体" w:cs="宋体"/>
          <w:b/>
          <w:color w:val="auto"/>
          <w:sz w:val="21"/>
          <w:szCs w:val="21"/>
          <w:lang w:eastAsia="zh-CN"/>
        </w:rPr>
      </w:pPr>
      <w:r>
        <w:rPr>
          <w:rFonts w:hint="eastAsia" w:ascii="宋体" w:hAnsi="宋体" w:eastAsia="宋体" w:cs="宋体"/>
          <w:b/>
          <w:color w:val="auto"/>
          <w:sz w:val="21"/>
          <w:szCs w:val="21"/>
        </w:rPr>
        <w:t>6、</w:t>
      </w:r>
      <w:r>
        <w:rPr>
          <w:rFonts w:hint="eastAsia" w:ascii="宋体" w:hAnsi="宋体" w:eastAsia="宋体" w:cs="宋体"/>
          <w:b/>
          <w:color w:val="auto"/>
          <w:sz w:val="21"/>
          <w:szCs w:val="21"/>
          <w:lang w:eastAsia="zh-CN"/>
        </w:rPr>
        <w:t>部分名词释义</w:t>
      </w:r>
    </w:p>
    <w:p>
      <w:pPr>
        <w:spacing w:line="360" w:lineRule="auto"/>
        <w:rPr>
          <w:rFonts w:hint="eastAsia" w:ascii="宋体" w:hAnsi="宋体" w:cs="宋体"/>
          <w:color w:val="auto"/>
          <w:szCs w:val="21"/>
        </w:rPr>
      </w:pPr>
      <w:r>
        <w:rPr>
          <w:rFonts w:hint="eastAsia" w:ascii="宋体" w:hAnsi="宋体" w:cs="宋体"/>
          <w:color w:val="auto"/>
          <w:szCs w:val="21"/>
          <w:lang w:eastAsia="zh-CN"/>
        </w:rPr>
        <w:t>6.1</w:t>
      </w:r>
      <w:r>
        <w:rPr>
          <w:rFonts w:hint="eastAsia" w:ascii="宋体" w:hAnsi="宋体" w:cs="宋体"/>
          <w:color w:val="auto"/>
          <w:szCs w:val="21"/>
        </w:rPr>
        <w:t>交易系统：本文特指</w:t>
      </w:r>
      <w:r>
        <w:rPr>
          <w:rFonts w:hint="eastAsia" w:ascii="宋体" w:hAnsi="宋体" w:cs="宋体"/>
          <w:color w:val="auto"/>
          <w:szCs w:val="21"/>
          <w:lang w:eastAsia="zh-CN"/>
        </w:rPr>
        <w:t>佛山市公共资源交易综合管理云平台</w:t>
      </w:r>
      <w:r>
        <w:rPr>
          <w:rFonts w:hint="eastAsia" w:ascii="宋体" w:hAnsi="宋体" w:cs="宋体"/>
          <w:color w:val="auto"/>
          <w:szCs w:val="21"/>
        </w:rPr>
        <w:t>（简称“交易</w:t>
      </w:r>
      <w:r>
        <w:rPr>
          <w:rFonts w:hint="eastAsia" w:ascii="宋体" w:hAnsi="宋体" w:cs="宋体"/>
          <w:color w:val="auto"/>
          <w:szCs w:val="21"/>
          <w:lang w:eastAsia="zh-CN"/>
        </w:rPr>
        <w:t>综合管理云平台</w:t>
      </w:r>
      <w:r>
        <w:rPr>
          <w:rFonts w:hint="eastAsia" w:ascii="宋体" w:hAnsi="宋体" w:cs="宋体"/>
          <w:color w:val="auto"/>
          <w:szCs w:val="21"/>
        </w:rPr>
        <w:t>”），包括</w:t>
      </w:r>
      <w:r>
        <w:rPr>
          <w:rFonts w:hint="eastAsia" w:ascii="宋体" w:hAnsi="宋体" w:cs="宋体"/>
          <w:color w:val="auto"/>
          <w:szCs w:val="21"/>
          <w:lang w:eastAsia="zh-CN"/>
        </w:rPr>
        <w:t>招标文件</w:t>
      </w:r>
      <w:r>
        <w:rPr>
          <w:rFonts w:hint="eastAsia" w:ascii="宋体" w:hAnsi="宋体" w:cs="宋体"/>
          <w:color w:val="auto"/>
          <w:szCs w:val="21"/>
        </w:rPr>
        <w:t>和投标文件制作专用工具、交易平台采购供应商诚信库等。</w:t>
      </w:r>
    </w:p>
    <w:p>
      <w:pPr>
        <w:spacing w:line="360" w:lineRule="auto"/>
        <w:rPr>
          <w:rFonts w:hint="eastAsia" w:ascii="宋体" w:hAnsi="宋体" w:cs="宋体"/>
          <w:color w:val="auto"/>
          <w:szCs w:val="21"/>
        </w:rPr>
      </w:pPr>
      <w:r>
        <w:rPr>
          <w:rFonts w:hint="eastAsia" w:ascii="宋体" w:hAnsi="宋体" w:cs="宋体"/>
          <w:color w:val="auto"/>
          <w:szCs w:val="21"/>
          <w:lang w:eastAsia="zh-CN"/>
        </w:rPr>
        <w:t>6.2</w:t>
      </w:r>
      <w:r>
        <w:rPr>
          <w:rFonts w:hint="eastAsia" w:ascii="宋体" w:hAnsi="宋体" w:cs="宋体"/>
          <w:color w:val="auto"/>
          <w:szCs w:val="21"/>
        </w:rPr>
        <w:t>电子投标文件：本文是指使用交易中心提供的投标文件制作专用工具制作的投标文件。</w:t>
      </w:r>
    </w:p>
    <w:p>
      <w:pPr>
        <w:spacing w:line="360" w:lineRule="auto"/>
        <w:rPr>
          <w:rFonts w:hint="eastAsia" w:ascii="宋体" w:hAnsi="宋体" w:cs="宋体"/>
          <w:color w:val="auto"/>
          <w:szCs w:val="21"/>
        </w:rPr>
      </w:pPr>
      <w:r>
        <w:rPr>
          <w:rFonts w:hint="eastAsia" w:ascii="宋体" w:hAnsi="宋体" w:cs="宋体"/>
          <w:color w:val="auto"/>
          <w:szCs w:val="21"/>
          <w:lang w:eastAsia="zh-CN"/>
        </w:rPr>
        <w:t>6.3</w:t>
      </w:r>
      <w:r>
        <w:rPr>
          <w:rFonts w:hint="eastAsia" w:ascii="宋体" w:hAnsi="宋体" w:cs="宋体"/>
          <w:color w:val="auto"/>
          <w:szCs w:val="21"/>
        </w:rPr>
        <w:t>电子签名和电子签章：是指依法设立的电子认证服务机构签发的电子签名认证证书和电子签章。电子签名及电子签章与手写签名或者盖章具有同等的法律效力。</w:t>
      </w:r>
    </w:p>
    <w:p>
      <w:pPr>
        <w:pStyle w:val="4"/>
        <w:rPr>
          <w:rFonts w:hint="eastAsia" w:ascii="宋体" w:hAnsi="宋体" w:cs="宋体"/>
          <w:color w:val="auto"/>
          <w:szCs w:val="21"/>
        </w:rPr>
      </w:pPr>
      <w:r>
        <w:rPr>
          <w:rFonts w:hint="eastAsia" w:ascii="宋体" w:hAnsi="宋体" w:eastAsia="宋体" w:cs="宋体"/>
          <w:b/>
          <w:color w:val="auto"/>
          <w:sz w:val="21"/>
          <w:szCs w:val="21"/>
          <w:lang w:eastAsia="zh-CN"/>
        </w:rPr>
        <w:t>7、</w:t>
      </w:r>
      <w:r>
        <w:rPr>
          <w:rFonts w:hint="eastAsia" w:ascii="宋体" w:hAnsi="宋体" w:eastAsia="宋体" w:cs="宋体"/>
          <w:b/>
          <w:color w:val="auto"/>
          <w:sz w:val="21"/>
          <w:szCs w:val="21"/>
        </w:rPr>
        <w:t>投标费用</w:t>
      </w:r>
    </w:p>
    <w:p>
      <w:pPr>
        <w:spacing w:line="360" w:lineRule="auto"/>
        <w:rPr>
          <w:rFonts w:hint="eastAsia" w:ascii="宋体" w:hAnsi="宋体" w:cs="宋体"/>
          <w:color w:val="auto"/>
          <w:szCs w:val="21"/>
        </w:rPr>
      </w:pPr>
      <w:r>
        <w:rPr>
          <w:rFonts w:hint="eastAsia" w:ascii="宋体" w:hAnsi="宋体" w:cs="宋体"/>
          <w:color w:val="auto"/>
          <w:szCs w:val="21"/>
          <w:lang w:eastAsia="zh-CN"/>
        </w:rPr>
        <w:t>7</w:t>
      </w:r>
      <w:r>
        <w:rPr>
          <w:rFonts w:hint="eastAsia" w:ascii="宋体" w:hAnsi="宋体" w:cs="宋体"/>
          <w:color w:val="auto"/>
          <w:szCs w:val="21"/>
        </w:rPr>
        <w:t>.1</w:t>
      </w:r>
      <w:r>
        <w:rPr>
          <w:rFonts w:hint="eastAsia" w:ascii="宋体" w:hAnsi="宋体" w:cs="宋体"/>
          <w:color w:val="auto"/>
          <w:szCs w:val="21"/>
          <w:lang w:eastAsia="zh-CN"/>
        </w:rPr>
        <w:t>投标人</w:t>
      </w:r>
      <w:r>
        <w:rPr>
          <w:rFonts w:hint="eastAsia" w:ascii="宋体" w:hAnsi="宋体" w:cs="宋体"/>
          <w:color w:val="auto"/>
          <w:szCs w:val="21"/>
        </w:rPr>
        <w:t>应承担所有与准备和参加投标有关的费用。不论投标的结果如何，采购代理机构和采购人均无义务和责任承担这些费用。</w:t>
      </w:r>
    </w:p>
    <w:p>
      <w:pPr>
        <w:spacing w:line="360" w:lineRule="auto"/>
        <w:rPr>
          <w:rFonts w:ascii="宋体" w:hAnsi="宋体" w:cs="宋体"/>
          <w:color w:val="auto"/>
          <w:szCs w:val="21"/>
          <w:lang w:eastAsia="zh-CN"/>
        </w:rPr>
      </w:pPr>
      <w:r>
        <w:rPr>
          <w:rFonts w:hint="eastAsia" w:ascii="宋体" w:hAnsi="宋体" w:cs="宋体"/>
          <w:color w:val="auto"/>
          <w:szCs w:val="21"/>
          <w:lang w:eastAsia="zh-CN"/>
        </w:rPr>
        <w:t>7.2投标人</w:t>
      </w:r>
      <w:r>
        <w:rPr>
          <w:rFonts w:hint="eastAsia" w:ascii="宋体" w:hAnsi="宋体" w:cs="宋体"/>
          <w:color w:val="auto"/>
          <w:szCs w:val="21"/>
        </w:rPr>
        <w:t>应按规定向采购代理机构交纳中标服务费。中标服务费金额缴交方式及时间详见“</w:t>
      </w:r>
      <w:r>
        <w:rPr>
          <w:rFonts w:hint="eastAsia" w:ascii="宋体" w:hAnsi="宋体" w:cs="宋体"/>
          <w:color w:val="auto"/>
          <w:lang w:eastAsia="zh-CN"/>
        </w:rPr>
        <w:t>投标人须知前附表</w:t>
      </w:r>
      <w:r>
        <w:rPr>
          <w:rFonts w:hint="eastAsia" w:ascii="宋体" w:hAnsi="宋体" w:cs="宋体"/>
          <w:color w:val="auto"/>
          <w:szCs w:val="21"/>
        </w:rPr>
        <w:t>”内容。</w:t>
      </w:r>
    </w:p>
    <w:p>
      <w:pPr>
        <w:pStyle w:val="3"/>
        <w:rPr>
          <w:rFonts w:hint="eastAsia" w:ascii="宋体" w:hAnsi="宋体" w:eastAsia="宋体" w:cs="宋体"/>
          <w:color w:val="auto"/>
          <w:sz w:val="21"/>
          <w:szCs w:val="21"/>
        </w:rPr>
      </w:pPr>
      <w:r>
        <w:rPr>
          <w:rFonts w:hint="eastAsia" w:ascii="宋体" w:hAnsi="宋体" w:eastAsia="宋体" w:cs="宋体"/>
          <w:color w:val="auto"/>
          <w:lang w:eastAsia="zh-CN"/>
        </w:rPr>
        <w:t>（</w:t>
      </w:r>
      <w:r>
        <w:rPr>
          <w:rFonts w:hint="eastAsia" w:ascii="宋体" w:hAnsi="宋体" w:eastAsia="宋体" w:cs="宋体"/>
          <w:color w:val="auto"/>
          <w:lang w:val="en-US" w:eastAsia="zh-CN"/>
        </w:rPr>
        <w:t>二</w:t>
      </w:r>
      <w:r>
        <w:rPr>
          <w:rFonts w:hint="eastAsia" w:ascii="宋体" w:hAnsi="宋体" w:eastAsia="宋体" w:cs="宋体"/>
          <w:color w:val="auto"/>
          <w:lang w:eastAsia="zh-CN"/>
        </w:rPr>
        <w:t>）</w:t>
      </w:r>
      <w:r>
        <w:rPr>
          <w:rFonts w:hint="eastAsia" w:ascii="宋体" w:hAnsi="宋体" w:eastAsia="宋体" w:cs="宋体"/>
          <w:color w:val="auto"/>
        </w:rPr>
        <w:t>招标文件</w:t>
      </w:r>
    </w:p>
    <w:p>
      <w:pPr>
        <w:pStyle w:val="4"/>
        <w:rPr>
          <w:rFonts w:hint="eastAsia" w:ascii="宋体" w:hAnsi="宋体" w:cs="宋体"/>
          <w:color w:val="auto"/>
          <w:szCs w:val="21"/>
        </w:rPr>
      </w:pPr>
      <w:r>
        <w:rPr>
          <w:rFonts w:hint="eastAsia" w:ascii="宋体" w:hAnsi="宋体" w:eastAsia="宋体" w:cs="宋体"/>
          <w:b/>
          <w:color w:val="auto"/>
          <w:sz w:val="21"/>
          <w:szCs w:val="21"/>
          <w:lang w:eastAsia="zh-CN"/>
        </w:rPr>
        <w:t>8</w:t>
      </w:r>
      <w:r>
        <w:rPr>
          <w:rFonts w:hint="eastAsia" w:ascii="宋体" w:hAnsi="宋体" w:eastAsia="宋体" w:cs="宋体"/>
          <w:b/>
          <w:color w:val="auto"/>
          <w:sz w:val="21"/>
          <w:szCs w:val="21"/>
        </w:rPr>
        <w:t>、招标文件构成</w:t>
      </w:r>
    </w:p>
    <w:p>
      <w:pPr>
        <w:spacing w:line="360" w:lineRule="auto"/>
        <w:rPr>
          <w:rFonts w:hint="eastAsia" w:ascii="宋体" w:hAnsi="宋体" w:cs="宋体"/>
          <w:color w:val="auto"/>
          <w:szCs w:val="21"/>
        </w:rPr>
      </w:pPr>
      <w:r>
        <w:rPr>
          <w:rFonts w:hint="eastAsia" w:ascii="宋体" w:hAnsi="宋体" w:cs="宋体"/>
          <w:color w:val="auto"/>
          <w:szCs w:val="21"/>
          <w:lang w:eastAsia="zh-CN"/>
        </w:rPr>
        <w:t>8</w:t>
      </w:r>
      <w:r>
        <w:rPr>
          <w:rFonts w:hint="eastAsia" w:ascii="宋体" w:hAnsi="宋体" w:cs="宋体"/>
          <w:color w:val="auto"/>
          <w:szCs w:val="21"/>
        </w:rPr>
        <w:t>.1招标文件</w:t>
      </w:r>
      <w:r>
        <w:rPr>
          <w:rFonts w:hint="eastAsia" w:ascii="宋体" w:hAnsi="宋体" w:cs="宋体"/>
          <w:color w:val="auto"/>
          <w:szCs w:val="21"/>
          <w:lang w:eastAsia="zh-CN"/>
        </w:rPr>
        <w:t>的构成</w:t>
      </w:r>
      <w:r>
        <w:rPr>
          <w:rFonts w:hint="eastAsia" w:ascii="宋体" w:hAnsi="宋体" w:cs="宋体"/>
          <w:color w:val="auto"/>
          <w:szCs w:val="21"/>
        </w:rPr>
        <w:t>：</w:t>
      </w:r>
    </w:p>
    <w:p>
      <w:pPr>
        <w:spacing w:line="360" w:lineRule="auto"/>
        <w:rPr>
          <w:rFonts w:hint="eastAsia" w:ascii="宋体" w:hAnsi="宋体" w:cs="宋体"/>
          <w:color w:val="auto"/>
          <w:szCs w:val="21"/>
          <w:lang w:eastAsia="zh-CN"/>
        </w:rPr>
      </w:pPr>
      <w:r>
        <w:rPr>
          <w:rFonts w:hint="eastAsia" w:ascii="宋体" w:hAnsi="宋体" w:cs="宋体"/>
          <w:color w:val="auto"/>
          <w:szCs w:val="21"/>
          <w:lang w:eastAsia="zh-CN"/>
        </w:rPr>
        <w:t>第一部分</w:t>
      </w:r>
      <w:r>
        <w:rPr>
          <w:rFonts w:hint="eastAsia" w:ascii="宋体" w:hAnsi="宋体" w:cs="宋体"/>
          <w:color w:val="auto"/>
          <w:szCs w:val="21"/>
        </w:rPr>
        <w:t>、</w:t>
      </w:r>
      <w:r>
        <w:rPr>
          <w:rFonts w:hint="eastAsia" w:ascii="宋体" w:hAnsi="宋体" w:cs="宋体"/>
          <w:color w:val="auto"/>
          <w:szCs w:val="21"/>
          <w:lang w:eastAsia="zh-CN"/>
        </w:rPr>
        <w:t>采购公告</w:t>
      </w:r>
    </w:p>
    <w:p>
      <w:pPr>
        <w:spacing w:line="360" w:lineRule="auto"/>
        <w:rPr>
          <w:rFonts w:hint="eastAsia" w:ascii="宋体" w:hAnsi="宋体" w:cs="宋体"/>
          <w:color w:val="auto"/>
          <w:szCs w:val="21"/>
        </w:rPr>
      </w:pPr>
      <w:r>
        <w:rPr>
          <w:rFonts w:hint="eastAsia" w:ascii="宋体" w:hAnsi="宋体" w:cs="宋体"/>
          <w:color w:val="auto"/>
          <w:szCs w:val="21"/>
          <w:lang w:eastAsia="zh-CN"/>
        </w:rPr>
        <w:t>第二部分</w:t>
      </w:r>
      <w:r>
        <w:rPr>
          <w:rFonts w:hint="eastAsia" w:ascii="宋体" w:hAnsi="宋体" w:cs="宋体"/>
          <w:color w:val="auto"/>
          <w:szCs w:val="21"/>
        </w:rPr>
        <w:t>、</w:t>
      </w:r>
      <w:r>
        <w:rPr>
          <w:rFonts w:hint="eastAsia" w:ascii="宋体" w:hAnsi="宋体" w:cs="宋体"/>
          <w:color w:val="auto"/>
          <w:szCs w:val="21"/>
          <w:lang w:eastAsia="zh-CN"/>
        </w:rPr>
        <w:t>采购项目内容</w:t>
      </w:r>
      <w:r>
        <w:rPr>
          <w:rFonts w:hint="eastAsia" w:ascii="宋体" w:hAnsi="宋体" w:cs="宋体"/>
          <w:color w:val="auto"/>
          <w:szCs w:val="21"/>
        </w:rPr>
        <w:fldChar w:fldCharType="begin"/>
      </w:r>
      <w:r>
        <w:rPr>
          <w:color w:val="auto"/>
        </w:rPr>
        <w:instrText xml:space="preserve"> REF _Ref74386135 \h  \* MERGEFORMAT</w:instrText>
      </w:r>
      <w:r>
        <w:rPr>
          <w:rFonts w:hint="eastAsia" w:ascii="宋体" w:hAnsi="宋体" w:cs="宋体"/>
          <w:color w:val="auto"/>
          <w:szCs w:val="21"/>
        </w:rPr>
        <w:fldChar w:fldCharType="separate"/>
      </w:r>
      <w:r>
        <w:rPr>
          <w:rFonts w:hint="eastAsia" w:ascii="宋体" w:hAnsi="宋体" w:cs="宋体"/>
          <w:color w:val="auto"/>
          <w:szCs w:val="21"/>
        </w:rPr>
        <w:t xml:space="preserve">  </w:t>
      </w:r>
      <w:r>
        <w:rPr>
          <w:rFonts w:hint="eastAsia" w:ascii="宋体" w:hAnsi="宋体" w:cs="宋体"/>
          <w:color w:val="auto"/>
          <w:szCs w:val="21"/>
        </w:rPr>
        <w:fldChar w:fldCharType="end"/>
      </w:r>
    </w:p>
    <w:p>
      <w:pPr>
        <w:spacing w:line="360" w:lineRule="auto"/>
        <w:rPr>
          <w:rFonts w:hint="eastAsia" w:ascii="宋体" w:hAnsi="宋体" w:cs="宋体"/>
          <w:color w:val="auto"/>
          <w:szCs w:val="21"/>
        </w:rPr>
      </w:pPr>
      <w:r>
        <w:rPr>
          <w:rFonts w:hint="eastAsia" w:ascii="宋体" w:hAnsi="宋体" w:cs="宋体"/>
          <w:color w:val="auto"/>
          <w:szCs w:val="21"/>
          <w:lang w:eastAsia="zh-CN"/>
        </w:rPr>
        <w:t>第三部分</w:t>
      </w:r>
      <w:r>
        <w:rPr>
          <w:rFonts w:hint="eastAsia" w:ascii="宋体" w:hAnsi="宋体" w:cs="宋体"/>
          <w:color w:val="auto"/>
          <w:szCs w:val="21"/>
        </w:rPr>
        <w:t>、</w:t>
      </w:r>
      <w:r>
        <w:rPr>
          <w:rFonts w:hint="eastAsia" w:ascii="宋体" w:hAnsi="宋体" w:cs="宋体"/>
          <w:color w:val="auto"/>
          <w:szCs w:val="21"/>
          <w:lang w:eastAsia="zh-CN"/>
        </w:rPr>
        <w:t>投标人</w:t>
      </w:r>
      <w:r>
        <w:rPr>
          <w:rFonts w:hint="eastAsia" w:ascii="宋体" w:hAnsi="宋体" w:cs="宋体"/>
          <w:color w:val="auto"/>
          <w:szCs w:val="21"/>
        </w:rPr>
        <w:t>须知</w:t>
      </w:r>
    </w:p>
    <w:p>
      <w:pPr>
        <w:spacing w:line="360" w:lineRule="auto"/>
        <w:rPr>
          <w:rFonts w:hint="eastAsia" w:ascii="宋体" w:hAnsi="宋体" w:cs="宋体"/>
          <w:color w:val="auto"/>
          <w:szCs w:val="21"/>
          <w:lang w:eastAsia="zh-CN"/>
        </w:rPr>
      </w:pPr>
      <w:r>
        <w:rPr>
          <w:rFonts w:hint="eastAsia" w:ascii="宋体" w:hAnsi="宋体" w:cs="宋体"/>
          <w:color w:val="auto"/>
          <w:szCs w:val="21"/>
          <w:lang w:eastAsia="zh-CN"/>
        </w:rPr>
        <w:t>第四部分</w:t>
      </w:r>
      <w:r>
        <w:rPr>
          <w:rFonts w:hint="eastAsia" w:ascii="宋体" w:hAnsi="宋体" w:cs="宋体"/>
          <w:color w:val="auto"/>
          <w:szCs w:val="21"/>
        </w:rPr>
        <w:t>、</w:t>
      </w:r>
      <w:r>
        <w:rPr>
          <w:rFonts w:hint="eastAsia" w:ascii="宋体" w:hAnsi="宋体" w:cs="宋体"/>
          <w:color w:val="auto"/>
          <w:szCs w:val="21"/>
          <w:lang w:eastAsia="zh-CN"/>
        </w:rPr>
        <w:t>合同书范本</w:t>
      </w:r>
    </w:p>
    <w:p>
      <w:pPr>
        <w:spacing w:line="360" w:lineRule="auto"/>
        <w:rPr>
          <w:rFonts w:hint="eastAsia" w:ascii="宋体" w:hAnsi="宋体" w:cs="宋体"/>
          <w:color w:val="auto"/>
          <w:szCs w:val="21"/>
        </w:rPr>
      </w:pPr>
      <w:r>
        <w:rPr>
          <w:rFonts w:hint="eastAsia" w:ascii="宋体" w:hAnsi="宋体" w:cs="宋体"/>
          <w:color w:val="auto"/>
          <w:szCs w:val="21"/>
          <w:lang w:eastAsia="zh-CN"/>
        </w:rPr>
        <w:t>第五部分</w:t>
      </w:r>
      <w:r>
        <w:rPr>
          <w:rFonts w:hint="eastAsia" w:ascii="宋体" w:hAnsi="宋体" w:cs="宋体"/>
          <w:color w:val="auto"/>
          <w:szCs w:val="21"/>
        </w:rPr>
        <w:t>、投标文件格式/附件</w:t>
      </w:r>
    </w:p>
    <w:p>
      <w:pPr>
        <w:spacing w:line="360" w:lineRule="auto"/>
        <w:rPr>
          <w:rFonts w:hint="eastAsia" w:ascii="宋体" w:hAnsi="宋体" w:cs="宋体"/>
          <w:color w:val="auto"/>
          <w:szCs w:val="21"/>
        </w:rPr>
      </w:pPr>
      <w:r>
        <w:rPr>
          <w:rFonts w:hint="eastAsia" w:ascii="宋体" w:hAnsi="宋体" w:cs="宋体"/>
          <w:color w:val="auto"/>
          <w:szCs w:val="21"/>
          <w:lang w:eastAsia="zh-CN"/>
        </w:rPr>
        <w:t>8</w:t>
      </w:r>
      <w:r>
        <w:rPr>
          <w:rFonts w:hint="eastAsia" w:ascii="宋体" w:hAnsi="宋体" w:cs="宋体"/>
          <w:color w:val="auto"/>
          <w:szCs w:val="21"/>
        </w:rPr>
        <w:t>.2</w:t>
      </w:r>
      <w:r>
        <w:rPr>
          <w:rFonts w:hint="eastAsia" w:ascii="宋体" w:hAnsi="宋体" w:cs="宋体"/>
          <w:color w:val="auto"/>
          <w:szCs w:val="21"/>
          <w:lang w:eastAsia="zh-CN"/>
        </w:rPr>
        <w:t>投标人</w:t>
      </w:r>
      <w:r>
        <w:rPr>
          <w:rFonts w:hint="eastAsia" w:ascii="宋体" w:hAnsi="宋体" w:cs="宋体"/>
          <w:color w:val="auto"/>
          <w:szCs w:val="21"/>
        </w:rPr>
        <w:t>应认真阅读招标文件中所有的事项、格式、条款和技术规范等。</w:t>
      </w:r>
      <w:r>
        <w:rPr>
          <w:rFonts w:hint="eastAsia" w:ascii="宋体" w:hAnsi="宋体" w:cs="宋体"/>
          <w:color w:val="auto"/>
          <w:szCs w:val="21"/>
          <w:lang w:eastAsia="zh-CN"/>
        </w:rPr>
        <w:t>投标人</w:t>
      </w:r>
      <w:r>
        <w:rPr>
          <w:rFonts w:hint="eastAsia" w:ascii="宋体" w:hAnsi="宋体" w:cs="宋体"/>
          <w:color w:val="auto"/>
          <w:szCs w:val="21"/>
        </w:rPr>
        <w:t>没有按照招标文件要求提交全部资料，或者投标没有对招标文件在各方面都作出实质性响应是</w:t>
      </w:r>
      <w:r>
        <w:rPr>
          <w:rFonts w:hint="eastAsia" w:ascii="宋体" w:hAnsi="宋体" w:cs="宋体"/>
          <w:color w:val="auto"/>
          <w:szCs w:val="21"/>
          <w:lang w:eastAsia="zh-CN"/>
        </w:rPr>
        <w:t>投标人</w:t>
      </w:r>
      <w:r>
        <w:rPr>
          <w:rFonts w:hint="eastAsia" w:ascii="宋体" w:hAnsi="宋体" w:cs="宋体"/>
          <w:color w:val="auto"/>
          <w:szCs w:val="21"/>
        </w:rPr>
        <w:t>的风险，并可能导致其投标被拒绝。</w:t>
      </w:r>
    </w:p>
    <w:p>
      <w:pPr>
        <w:spacing w:line="360" w:lineRule="auto"/>
        <w:rPr>
          <w:rFonts w:hint="eastAsia" w:ascii="宋体" w:hAnsi="宋体" w:cs="宋体"/>
          <w:color w:val="auto"/>
          <w:szCs w:val="21"/>
          <w:lang w:eastAsia="zh-CN"/>
        </w:rPr>
      </w:pPr>
      <w:r>
        <w:rPr>
          <w:rFonts w:hint="eastAsia" w:ascii="宋体" w:hAnsi="宋体" w:cs="宋体"/>
          <w:color w:val="auto"/>
          <w:szCs w:val="21"/>
          <w:lang w:eastAsia="zh-CN"/>
        </w:rPr>
        <w:t>8.3</w:t>
      </w:r>
      <w:r>
        <w:rPr>
          <w:rFonts w:hint="eastAsia" w:ascii="宋体" w:hAnsi="宋体" w:cs="宋体"/>
          <w:color w:val="auto"/>
          <w:szCs w:val="21"/>
        </w:rPr>
        <w:t>招标文件中重复描述的内容出现不一致时，均以文件中首次对该内容的描述为准</w:t>
      </w:r>
      <w:r>
        <w:rPr>
          <w:rFonts w:hint="eastAsia" w:ascii="宋体" w:hAnsi="宋体" w:cs="宋体"/>
          <w:color w:val="auto"/>
          <w:szCs w:val="21"/>
          <w:lang w:eastAsia="zh-CN"/>
        </w:rPr>
        <w:t>。</w:t>
      </w:r>
    </w:p>
    <w:p>
      <w:pPr>
        <w:spacing w:line="360" w:lineRule="auto"/>
        <w:rPr>
          <w:rFonts w:hint="eastAsia" w:ascii="宋体" w:hAnsi="宋体" w:cs="宋体"/>
          <w:color w:val="auto"/>
          <w:szCs w:val="21"/>
          <w:lang w:eastAsia="zh-CN"/>
        </w:rPr>
      </w:pPr>
      <w:r>
        <w:rPr>
          <w:rFonts w:hint="eastAsia" w:ascii="宋体" w:hAnsi="宋体" w:cs="宋体"/>
          <w:color w:val="auto"/>
          <w:szCs w:val="21"/>
          <w:lang w:eastAsia="zh-CN"/>
        </w:rPr>
        <w:t>8.4招标文件的技术要求内容与法律法规有冲突的，解释处理顺序为：①以官方强制性要求或行业标准规范为准；②以本招标文件约定的技术要求为准。</w:t>
      </w:r>
    </w:p>
    <w:p>
      <w:pPr>
        <w:pStyle w:val="4"/>
        <w:rPr>
          <w:rFonts w:hint="eastAsia" w:ascii="宋体" w:hAnsi="宋体" w:cs="宋体"/>
          <w:color w:val="auto"/>
          <w:szCs w:val="21"/>
        </w:rPr>
      </w:pPr>
      <w:r>
        <w:rPr>
          <w:rFonts w:hint="eastAsia" w:ascii="宋体" w:hAnsi="宋体" w:eastAsia="宋体" w:cs="宋体"/>
          <w:b/>
          <w:color w:val="auto"/>
          <w:sz w:val="21"/>
          <w:szCs w:val="21"/>
          <w:lang w:eastAsia="zh-CN"/>
        </w:rPr>
        <w:t>9</w:t>
      </w:r>
      <w:r>
        <w:rPr>
          <w:rFonts w:hint="eastAsia" w:ascii="宋体" w:hAnsi="宋体" w:eastAsia="宋体" w:cs="宋体"/>
          <w:b/>
          <w:color w:val="auto"/>
          <w:sz w:val="21"/>
          <w:szCs w:val="21"/>
        </w:rPr>
        <w:t>、招标文件的澄清</w:t>
      </w:r>
    </w:p>
    <w:p>
      <w:pPr>
        <w:spacing w:line="360" w:lineRule="auto"/>
        <w:rPr>
          <w:rFonts w:hint="eastAsia" w:ascii="宋体" w:hAnsi="宋体" w:cs="宋体"/>
          <w:color w:val="auto"/>
          <w:szCs w:val="21"/>
        </w:rPr>
      </w:pPr>
      <w:r>
        <w:rPr>
          <w:rFonts w:hint="eastAsia" w:ascii="宋体" w:hAnsi="宋体" w:cs="宋体"/>
          <w:color w:val="auto"/>
          <w:szCs w:val="21"/>
          <w:lang w:eastAsia="zh-CN"/>
        </w:rPr>
        <w:t>9</w:t>
      </w:r>
      <w:r>
        <w:rPr>
          <w:rFonts w:hint="eastAsia" w:ascii="宋体" w:hAnsi="宋体" w:cs="宋体"/>
          <w:color w:val="auto"/>
          <w:szCs w:val="21"/>
        </w:rPr>
        <w:t>.1各</w:t>
      </w:r>
      <w:r>
        <w:rPr>
          <w:rFonts w:hint="eastAsia" w:ascii="宋体" w:hAnsi="宋体" w:cs="宋体"/>
          <w:color w:val="auto"/>
          <w:szCs w:val="21"/>
          <w:lang w:eastAsia="zh-CN"/>
        </w:rPr>
        <w:t>投标人</w:t>
      </w:r>
      <w:r>
        <w:rPr>
          <w:rFonts w:hint="eastAsia" w:ascii="宋体" w:hAnsi="宋体" w:cs="宋体"/>
          <w:color w:val="auto"/>
          <w:szCs w:val="21"/>
        </w:rPr>
        <w:t>必须认真阅读理解招标文件的各项要求，如有任何疑问应在投标截止时间十五日以前通过交易系统提交，采购代理机构机构对</w:t>
      </w:r>
      <w:r>
        <w:rPr>
          <w:rFonts w:hint="eastAsia" w:ascii="宋体" w:hAnsi="宋体" w:cs="宋体"/>
          <w:color w:val="auto"/>
          <w:szCs w:val="21"/>
          <w:lang w:eastAsia="zh-CN"/>
        </w:rPr>
        <w:t>投标人</w:t>
      </w:r>
      <w:r>
        <w:rPr>
          <w:rFonts w:hint="eastAsia" w:ascii="宋体" w:hAnsi="宋体" w:cs="宋体"/>
          <w:color w:val="auto"/>
          <w:szCs w:val="21"/>
        </w:rPr>
        <w:t>所要求澄清的内容均以网站公告形式进行答疑和予以回复。</w:t>
      </w:r>
    </w:p>
    <w:p>
      <w:pPr>
        <w:spacing w:line="360" w:lineRule="auto"/>
        <w:rPr>
          <w:rFonts w:hint="eastAsia" w:ascii="宋体" w:hAnsi="宋体" w:cs="宋体"/>
          <w:color w:val="auto"/>
          <w:szCs w:val="21"/>
        </w:rPr>
      </w:pPr>
      <w:r>
        <w:rPr>
          <w:rFonts w:hint="eastAsia" w:ascii="宋体" w:hAnsi="宋体" w:cs="宋体"/>
          <w:color w:val="auto"/>
          <w:szCs w:val="21"/>
          <w:lang w:eastAsia="zh-CN"/>
        </w:rPr>
        <w:t>9</w:t>
      </w:r>
      <w:r>
        <w:rPr>
          <w:rFonts w:hint="eastAsia" w:ascii="宋体" w:hAnsi="宋体" w:cs="宋体"/>
          <w:color w:val="auto"/>
          <w:szCs w:val="21"/>
        </w:rPr>
        <w:t>.2招标文件的答疑回复内容将上传至交易系统供所有</w:t>
      </w:r>
      <w:r>
        <w:rPr>
          <w:rFonts w:hint="eastAsia" w:ascii="宋体" w:hAnsi="宋体" w:cs="宋体"/>
          <w:color w:val="auto"/>
          <w:szCs w:val="21"/>
          <w:lang w:eastAsia="zh-CN"/>
        </w:rPr>
        <w:t>投标人</w:t>
      </w:r>
      <w:r>
        <w:rPr>
          <w:rFonts w:hint="eastAsia" w:ascii="宋体" w:hAnsi="宋体" w:cs="宋体"/>
          <w:color w:val="auto"/>
          <w:szCs w:val="21"/>
        </w:rPr>
        <w:t>下载，但不指明相关问题的来源。</w:t>
      </w:r>
    </w:p>
    <w:p>
      <w:pPr>
        <w:spacing w:line="360" w:lineRule="auto"/>
        <w:rPr>
          <w:rFonts w:hint="eastAsia" w:ascii="宋体" w:hAnsi="宋体" w:cs="宋体"/>
          <w:color w:val="auto"/>
          <w:szCs w:val="21"/>
        </w:rPr>
      </w:pPr>
      <w:r>
        <w:rPr>
          <w:rFonts w:hint="eastAsia" w:ascii="宋体" w:hAnsi="宋体" w:cs="宋体"/>
          <w:color w:val="auto"/>
          <w:szCs w:val="21"/>
          <w:lang w:eastAsia="zh-CN"/>
        </w:rPr>
        <w:t>9</w:t>
      </w:r>
      <w:r>
        <w:rPr>
          <w:rFonts w:hint="eastAsia" w:ascii="宋体" w:hAnsi="宋体" w:cs="宋体"/>
          <w:color w:val="auto"/>
          <w:szCs w:val="21"/>
        </w:rPr>
        <w:t>.3招标文件的网上答疑回复文件是招标文件的组成部分，其内容一经发布，视作已送达所有</w:t>
      </w:r>
      <w:r>
        <w:rPr>
          <w:rFonts w:hint="eastAsia" w:ascii="宋体" w:hAnsi="宋体" w:cs="宋体"/>
          <w:color w:val="auto"/>
          <w:szCs w:val="21"/>
          <w:lang w:eastAsia="zh-CN"/>
        </w:rPr>
        <w:t>投标人</w:t>
      </w:r>
      <w:r>
        <w:rPr>
          <w:rFonts w:hint="eastAsia" w:ascii="宋体" w:hAnsi="宋体" w:cs="宋体"/>
          <w:color w:val="auto"/>
          <w:szCs w:val="21"/>
        </w:rPr>
        <w:t>，并对</w:t>
      </w:r>
      <w:r>
        <w:rPr>
          <w:rFonts w:hint="eastAsia" w:ascii="宋体" w:hAnsi="宋体" w:cs="宋体"/>
          <w:color w:val="auto"/>
          <w:szCs w:val="21"/>
          <w:lang w:eastAsia="zh-CN"/>
        </w:rPr>
        <w:t>投标人</w:t>
      </w:r>
      <w:r>
        <w:rPr>
          <w:rFonts w:hint="eastAsia" w:ascii="宋体" w:hAnsi="宋体" w:cs="宋体"/>
          <w:color w:val="auto"/>
          <w:szCs w:val="21"/>
        </w:rPr>
        <w:t>具有约束力。如在解答</w:t>
      </w:r>
      <w:r>
        <w:rPr>
          <w:rFonts w:hint="eastAsia" w:ascii="宋体" w:hAnsi="宋体" w:cs="宋体"/>
          <w:color w:val="auto"/>
          <w:szCs w:val="21"/>
          <w:lang w:eastAsia="zh-CN"/>
        </w:rPr>
        <w:t>投标人</w:t>
      </w:r>
      <w:r>
        <w:rPr>
          <w:rFonts w:hint="eastAsia" w:ascii="宋体" w:hAnsi="宋体" w:cs="宋体"/>
          <w:color w:val="auto"/>
          <w:szCs w:val="21"/>
        </w:rPr>
        <w:t>提出的疑问时需对招标文件作出修改的，均依照最后确定的文件执行。采购过程中的一切补充文件，与原招标文件均具有同等法律效力。</w:t>
      </w:r>
    </w:p>
    <w:p>
      <w:pPr>
        <w:spacing w:line="360" w:lineRule="auto"/>
        <w:rPr>
          <w:rFonts w:hint="eastAsia" w:ascii="宋体" w:hAnsi="宋体" w:cs="宋体"/>
          <w:b/>
          <w:color w:val="auto"/>
          <w:szCs w:val="21"/>
        </w:rPr>
      </w:pPr>
      <w:r>
        <w:rPr>
          <w:rFonts w:hint="eastAsia" w:ascii="宋体" w:hAnsi="宋体" w:cs="宋体"/>
          <w:color w:val="auto"/>
          <w:szCs w:val="21"/>
          <w:lang w:eastAsia="zh-CN"/>
        </w:rPr>
        <w:t>9</w:t>
      </w:r>
      <w:r>
        <w:rPr>
          <w:rFonts w:hint="eastAsia" w:ascii="宋体" w:hAnsi="宋体" w:cs="宋体"/>
          <w:color w:val="auto"/>
          <w:szCs w:val="21"/>
        </w:rPr>
        <w:t>.4</w:t>
      </w:r>
      <w:r>
        <w:rPr>
          <w:rFonts w:hint="eastAsia" w:ascii="宋体" w:hAnsi="宋体" w:cs="宋体"/>
          <w:color w:val="auto"/>
          <w:szCs w:val="21"/>
          <w:lang w:eastAsia="zh-CN"/>
        </w:rPr>
        <w:t>投标人</w:t>
      </w:r>
      <w:r>
        <w:rPr>
          <w:rFonts w:hint="eastAsia" w:ascii="宋体" w:hAnsi="宋体" w:cs="宋体"/>
          <w:color w:val="auto"/>
          <w:szCs w:val="21"/>
        </w:rPr>
        <w:t>在规定的时间内未要求对招标文件澄清或提出疑问的，采购代理机构机构将视其为无异议。</w:t>
      </w:r>
    </w:p>
    <w:p>
      <w:pPr>
        <w:pStyle w:val="4"/>
        <w:rPr>
          <w:rFonts w:hint="eastAsia" w:ascii="宋体" w:hAnsi="宋体" w:cs="宋体"/>
          <w:color w:val="auto"/>
          <w:szCs w:val="21"/>
        </w:rPr>
      </w:pPr>
      <w:r>
        <w:rPr>
          <w:rFonts w:hint="eastAsia" w:ascii="宋体" w:hAnsi="宋体" w:eastAsia="宋体" w:cs="宋体"/>
          <w:b/>
          <w:color w:val="auto"/>
          <w:sz w:val="21"/>
          <w:szCs w:val="21"/>
          <w:lang w:eastAsia="zh-CN"/>
        </w:rPr>
        <w:t>10</w:t>
      </w:r>
      <w:r>
        <w:rPr>
          <w:rFonts w:hint="eastAsia" w:ascii="宋体" w:hAnsi="宋体" w:eastAsia="宋体" w:cs="宋体"/>
          <w:b/>
          <w:color w:val="auto"/>
          <w:sz w:val="21"/>
          <w:szCs w:val="21"/>
        </w:rPr>
        <w:t>、招标文件的修改</w:t>
      </w:r>
    </w:p>
    <w:p>
      <w:pPr>
        <w:spacing w:line="360" w:lineRule="auto"/>
        <w:rPr>
          <w:rFonts w:hint="eastAsia" w:ascii="宋体" w:hAnsi="宋体" w:cs="宋体"/>
          <w:color w:val="auto"/>
          <w:szCs w:val="21"/>
        </w:rPr>
      </w:pPr>
      <w:r>
        <w:rPr>
          <w:rFonts w:hint="eastAsia" w:ascii="宋体" w:hAnsi="宋体" w:cs="宋体"/>
          <w:color w:val="auto"/>
          <w:szCs w:val="21"/>
          <w:lang w:eastAsia="zh-CN"/>
        </w:rPr>
        <w:t>10</w:t>
      </w:r>
      <w:r>
        <w:rPr>
          <w:rFonts w:hint="eastAsia" w:ascii="宋体" w:hAnsi="宋体" w:cs="宋体"/>
          <w:color w:val="auto"/>
          <w:szCs w:val="21"/>
        </w:rPr>
        <w:t>.1在投标截止时间前，无论出于何种原因，采购人或者采购代理机构可主动地或在解答投标人提出的疑问时对招标文件进行修改。</w:t>
      </w:r>
    </w:p>
    <w:p>
      <w:pPr>
        <w:spacing w:line="360" w:lineRule="auto"/>
        <w:rPr>
          <w:rFonts w:hint="eastAsia" w:ascii="宋体" w:hAnsi="宋体" w:cs="宋体"/>
          <w:color w:val="auto"/>
          <w:szCs w:val="21"/>
        </w:rPr>
      </w:pPr>
      <w:r>
        <w:rPr>
          <w:rFonts w:hint="eastAsia" w:ascii="宋体" w:hAnsi="宋体" w:cs="宋体"/>
          <w:color w:val="auto"/>
          <w:szCs w:val="21"/>
          <w:lang w:eastAsia="zh-CN"/>
        </w:rPr>
        <w:t>10</w:t>
      </w:r>
      <w:r>
        <w:rPr>
          <w:rFonts w:hint="eastAsia" w:ascii="宋体" w:hAnsi="宋体" w:cs="宋体"/>
          <w:color w:val="auto"/>
          <w:szCs w:val="21"/>
        </w:rPr>
        <w:t>.2标文件的澄清修正内容将在项目公告网站发布更正公告，当澄清修正涉及项目重要内容或影响投标文件编制时，将在交易系统发布招标文件的最新版本（澄清文件），投标人需按照更正公告要求重新下载最新的澄清文件并重新编制投标文件，否则其后果由投标人自负。</w:t>
      </w:r>
    </w:p>
    <w:p>
      <w:pPr>
        <w:spacing w:line="360" w:lineRule="auto"/>
        <w:rPr>
          <w:rFonts w:hint="eastAsia" w:ascii="宋体" w:hAnsi="宋体" w:cs="宋体"/>
          <w:color w:val="auto"/>
          <w:szCs w:val="21"/>
        </w:rPr>
      </w:pPr>
      <w:r>
        <w:rPr>
          <w:rFonts w:hint="eastAsia" w:ascii="宋体" w:hAnsi="宋体" w:cs="宋体"/>
          <w:color w:val="auto"/>
          <w:szCs w:val="21"/>
          <w:lang w:eastAsia="zh-CN"/>
        </w:rPr>
        <w:t>10</w:t>
      </w:r>
      <w:r>
        <w:rPr>
          <w:rFonts w:hint="eastAsia" w:ascii="宋体" w:hAnsi="宋体" w:cs="宋体"/>
          <w:color w:val="auto"/>
          <w:szCs w:val="21"/>
        </w:rPr>
        <w:t>.3各</w:t>
      </w:r>
      <w:r>
        <w:rPr>
          <w:rFonts w:hint="eastAsia" w:ascii="宋体" w:hAnsi="宋体" w:cs="宋体"/>
          <w:color w:val="auto"/>
          <w:szCs w:val="21"/>
          <w:lang w:eastAsia="zh-CN"/>
        </w:rPr>
        <w:t>投标人</w:t>
      </w:r>
      <w:r>
        <w:rPr>
          <w:rFonts w:hint="eastAsia" w:ascii="宋体" w:hAnsi="宋体" w:cs="宋体"/>
          <w:color w:val="auto"/>
          <w:szCs w:val="21"/>
        </w:rPr>
        <w:t>应随时关注项目信息，对已发布澄清修正的项目应及时查看更正公告。</w:t>
      </w:r>
    </w:p>
    <w:p>
      <w:pPr>
        <w:spacing w:line="360" w:lineRule="auto"/>
        <w:rPr>
          <w:rFonts w:hint="eastAsia" w:ascii="宋体" w:hAnsi="宋体" w:cs="宋体"/>
          <w:color w:val="auto"/>
        </w:rPr>
      </w:pPr>
      <w:r>
        <w:rPr>
          <w:rFonts w:hint="eastAsia" w:ascii="宋体" w:hAnsi="宋体" w:cs="宋体"/>
          <w:color w:val="auto"/>
          <w:szCs w:val="21"/>
          <w:lang w:eastAsia="zh-CN"/>
        </w:rPr>
        <w:t>10</w:t>
      </w:r>
      <w:r>
        <w:rPr>
          <w:rFonts w:hint="eastAsia" w:ascii="宋体" w:hAnsi="宋体" w:cs="宋体"/>
          <w:color w:val="auto"/>
          <w:szCs w:val="21"/>
        </w:rPr>
        <w:t>.4招标澄清修正文件是招标文件的组成部分，修改后的内容一经在项目公告网站和交易系统发布，视作已送达所有</w:t>
      </w:r>
      <w:r>
        <w:rPr>
          <w:rFonts w:hint="eastAsia" w:ascii="宋体" w:hAnsi="宋体" w:cs="宋体"/>
          <w:color w:val="auto"/>
          <w:szCs w:val="21"/>
          <w:lang w:eastAsia="zh-CN"/>
        </w:rPr>
        <w:t>投标人</w:t>
      </w:r>
      <w:r>
        <w:rPr>
          <w:rFonts w:hint="eastAsia" w:ascii="宋体" w:hAnsi="宋体" w:cs="宋体"/>
          <w:color w:val="auto"/>
          <w:szCs w:val="21"/>
        </w:rPr>
        <w:t>，并对</w:t>
      </w:r>
      <w:r>
        <w:rPr>
          <w:rFonts w:hint="eastAsia" w:ascii="宋体" w:hAnsi="宋体" w:cs="宋体"/>
          <w:color w:val="auto"/>
          <w:szCs w:val="21"/>
          <w:lang w:eastAsia="zh-CN"/>
        </w:rPr>
        <w:t>投标人</w:t>
      </w:r>
      <w:r>
        <w:rPr>
          <w:rFonts w:hint="eastAsia" w:ascii="宋体" w:hAnsi="宋体" w:cs="宋体"/>
          <w:color w:val="auto"/>
          <w:szCs w:val="21"/>
        </w:rPr>
        <w:t>具有约束力。</w:t>
      </w:r>
    </w:p>
    <w:p>
      <w:pPr>
        <w:pStyle w:val="3"/>
        <w:rPr>
          <w:rFonts w:hint="eastAsia" w:ascii="宋体" w:hAnsi="宋体" w:eastAsia="宋体" w:cs="宋体"/>
          <w:color w:val="auto"/>
          <w:sz w:val="21"/>
          <w:szCs w:val="21"/>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三</w:t>
      </w:r>
      <w:r>
        <w:rPr>
          <w:rFonts w:hint="eastAsia" w:ascii="宋体" w:hAnsi="宋体" w:eastAsia="宋体" w:cs="宋体"/>
          <w:color w:val="auto"/>
          <w:lang w:eastAsia="zh-CN"/>
        </w:rPr>
        <w:t>）投标</w:t>
      </w:r>
      <w:r>
        <w:rPr>
          <w:rFonts w:hint="eastAsia" w:ascii="宋体" w:hAnsi="宋体" w:eastAsia="宋体" w:cs="宋体"/>
          <w:color w:val="auto"/>
        </w:rPr>
        <w:t>文件的编制</w:t>
      </w:r>
      <w:r>
        <w:rPr>
          <w:rFonts w:hint="eastAsia" w:ascii="宋体" w:hAnsi="宋体" w:eastAsia="宋体" w:cs="宋体"/>
          <w:color w:val="auto"/>
          <w:lang w:eastAsia="zh-CN"/>
        </w:rPr>
        <w:t>说明</w:t>
      </w:r>
    </w:p>
    <w:p>
      <w:pPr>
        <w:pStyle w:val="4"/>
        <w:rPr>
          <w:rFonts w:hint="eastAsia" w:ascii="宋体" w:hAnsi="宋体" w:cs="宋体"/>
          <w:color w:val="auto"/>
          <w:szCs w:val="21"/>
        </w:rPr>
      </w:pPr>
      <w:r>
        <w:rPr>
          <w:rFonts w:hint="eastAsia" w:ascii="宋体" w:hAnsi="宋体" w:eastAsia="宋体" w:cs="宋体"/>
          <w:b/>
          <w:color w:val="auto"/>
          <w:sz w:val="21"/>
          <w:szCs w:val="21"/>
        </w:rPr>
        <w:t>1</w:t>
      </w:r>
      <w:r>
        <w:rPr>
          <w:rFonts w:hint="eastAsia" w:ascii="宋体" w:hAnsi="宋体" w:eastAsia="宋体" w:cs="宋体"/>
          <w:b/>
          <w:color w:val="auto"/>
          <w:sz w:val="21"/>
          <w:szCs w:val="21"/>
          <w:lang w:eastAsia="zh-CN"/>
        </w:rPr>
        <w:t>1</w:t>
      </w:r>
      <w:r>
        <w:rPr>
          <w:rFonts w:hint="eastAsia" w:ascii="宋体" w:hAnsi="宋体" w:eastAsia="宋体" w:cs="宋体"/>
          <w:b/>
          <w:color w:val="auto"/>
          <w:sz w:val="21"/>
          <w:szCs w:val="21"/>
        </w:rPr>
        <w:t>、投标的语言</w:t>
      </w:r>
    </w:p>
    <w:p>
      <w:pPr>
        <w:spacing w:line="360" w:lineRule="auto"/>
        <w:rPr>
          <w:rFonts w:hint="eastAsia" w:ascii="宋体" w:hAnsi="宋体" w:cs="宋体"/>
          <w:b/>
          <w:color w:val="auto"/>
          <w:szCs w:val="21"/>
        </w:rPr>
      </w:pPr>
      <w:r>
        <w:rPr>
          <w:rFonts w:hint="eastAsia" w:ascii="宋体" w:hAnsi="宋体" w:cs="宋体"/>
          <w:color w:val="auto"/>
          <w:szCs w:val="21"/>
        </w:rPr>
        <w:t>1</w:t>
      </w:r>
      <w:r>
        <w:rPr>
          <w:rFonts w:hint="eastAsia" w:ascii="宋体" w:hAnsi="宋体" w:cs="宋体"/>
          <w:color w:val="auto"/>
          <w:szCs w:val="21"/>
          <w:lang w:eastAsia="zh-CN"/>
        </w:rPr>
        <w:t>1</w:t>
      </w:r>
      <w:r>
        <w:rPr>
          <w:rFonts w:hint="eastAsia" w:ascii="宋体" w:hAnsi="宋体" w:cs="宋体"/>
          <w:color w:val="auto"/>
          <w:szCs w:val="21"/>
        </w:rPr>
        <w:t>.1</w:t>
      </w:r>
      <w:r>
        <w:rPr>
          <w:rFonts w:hint="eastAsia" w:ascii="宋体" w:hAnsi="宋体" w:cs="宋体"/>
          <w:color w:val="auto"/>
          <w:szCs w:val="21"/>
          <w:lang w:eastAsia="zh-CN"/>
        </w:rPr>
        <w:t>投标人</w:t>
      </w:r>
      <w:r>
        <w:rPr>
          <w:rFonts w:hint="eastAsia" w:ascii="宋体" w:hAnsi="宋体" w:cs="宋体"/>
          <w:color w:val="auto"/>
          <w:szCs w:val="21"/>
        </w:rPr>
        <w:t>提交的投标文件以及</w:t>
      </w:r>
      <w:r>
        <w:rPr>
          <w:rFonts w:hint="eastAsia" w:ascii="宋体" w:hAnsi="宋体" w:cs="宋体"/>
          <w:color w:val="auto"/>
          <w:szCs w:val="21"/>
          <w:lang w:eastAsia="zh-CN"/>
        </w:rPr>
        <w:t>投标人</w:t>
      </w:r>
      <w:r>
        <w:rPr>
          <w:rFonts w:hint="eastAsia" w:ascii="宋体" w:hAnsi="宋体" w:cs="宋体"/>
          <w:color w:val="auto"/>
          <w:szCs w:val="21"/>
        </w:rPr>
        <w:t>与采购代理机构和买方就有关投标的所有来往函电均应使用中文书写。对于任何非中文的资料，都应提供中文翻译本，在解释时以翻译本为准。</w:t>
      </w:r>
    </w:p>
    <w:p>
      <w:pPr>
        <w:pStyle w:val="4"/>
        <w:rPr>
          <w:rFonts w:hint="eastAsia" w:ascii="宋体" w:hAnsi="宋体" w:cs="宋体"/>
          <w:color w:val="auto"/>
          <w:szCs w:val="21"/>
        </w:rPr>
      </w:pPr>
      <w:r>
        <w:rPr>
          <w:rFonts w:hint="eastAsia" w:ascii="宋体" w:hAnsi="宋体" w:eastAsia="宋体" w:cs="宋体"/>
          <w:b/>
          <w:color w:val="auto"/>
          <w:sz w:val="21"/>
          <w:szCs w:val="21"/>
        </w:rPr>
        <w:t>1</w:t>
      </w:r>
      <w:r>
        <w:rPr>
          <w:rFonts w:hint="eastAsia" w:ascii="宋体" w:hAnsi="宋体" w:eastAsia="宋体" w:cs="宋体"/>
          <w:b/>
          <w:color w:val="auto"/>
          <w:sz w:val="21"/>
          <w:szCs w:val="21"/>
          <w:lang w:eastAsia="zh-CN"/>
        </w:rPr>
        <w:t>2</w:t>
      </w:r>
      <w:r>
        <w:rPr>
          <w:rFonts w:hint="eastAsia" w:ascii="宋体" w:hAnsi="宋体" w:eastAsia="宋体" w:cs="宋体"/>
          <w:b/>
          <w:color w:val="auto"/>
          <w:sz w:val="21"/>
          <w:szCs w:val="21"/>
        </w:rPr>
        <w:t>、投标文件构成</w:t>
      </w:r>
    </w:p>
    <w:p>
      <w:pPr>
        <w:spacing w:line="360" w:lineRule="auto"/>
        <w:rPr>
          <w:rFonts w:hint="eastAsia" w:ascii="宋体" w:hAnsi="宋体" w:cs="宋体"/>
          <w:b/>
          <w:color w:val="auto"/>
          <w:szCs w:val="21"/>
        </w:rPr>
      </w:pPr>
      <w:r>
        <w:rPr>
          <w:rFonts w:hint="eastAsia" w:ascii="宋体" w:hAnsi="宋体" w:cs="宋体"/>
          <w:color w:val="auto"/>
          <w:szCs w:val="21"/>
        </w:rPr>
        <w:t>1</w:t>
      </w:r>
      <w:r>
        <w:rPr>
          <w:rFonts w:hint="eastAsia" w:ascii="宋体" w:hAnsi="宋体" w:cs="宋体"/>
          <w:color w:val="auto"/>
          <w:szCs w:val="21"/>
          <w:lang w:eastAsia="zh-CN"/>
        </w:rPr>
        <w:t>2</w:t>
      </w:r>
      <w:r>
        <w:rPr>
          <w:rFonts w:hint="eastAsia" w:ascii="宋体" w:hAnsi="宋体" w:cs="宋体"/>
          <w:color w:val="auto"/>
          <w:szCs w:val="21"/>
        </w:rPr>
        <w:t>.1</w:t>
      </w:r>
      <w:r>
        <w:rPr>
          <w:rFonts w:ascii="宋体" w:hAnsi="宋体" w:cs="宋体"/>
          <w:color w:val="auto"/>
          <w:spacing w:val="1"/>
          <w:szCs w:val="21"/>
        </w:rPr>
        <w:t>投标文件的构成应符合法律法规及招标文件的要求</w:t>
      </w:r>
      <w:r>
        <w:rPr>
          <w:rFonts w:hint="eastAsia" w:ascii="宋体" w:hAnsi="宋体" w:cs="宋体"/>
          <w:color w:val="auto"/>
          <w:szCs w:val="21"/>
        </w:rPr>
        <w:t>。</w:t>
      </w:r>
    </w:p>
    <w:p>
      <w:pPr>
        <w:pStyle w:val="4"/>
        <w:rPr>
          <w:rFonts w:hint="eastAsia" w:ascii="宋体" w:hAnsi="宋体" w:cs="宋体"/>
          <w:color w:val="auto"/>
          <w:szCs w:val="21"/>
        </w:rPr>
      </w:pPr>
      <w:r>
        <w:rPr>
          <w:rFonts w:hint="eastAsia" w:ascii="宋体" w:hAnsi="宋体" w:eastAsia="宋体" w:cs="宋体"/>
          <w:b/>
          <w:color w:val="auto"/>
          <w:sz w:val="21"/>
          <w:szCs w:val="21"/>
        </w:rPr>
        <w:t>1</w:t>
      </w:r>
      <w:r>
        <w:rPr>
          <w:rFonts w:hint="eastAsia" w:ascii="宋体" w:hAnsi="宋体" w:eastAsia="宋体" w:cs="宋体"/>
          <w:b/>
          <w:color w:val="auto"/>
          <w:sz w:val="21"/>
          <w:szCs w:val="21"/>
          <w:lang w:eastAsia="zh-CN"/>
        </w:rPr>
        <w:t>3</w:t>
      </w:r>
      <w:r>
        <w:rPr>
          <w:rFonts w:hint="eastAsia" w:ascii="宋体" w:hAnsi="宋体" w:eastAsia="宋体" w:cs="宋体"/>
          <w:b/>
          <w:color w:val="auto"/>
          <w:sz w:val="21"/>
          <w:szCs w:val="21"/>
        </w:rPr>
        <w:t>、投标文件格式</w:t>
      </w:r>
    </w:p>
    <w:p>
      <w:pPr>
        <w:spacing w:line="360" w:lineRule="auto"/>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eastAsia="zh-CN"/>
        </w:rPr>
        <w:t>3</w:t>
      </w:r>
      <w:r>
        <w:rPr>
          <w:rFonts w:hint="eastAsia" w:ascii="宋体" w:hAnsi="宋体" w:cs="宋体"/>
          <w:color w:val="auto"/>
          <w:szCs w:val="21"/>
        </w:rPr>
        <w:t>.1</w:t>
      </w:r>
      <w:r>
        <w:rPr>
          <w:rFonts w:hint="eastAsia" w:ascii="宋体" w:hAnsi="宋体" w:cs="宋体"/>
          <w:color w:val="auto"/>
          <w:szCs w:val="21"/>
          <w:lang w:eastAsia="zh-CN"/>
        </w:rPr>
        <w:t>投标人</w:t>
      </w:r>
      <w:r>
        <w:rPr>
          <w:rFonts w:hint="eastAsia" w:ascii="宋体" w:hAnsi="宋体" w:cs="宋体"/>
          <w:color w:val="auto"/>
          <w:szCs w:val="21"/>
        </w:rPr>
        <w:t>应按招标文件附件中提供的“投标文件格式”填写“</w:t>
      </w:r>
      <w:r>
        <w:rPr>
          <w:rFonts w:hint="eastAsia" w:ascii="宋体" w:hAnsi="宋体" w:cs="宋体"/>
          <w:color w:val="auto"/>
          <w:szCs w:val="21"/>
          <w:lang w:eastAsia="zh-CN"/>
        </w:rPr>
        <w:t>投标承诺函</w:t>
      </w:r>
      <w:r>
        <w:rPr>
          <w:rFonts w:hint="eastAsia" w:ascii="宋体" w:hAnsi="宋体" w:cs="宋体"/>
          <w:color w:val="auto"/>
          <w:szCs w:val="21"/>
        </w:rPr>
        <w:t>”等附件。</w:t>
      </w:r>
    </w:p>
    <w:p>
      <w:pPr>
        <w:spacing w:line="360" w:lineRule="auto"/>
        <w:rPr>
          <w:rFonts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eastAsia="zh-CN"/>
        </w:rPr>
        <w:t>3</w:t>
      </w:r>
      <w:r>
        <w:rPr>
          <w:rFonts w:hint="eastAsia" w:ascii="宋体" w:hAnsi="宋体" w:cs="宋体"/>
          <w:color w:val="auto"/>
          <w:szCs w:val="21"/>
        </w:rPr>
        <w:t>.2</w:t>
      </w:r>
      <w:r>
        <w:rPr>
          <w:rFonts w:ascii="宋体" w:hAnsi="宋体" w:cs="宋体"/>
          <w:color w:val="auto"/>
          <w:szCs w:val="21"/>
        </w:rPr>
        <w:t xml:space="preserve"> 投标人不得将项目的内容拆开投标，否则将导致其投标无效。投标人必须具备独立完成所投采购项目的能力。除招标文件另有规定外，中标后不允许再对所投内容分包、转包。</w:t>
      </w:r>
    </w:p>
    <w:p>
      <w:pPr>
        <w:spacing w:line="360" w:lineRule="auto"/>
        <w:rPr>
          <w:rFonts w:ascii="宋体" w:hAnsi="宋体" w:cs="宋体"/>
          <w:color w:val="auto"/>
          <w:szCs w:val="21"/>
        </w:rPr>
      </w:pPr>
      <w:r>
        <w:rPr>
          <w:rFonts w:hint="eastAsia" w:ascii="宋体" w:hAnsi="宋体" w:cs="宋体"/>
          <w:color w:val="auto"/>
          <w:szCs w:val="21"/>
          <w:lang w:eastAsia="zh-CN"/>
        </w:rPr>
        <w:t>13.3</w:t>
      </w:r>
      <w:r>
        <w:rPr>
          <w:rFonts w:ascii="宋体" w:hAnsi="宋体" w:cs="宋体"/>
          <w:color w:val="auto"/>
          <w:szCs w:val="21"/>
        </w:rPr>
        <w:t>投标人应完整、真实、准确的填写招标文件中规定的所有内容。</w:t>
      </w:r>
    </w:p>
    <w:p>
      <w:pPr>
        <w:spacing w:line="360" w:lineRule="auto"/>
        <w:rPr>
          <w:rFonts w:ascii="宋体" w:hAnsi="宋体" w:cs="宋体"/>
          <w:color w:val="auto"/>
          <w:szCs w:val="21"/>
        </w:rPr>
      </w:pPr>
      <w:r>
        <w:rPr>
          <w:rFonts w:hint="eastAsia" w:ascii="宋体" w:hAnsi="宋体" w:cs="宋体"/>
          <w:color w:val="auto"/>
          <w:szCs w:val="21"/>
          <w:lang w:eastAsia="zh-CN"/>
        </w:rPr>
        <w:t>13.4</w:t>
      </w:r>
      <w:r>
        <w:rPr>
          <w:rFonts w:ascii="宋体" w:hAnsi="宋体" w:cs="宋体"/>
          <w:color w:val="auto"/>
          <w:szCs w:val="21"/>
        </w:rPr>
        <w:t>投标人必须对投标文件所提供的全部资料的真实性承担法律责任，并无条件接受采购单位对其中任何资料进行核实的要求。投标人应保证提交的资料合法真实且准确有效，如发现自身资料被盗用或复制，应遵循法律途径解决，追究侵权者责任。</w:t>
      </w:r>
    </w:p>
    <w:p>
      <w:pPr>
        <w:spacing w:line="360" w:lineRule="auto"/>
        <w:rPr>
          <w:rFonts w:hint="eastAsia" w:ascii="宋体" w:hAnsi="宋体" w:cs="宋体"/>
          <w:color w:val="auto"/>
          <w:szCs w:val="21"/>
          <w:lang w:eastAsia="zh-CN"/>
        </w:rPr>
      </w:pPr>
      <w:r>
        <w:rPr>
          <w:rFonts w:hint="eastAsia" w:ascii="宋体" w:hAnsi="宋体" w:cs="宋体"/>
          <w:color w:val="auto"/>
          <w:szCs w:val="21"/>
          <w:lang w:eastAsia="zh-CN"/>
        </w:rPr>
        <w:t>13.5</w:t>
      </w:r>
      <w:r>
        <w:rPr>
          <w:rFonts w:ascii="宋体" w:hAnsi="宋体" w:cs="宋体"/>
          <w:color w:val="auto"/>
          <w:szCs w:val="21"/>
        </w:rPr>
        <w:t>如果因为投标人投标文件填报的内容不详，或没有提供招标文件中所要求的全部资料及数据，由此造成的后果，其责任由投标人承担</w:t>
      </w:r>
      <w:r>
        <w:rPr>
          <w:rFonts w:hint="eastAsia" w:ascii="宋体" w:hAnsi="宋体" w:cs="宋体"/>
          <w:color w:val="auto"/>
          <w:szCs w:val="21"/>
          <w:lang w:eastAsia="zh-CN"/>
        </w:rPr>
        <w:t>。</w:t>
      </w:r>
    </w:p>
    <w:p>
      <w:pPr>
        <w:pStyle w:val="4"/>
        <w:rPr>
          <w:rFonts w:hint="eastAsia" w:ascii="宋体" w:hAnsi="宋体" w:eastAsia="宋体" w:cs="宋体"/>
          <w:b/>
          <w:color w:val="auto"/>
          <w:sz w:val="21"/>
          <w:szCs w:val="21"/>
          <w:lang w:eastAsia="zh-CN"/>
        </w:rPr>
      </w:pPr>
      <w:r>
        <w:rPr>
          <w:rFonts w:hint="eastAsia" w:ascii="宋体" w:hAnsi="宋体" w:eastAsia="宋体" w:cs="宋体"/>
          <w:b/>
          <w:color w:val="auto"/>
          <w:sz w:val="21"/>
          <w:szCs w:val="21"/>
          <w:lang w:eastAsia="zh-CN"/>
        </w:rPr>
        <w:t>14、投标文件的制作要求</w:t>
      </w:r>
    </w:p>
    <w:p>
      <w:pPr>
        <w:spacing w:line="360" w:lineRule="auto"/>
        <w:rPr>
          <w:rFonts w:ascii="宋体" w:hAnsi="宋体" w:cs="宋体"/>
          <w:color w:val="auto"/>
          <w:szCs w:val="21"/>
          <w:lang w:eastAsia="zh-CN"/>
        </w:rPr>
      </w:pPr>
      <w:r>
        <w:rPr>
          <w:rFonts w:hint="eastAsia" w:ascii="宋体" w:hAnsi="宋体" w:cs="宋体"/>
          <w:color w:val="auto"/>
          <w:szCs w:val="21"/>
          <w:lang w:eastAsia="zh-CN"/>
        </w:rPr>
        <w:t>14</w:t>
      </w:r>
      <w:r>
        <w:rPr>
          <w:rFonts w:ascii="宋体" w:hAnsi="宋体" w:cs="宋体"/>
          <w:color w:val="auto"/>
          <w:szCs w:val="21"/>
          <w:lang w:eastAsia="zh-CN"/>
        </w:rPr>
        <w:t>.1 投标人必须使用交易系统专用工具编制电子投标文件，进行合成、电子签名、电子签章及加密打包。所有投标文件不能进行压缩处理。</w:t>
      </w:r>
    </w:p>
    <w:p>
      <w:pPr>
        <w:spacing w:line="360" w:lineRule="auto"/>
        <w:rPr>
          <w:rFonts w:ascii="宋体" w:hAnsi="宋体" w:cs="宋体"/>
          <w:color w:val="auto"/>
          <w:szCs w:val="21"/>
          <w:lang w:eastAsia="zh-CN"/>
        </w:rPr>
      </w:pPr>
      <w:r>
        <w:rPr>
          <w:rFonts w:hint="eastAsia" w:ascii="宋体" w:hAnsi="宋体" w:cs="宋体"/>
          <w:color w:val="auto"/>
          <w:szCs w:val="21"/>
          <w:lang w:eastAsia="zh-CN"/>
        </w:rPr>
        <w:t>14</w:t>
      </w:r>
      <w:r>
        <w:rPr>
          <w:rFonts w:ascii="宋体" w:hAnsi="宋体" w:cs="宋体"/>
          <w:color w:val="auto"/>
          <w:szCs w:val="21"/>
          <w:lang w:eastAsia="zh-CN"/>
        </w:rPr>
        <w:t>.2 投标文件所使用的公章必须为单位法定名称章，不能以其它业务章或附属机构章代替。电子投标文件中组成的每份文件应按照投标文件制作工具要求加盖电子签章，其效力涵盖整份文件，签章不应加盖在文件中有超链接的地方，否则造成超链接无法打开的后果，由投标人自行承担。</w:t>
      </w:r>
    </w:p>
    <w:p>
      <w:pPr>
        <w:spacing w:line="360" w:lineRule="auto"/>
        <w:rPr>
          <w:rFonts w:ascii="宋体" w:hAnsi="宋体" w:cs="宋体"/>
          <w:color w:val="auto"/>
          <w:szCs w:val="21"/>
          <w:lang w:eastAsia="zh-CN"/>
        </w:rPr>
      </w:pPr>
      <w:r>
        <w:rPr>
          <w:rFonts w:hint="eastAsia" w:ascii="宋体" w:hAnsi="宋体" w:cs="宋体"/>
          <w:color w:val="auto"/>
          <w:szCs w:val="21"/>
          <w:lang w:eastAsia="zh-CN"/>
        </w:rPr>
        <w:t>14</w:t>
      </w:r>
      <w:r>
        <w:rPr>
          <w:rFonts w:ascii="宋体" w:hAnsi="宋体" w:cs="宋体"/>
          <w:color w:val="auto"/>
          <w:szCs w:val="21"/>
          <w:lang w:eastAsia="zh-CN"/>
        </w:rPr>
        <w:t>.3 投标人为分公司不具备法人资格的，须另行提供法人出具的授权书。</w:t>
      </w:r>
    </w:p>
    <w:p>
      <w:pPr>
        <w:spacing w:line="360" w:lineRule="auto"/>
        <w:rPr>
          <w:rFonts w:ascii="宋体" w:hAnsi="宋体" w:cs="宋体"/>
          <w:color w:val="auto"/>
          <w:szCs w:val="21"/>
          <w:lang w:eastAsia="zh-CN"/>
        </w:rPr>
      </w:pPr>
      <w:r>
        <w:rPr>
          <w:rFonts w:hint="eastAsia" w:ascii="宋体" w:hAnsi="宋体" w:cs="宋体"/>
          <w:color w:val="auto"/>
          <w:szCs w:val="21"/>
          <w:lang w:eastAsia="zh-CN"/>
        </w:rPr>
        <w:t>14.</w:t>
      </w:r>
      <w:r>
        <w:rPr>
          <w:rFonts w:ascii="宋体" w:hAnsi="宋体" w:cs="宋体"/>
          <w:color w:val="auto"/>
          <w:szCs w:val="21"/>
          <w:lang w:eastAsia="zh-CN"/>
        </w:rPr>
        <w:t>4 投标文件中提交的所有企业或人员的资质、荣誉证书均须有效；如证书设有有效期的，有效期要求不少于投标截止当日或已办理延期手续；如证书没有有效期且该资质未被取消的，则视为仍在有效期内。有关企业或人员的资质证书如有最新的行业管理规定或政策文件要求的，按照有关要求执行。</w:t>
      </w:r>
    </w:p>
    <w:p>
      <w:pPr>
        <w:spacing w:line="360" w:lineRule="auto"/>
        <w:rPr>
          <w:rFonts w:ascii="宋体" w:hAnsi="宋体" w:cs="宋体"/>
          <w:color w:val="auto"/>
          <w:szCs w:val="21"/>
          <w:lang w:eastAsia="zh-CN"/>
        </w:rPr>
      </w:pPr>
      <w:r>
        <w:rPr>
          <w:rFonts w:hint="eastAsia" w:ascii="宋体" w:hAnsi="宋体" w:cs="宋体"/>
          <w:color w:val="auto"/>
          <w:szCs w:val="21"/>
          <w:lang w:eastAsia="zh-CN"/>
        </w:rPr>
        <w:t>14</w:t>
      </w:r>
      <w:r>
        <w:rPr>
          <w:rFonts w:ascii="宋体" w:hAnsi="宋体" w:cs="宋体"/>
          <w:color w:val="auto"/>
          <w:szCs w:val="21"/>
          <w:lang w:eastAsia="zh-CN"/>
        </w:rPr>
        <w:t>.5 投标文件的制作、不同文字文本的释义均以简体中文文本为准，重要的外文资料须附有中文译注。</w:t>
      </w:r>
    </w:p>
    <w:p>
      <w:pPr>
        <w:spacing w:line="360" w:lineRule="auto"/>
        <w:rPr>
          <w:rFonts w:ascii="宋体" w:hAnsi="宋体" w:cs="宋体"/>
          <w:color w:val="auto"/>
          <w:szCs w:val="21"/>
          <w:lang w:eastAsia="zh-CN"/>
        </w:rPr>
      </w:pPr>
      <w:r>
        <w:rPr>
          <w:rFonts w:hint="eastAsia" w:ascii="宋体" w:hAnsi="宋体" w:cs="宋体"/>
          <w:color w:val="auto"/>
          <w:szCs w:val="21"/>
          <w:lang w:eastAsia="zh-CN"/>
        </w:rPr>
        <w:t>14</w:t>
      </w:r>
      <w:r>
        <w:rPr>
          <w:rFonts w:ascii="宋体" w:hAnsi="宋体" w:cs="宋体"/>
          <w:color w:val="auto"/>
          <w:szCs w:val="21"/>
          <w:lang w:eastAsia="zh-CN"/>
        </w:rPr>
        <w:t>.6 投标人必须按</w:t>
      </w:r>
      <w:r>
        <w:rPr>
          <w:rFonts w:hint="eastAsia" w:ascii="宋体" w:hAnsi="宋体" w:cs="宋体"/>
          <w:color w:val="auto"/>
          <w:szCs w:val="21"/>
          <w:lang w:eastAsia="zh-CN"/>
        </w:rPr>
        <w:t>招标文件</w:t>
      </w:r>
      <w:r>
        <w:rPr>
          <w:rFonts w:ascii="宋体" w:hAnsi="宋体" w:cs="宋体"/>
          <w:color w:val="auto"/>
          <w:szCs w:val="21"/>
          <w:lang w:eastAsia="zh-CN"/>
        </w:rPr>
        <w:t>指定的格式填写各种报价，各报价应计算正确。除</w:t>
      </w:r>
      <w:r>
        <w:rPr>
          <w:rFonts w:hint="eastAsia" w:ascii="宋体" w:hAnsi="宋体" w:cs="宋体"/>
          <w:color w:val="auto"/>
          <w:szCs w:val="21"/>
          <w:lang w:eastAsia="zh-CN"/>
        </w:rPr>
        <w:t>招标文件</w:t>
      </w:r>
      <w:r>
        <w:rPr>
          <w:rFonts w:ascii="宋体" w:hAnsi="宋体" w:cs="宋体"/>
          <w:color w:val="auto"/>
          <w:szCs w:val="21"/>
          <w:lang w:eastAsia="zh-CN"/>
        </w:rPr>
        <w:t>另有规定外，计量单位应使用中华人民共和国法定计量单位，以人民币填报所有报价。</w:t>
      </w:r>
    </w:p>
    <w:p>
      <w:pPr>
        <w:pStyle w:val="4"/>
        <w:rPr>
          <w:rFonts w:hint="eastAsia" w:ascii="宋体" w:hAnsi="宋体" w:cs="宋体"/>
          <w:color w:val="auto"/>
          <w:szCs w:val="21"/>
        </w:rPr>
      </w:pPr>
      <w:r>
        <w:rPr>
          <w:rFonts w:hint="eastAsia" w:ascii="宋体" w:hAnsi="宋体" w:eastAsia="宋体" w:cs="宋体"/>
          <w:b/>
          <w:color w:val="auto"/>
          <w:sz w:val="21"/>
          <w:szCs w:val="21"/>
        </w:rPr>
        <w:t>1</w:t>
      </w:r>
      <w:r>
        <w:rPr>
          <w:rFonts w:hint="eastAsia" w:ascii="宋体" w:hAnsi="宋体" w:eastAsia="宋体" w:cs="宋体"/>
          <w:b/>
          <w:color w:val="auto"/>
          <w:sz w:val="21"/>
          <w:szCs w:val="21"/>
          <w:lang w:eastAsia="zh-CN"/>
        </w:rPr>
        <w:t>5</w:t>
      </w:r>
      <w:r>
        <w:rPr>
          <w:rFonts w:hint="eastAsia" w:ascii="宋体" w:hAnsi="宋体" w:eastAsia="宋体" w:cs="宋体"/>
          <w:b/>
          <w:color w:val="auto"/>
          <w:sz w:val="21"/>
          <w:szCs w:val="21"/>
        </w:rPr>
        <w:t>、投标报价和货币</w:t>
      </w:r>
    </w:p>
    <w:p>
      <w:pPr>
        <w:spacing w:line="360" w:lineRule="auto"/>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eastAsia="zh-CN"/>
        </w:rPr>
        <w:t>5</w:t>
      </w:r>
      <w:r>
        <w:rPr>
          <w:rFonts w:hint="eastAsia" w:ascii="宋体" w:hAnsi="宋体" w:cs="宋体"/>
          <w:color w:val="auto"/>
          <w:szCs w:val="21"/>
        </w:rPr>
        <w:t>.1</w:t>
      </w:r>
      <w:r>
        <w:rPr>
          <w:rFonts w:hint="eastAsia" w:ascii="宋体" w:hAnsi="宋体" w:cs="宋体"/>
          <w:color w:val="auto"/>
          <w:szCs w:val="21"/>
          <w:lang w:eastAsia="zh-CN"/>
        </w:rPr>
        <w:t>投标人</w:t>
      </w:r>
      <w:r>
        <w:rPr>
          <w:rFonts w:hint="eastAsia" w:ascii="宋体" w:hAnsi="宋体" w:cs="宋体"/>
          <w:color w:val="auto"/>
          <w:szCs w:val="21"/>
        </w:rPr>
        <w:t>应按招标文件</w:t>
      </w:r>
      <w:r>
        <w:rPr>
          <w:rFonts w:hint="eastAsia" w:ascii="宋体" w:hAnsi="宋体" w:cs="宋体"/>
          <w:color w:val="auto"/>
          <w:szCs w:val="21"/>
          <w:lang w:eastAsia="zh-CN"/>
        </w:rPr>
        <w:t>第二部分</w:t>
      </w:r>
      <w:r>
        <w:rPr>
          <w:rFonts w:hint="eastAsia" w:ascii="宋体" w:hAnsi="宋体" w:cs="宋体"/>
          <w:color w:val="auto"/>
          <w:szCs w:val="21"/>
        </w:rPr>
        <w:t>中规定的报价方式报价。</w:t>
      </w:r>
    </w:p>
    <w:p>
      <w:pPr>
        <w:widowControl/>
        <w:spacing w:line="360" w:lineRule="auto"/>
        <w:jc w:val="left"/>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eastAsia="zh-CN"/>
        </w:rPr>
        <w:t>5</w:t>
      </w:r>
      <w:r>
        <w:rPr>
          <w:rFonts w:hint="eastAsia" w:ascii="宋体" w:hAnsi="宋体" w:cs="宋体"/>
          <w:color w:val="auto"/>
          <w:szCs w:val="21"/>
        </w:rPr>
        <w:t>.2</w:t>
      </w:r>
      <w:r>
        <w:rPr>
          <w:rFonts w:hint="eastAsia" w:ascii="宋体" w:hAnsi="宋体" w:cs="宋体"/>
          <w:color w:val="auto"/>
          <w:szCs w:val="21"/>
          <w:lang w:eastAsia="zh-CN" w:bidi="ar"/>
        </w:rPr>
        <w:t>投标报价以元为单位，保留两位小数。</w:t>
      </w:r>
    </w:p>
    <w:p>
      <w:pPr>
        <w:spacing w:line="360" w:lineRule="auto"/>
        <w:rPr>
          <w:rFonts w:hint="eastAsia" w:ascii="宋体" w:hAnsi="宋体" w:cs="宋体"/>
          <w:color w:val="auto"/>
          <w:szCs w:val="21"/>
          <w:lang w:eastAsia="zh-CN"/>
        </w:rPr>
      </w:pPr>
      <w:r>
        <w:rPr>
          <w:rFonts w:hint="eastAsia" w:ascii="宋体" w:hAnsi="宋体" w:cs="宋体"/>
          <w:color w:val="auto"/>
          <w:szCs w:val="21"/>
          <w:lang w:eastAsia="zh-CN"/>
        </w:rPr>
        <w:t>15.3投标报价</w:t>
      </w:r>
      <w:r>
        <w:rPr>
          <w:rFonts w:hint="eastAsia" w:ascii="宋体" w:hAnsi="宋体" w:cs="宋体"/>
          <w:color w:val="auto"/>
          <w:szCs w:val="21"/>
        </w:rPr>
        <w:t>包括</w:t>
      </w:r>
      <w:r>
        <w:rPr>
          <w:rFonts w:hint="eastAsia" w:ascii="宋体" w:hAnsi="宋体" w:cs="宋体"/>
          <w:color w:val="auto"/>
          <w:szCs w:val="21"/>
          <w:lang w:eastAsia="zh-CN"/>
        </w:rPr>
        <w:t>货物及所需的购置费、包装费、运输费、装卸费、保险费、安装调试费、资料费、设备因验收而发生的检测费和调试费、售后服务费、培训及跟踪服务、税费等所有费用及</w:t>
      </w:r>
      <w:r>
        <w:rPr>
          <w:rFonts w:hint="eastAsia" w:ascii="宋体" w:hAnsi="宋体" w:cs="宋体"/>
          <w:color w:val="auto"/>
          <w:szCs w:val="21"/>
        </w:rPr>
        <w:t>合同实施过程中的不可预见费用等全部费用以及</w:t>
      </w:r>
      <w:r>
        <w:rPr>
          <w:rFonts w:hint="eastAsia" w:ascii="宋体" w:hAnsi="宋体" w:cs="宋体"/>
          <w:color w:val="auto"/>
          <w:szCs w:val="21"/>
          <w:lang w:eastAsia="zh-CN"/>
        </w:rPr>
        <w:t>投标人</w:t>
      </w:r>
      <w:r>
        <w:rPr>
          <w:rFonts w:hint="eastAsia" w:ascii="宋体" w:hAnsi="宋体" w:cs="宋体"/>
          <w:color w:val="auto"/>
          <w:szCs w:val="21"/>
        </w:rPr>
        <w:t>认为必要的其他货物、材料及配套服务以及其他相关服务的全部责任和义务。</w:t>
      </w:r>
      <w:r>
        <w:rPr>
          <w:rFonts w:hint="eastAsia" w:ascii="宋体" w:hAnsi="宋体" w:cs="宋体"/>
          <w:color w:val="auto"/>
          <w:szCs w:val="21"/>
          <w:lang w:eastAsia="zh-CN"/>
        </w:rPr>
        <w:t>投标人</w:t>
      </w:r>
      <w:r>
        <w:rPr>
          <w:rFonts w:hint="eastAsia" w:ascii="宋体" w:hAnsi="宋体" w:cs="宋体"/>
          <w:color w:val="auto"/>
          <w:szCs w:val="21"/>
        </w:rPr>
        <w:t>应充分考虑本项目</w:t>
      </w:r>
      <w:r>
        <w:rPr>
          <w:rFonts w:hint="eastAsia" w:ascii="宋体" w:hAnsi="宋体" w:cs="宋体"/>
          <w:color w:val="auto"/>
          <w:szCs w:val="21"/>
          <w:lang w:eastAsia="zh-CN"/>
        </w:rPr>
        <w:t>招标文件</w:t>
      </w:r>
      <w:r>
        <w:rPr>
          <w:rFonts w:hint="eastAsia" w:ascii="宋体" w:hAnsi="宋体" w:cs="宋体"/>
          <w:color w:val="auto"/>
          <w:szCs w:val="21"/>
        </w:rPr>
        <w:t>规定的及</w:t>
      </w:r>
      <w:r>
        <w:rPr>
          <w:rFonts w:hint="eastAsia" w:ascii="宋体" w:hAnsi="宋体" w:cs="宋体"/>
          <w:color w:val="auto"/>
          <w:szCs w:val="21"/>
          <w:lang w:eastAsia="zh-CN"/>
        </w:rPr>
        <w:t>采购包</w:t>
      </w:r>
      <w:r>
        <w:rPr>
          <w:rFonts w:hint="eastAsia" w:ascii="宋体" w:hAnsi="宋体" w:cs="宋体"/>
          <w:color w:val="auto"/>
          <w:szCs w:val="21"/>
        </w:rPr>
        <w:t>含的所有风险、责任等发生的费用。如出现任何遗漏内容需产生额外费用，均由</w:t>
      </w:r>
      <w:r>
        <w:rPr>
          <w:rFonts w:hint="eastAsia" w:ascii="宋体" w:hAnsi="宋体" w:cs="宋体"/>
          <w:color w:val="auto"/>
          <w:szCs w:val="21"/>
          <w:lang w:eastAsia="zh-CN"/>
        </w:rPr>
        <w:t>中标人</w:t>
      </w:r>
      <w:r>
        <w:rPr>
          <w:rFonts w:hint="eastAsia" w:ascii="宋体" w:hAnsi="宋体" w:cs="宋体"/>
          <w:color w:val="auto"/>
          <w:szCs w:val="21"/>
        </w:rPr>
        <w:t>自行承担，采购人将不再另支付任何费用</w:t>
      </w:r>
      <w:r>
        <w:rPr>
          <w:rFonts w:hint="eastAsia" w:ascii="宋体" w:hAnsi="宋体" w:cs="宋体"/>
          <w:color w:val="auto"/>
          <w:szCs w:val="21"/>
          <w:lang w:eastAsia="zh-CN"/>
        </w:rPr>
        <w:t>。</w:t>
      </w:r>
    </w:p>
    <w:p>
      <w:pPr>
        <w:spacing w:line="360" w:lineRule="auto"/>
        <w:rPr>
          <w:rFonts w:hint="eastAsia" w:ascii="宋体" w:hAnsi="宋体" w:cs="宋体"/>
          <w:b/>
          <w:color w:val="auto"/>
          <w:szCs w:val="21"/>
        </w:rPr>
      </w:pPr>
      <w:r>
        <w:rPr>
          <w:rFonts w:hint="eastAsia" w:ascii="宋体" w:hAnsi="宋体" w:cs="宋体"/>
          <w:color w:val="auto"/>
          <w:szCs w:val="21"/>
        </w:rPr>
        <w:t>1</w:t>
      </w:r>
      <w:r>
        <w:rPr>
          <w:rFonts w:hint="eastAsia" w:ascii="宋体" w:hAnsi="宋体" w:cs="宋体"/>
          <w:color w:val="auto"/>
          <w:szCs w:val="21"/>
          <w:lang w:eastAsia="zh-CN"/>
        </w:rPr>
        <w:t>5</w:t>
      </w:r>
      <w:r>
        <w:rPr>
          <w:rFonts w:hint="eastAsia" w:ascii="宋体" w:hAnsi="宋体" w:cs="宋体"/>
          <w:color w:val="auto"/>
          <w:szCs w:val="21"/>
        </w:rPr>
        <w:t>.</w:t>
      </w:r>
      <w:r>
        <w:rPr>
          <w:rFonts w:hint="eastAsia" w:ascii="宋体" w:hAnsi="宋体" w:cs="宋体"/>
          <w:color w:val="auto"/>
          <w:szCs w:val="21"/>
          <w:lang w:eastAsia="zh-CN"/>
        </w:rPr>
        <w:t>4</w:t>
      </w:r>
      <w:r>
        <w:rPr>
          <w:rFonts w:hint="eastAsia" w:ascii="宋体" w:hAnsi="宋体" w:cs="宋体"/>
          <w:color w:val="auto"/>
          <w:szCs w:val="21"/>
        </w:rPr>
        <w:t>投标报价为一次性报价，开标后不得更改。</w:t>
      </w:r>
    </w:p>
    <w:p>
      <w:pPr>
        <w:pStyle w:val="4"/>
        <w:rPr>
          <w:rFonts w:ascii="宋体" w:hAnsi="宋体" w:eastAsia="宋体" w:cs="宋体"/>
          <w:b/>
          <w:color w:val="auto"/>
          <w:sz w:val="21"/>
          <w:szCs w:val="21"/>
          <w:lang w:eastAsia="zh-CN"/>
        </w:rPr>
      </w:pPr>
      <w:r>
        <w:rPr>
          <w:rFonts w:hint="eastAsia" w:ascii="宋体" w:hAnsi="宋体" w:eastAsia="宋体" w:cs="宋体"/>
          <w:b/>
          <w:color w:val="auto"/>
          <w:sz w:val="21"/>
          <w:szCs w:val="21"/>
        </w:rPr>
        <w:t>1</w:t>
      </w:r>
      <w:r>
        <w:rPr>
          <w:rFonts w:hint="eastAsia" w:ascii="宋体" w:hAnsi="宋体" w:eastAsia="宋体" w:cs="宋体"/>
          <w:b/>
          <w:color w:val="auto"/>
          <w:sz w:val="21"/>
          <w:szCs w:val="21"/>
          <w:lang w:eastAsia="zh-CN"/>
        </w:rPr>
        <w:t>6</w:t>
      </w:r>
      <w:r>
        <w:rPr>
          <w:rFonts w:hint="eastAsia" w:ascii="宋体" w:hAnsi="宋体" w:eastAsia="宋体" w:cs="宋体"/>
          <w:b/>
          <w:color w:val="auto"/>
          <w:sz w:val="21"/>
          <w:szCs w:val="21"/>
        </w:rPr>
        <w:t>、</w:t>
      </w:r>
      <w:r>
        <w:rPr>
          <w:rFonts w:hint="eastAsia" w:ascii="宋体" w:hAnsi="宋体" w:eastAsia="宋体" w:cs="宋体"/>
          <w:b/>
          <w:color w:val="auto"/>
          <w:sz w:val="21"/>
          <w:szCs w:val="21"/>
          <w:lang w:eastAsia="zh-CN"/>
        </w:rPr>
        <w:t>备选方案</w:t>
      </w:r>
    </w:p>
    <w:p>
      <w:pPr>
        <w:widowControl/>
        <w:spacing w:line="360" w:lineRule="auto"/>
        <w:jc w:val="left"/>
        <w:rPr>
          <w:rFonts w:hint="eastAsia" w:ascii="宋体" w:hAnsi="宋体" w:cs="宋体"/>
          <w:color w:val="auto"/>
          <w:szCs w:val="21"/>
        </w:rPr>
      </w:pPr>
      <w:r>
        <w:rPr>
          <w:rFonts w:hint="eastAsia" w:ascii="宋体" w:hAnsi="宋体" w:cs="宋体"/>
          <w:color w:val="auto"/>
          <w:szCs w:val="21"/>
          <w:lang w:eastAsia="zh-CN"/>
        </w:rPr>
        <w:t>16.1</w:t>
      </w:r>
      <w:r>
        <w:rPr>
          <w:rFonts w:hint="eastAsia" w:ascii="宋体" w:hAnsi="宋体" w:cs="宋体"/>
          <w:color w:val="auto"/>
          <w:szCs w:val="21"/>
          <w:lang w:eastAsia="zh-CN" w:bidi="ar"/>
        </w:rPr>
        <w:t>只允许投标人有一个投标方案，否则将被视为无效投标。（招标文件允许有备选方案的除外）</w:t>
      </w:r>
    </w:p>
    <w:p>
      <w:pPr>
        <w:pStyle w:val="4"/>
        <w:rPr>
          <w:rFonts w:hint="eastAsia" w:ascii="宋体" w:hAnsi="宋体" w:cs="宋体"/>
          <w:color w:val="auto"/>
          <w:szCs w:val="21"/>
        </w:rPr>
      </w:pPr>
      <w:r>
        <w:rPr>
          <w:rFonts w:hint="eastAsia" w:ascii="宋体" w:hAnsi="宋体" w:eastAsia="宋体" w:cs="宋体"/>
          <w:b/>
          <w:color w:val="auto"/>
          <w:sz w:val="21"/>
          <w:szCs w:val="21"/>
          <w:lang w:eastAsia="zh-CN"/>
        </w:rPr>
        <w:t>17、投标人</w:t>
      </w:r>
      <w:r>
        <w:rPr>
          <w:rFonts w:hint="eastAsia" w:ascii="宋体" w:hAnsi="宋体" w:eastAsia="宋体" w:cs="宋体"/>
          <w:b/>
          <w:color w:val="auto"/>
          <w:sz w:val="21"/>
          <w:szCs w:val="21"/>
        </w:rPr>
        <w:t>资格的证明文件</w:t>
      </w:r>
    </w:p>
    <w:p>
      <w:pPr>
        <w:spacing w:line="360" w:lineRule="auto"/>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eastAsia="zh-CN"/>
        </w:rPr>
        <w:t>7</w:t>
      </w:r>
      <w:r>
        <w:rPr>
          <w:rFonts w:hint="eastAsia" w:ascii="宋体" w:hAnsi="宋体" w:cs="宋体"/>
          <w:color w:val="auto"/>
          <w:szCs w:val="21"/>
        </w:rPr>
        <w:t>.1投标人应按</w:t>
      </w:r>
      <w:r>
        <w:rPr>
          <w:rFonts w:hint="eastAsia" w:ascii="宋体" w:hAnsi="宋体" w:cs="宋体"/>
          <w:color w:val="auto"/>
          <w:szCs w:val="21"/>
          <w:lang w:eastAsia="zh-CN"/>
        </w:rPr>
        <w:t>招标文件</w:t>
      </w:r>
      <w:r>
        <w:rPr>
          <w:rFonts w:hint="eastAsia" w:ascii="宋体" w:hAnsi="宋体" w:cs="宋体"/>
          <w:color w:val="auto"/>
          <w:szCs w:val="21"/>
        </w:rPr>
        <w:t>的要求，提交证明其有资格参加投标和中标后有履行合同能力的文件，并作为其投标文件的组成部分。</w:t>
      </w:r>
    </w:p>
    <w:p>
      <w:pPr>
        <w:spacing w:line="360" w:lineRule="auto"/>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eastAsia="zh-CN"/>
        </w:rPr>
        <w:t>7</w:t>
      </w:r>
      <w:r>
        <w:rPr>
          <w:rFonts w:hint="eastAsia" w:ascii="宋体" w:hAnsi="宋体" w:cs="宋体"/>
          <w:color w:val="auto"/>
          <w:szCs w:val="21"/>
        </w:rPr>
        <w:t>.2</w:t>
      </w:r>
      <w:r>
        <w:rPr>
          <w:rFonts w:hint="eastAsia" w:ascii="宋体" w:hAnsi="宋体" w:cs="宋体"/>
          <w:color w:val="auto"/>
          <w:szCs w:val="21"/>
          <w:lang w:eastAsia="zh-CN" w:bidi="ar"/>
        </w:rPr>
        <w:t>资格证明文件必须真实有效，复印件必须加盖单位印章</w:t>
      </w:r>
      <w:r>
        <w:rPr>
          <w:rFonts w:hint="eastAsia" w:ascii="宋体" w:hAnsi="宋体" w:cs="宋体"/>
          <w:color w:val="auto"/>
          <w:szCs w:val="21"/>
        </w:rPr>
        <w:t>。</w:t>
      </w:r>
    </w:p>
    <w:p>
      <w:pPr>
        <w:spacing w:line="360" w:lineRule="auto"/>
        <w:rPr>
          <w:rFonts w:hint="eastAsia" w:ascii="宋体" w:hAnsi="宋体" w:cs="宋体"/>
          <w:b/>
          <w:color w:val="auto"/>
          <w:szCs w:val="21"/>
        </w:rPr>
      </w:pPr>
      <w:r>
        <w:rPr>
          <w:rFonts w:hint="eastAsia" w:ascii="宋体" w:hAnsi="宋体" w:cs="宋体"/>
          <w:color w:val="auto"/>
          <w:szCs w:val="21"/>
        </w:rPr>
        <w:t>1</w:t>
      </w:r>
      <w:r>
        <w:rPr>
          <w:rFonts w:hint="eastAsia" w:ascii="宋体" w:hAnsi="宋体" w:cs="宋体"/>
          <w:color w:val="auto"/>
          <w:szCs w:val="21"/>
          <w:lang w:eastAsia="zh-CN"/>
        </w:rPr>
        <w:t>7</w:t>
      </w:r>
      <w:r>
        <w:rPr>
          <w:rFonts w:hint="eastAsia" w:ascii="宋体" w:hAnsi="宋体" w:cs="宋体"/>
          <w:color w:val="auto"/>
          <w:szCs w:val="21"/>
        </w:rPr>
        <w:t>.3</w:t>
      </w:r>
      <w:r>
        <w:rPr>
          <w:rFonts w:hint="eastAsia" w:ascii="宋体" w:hAnsi="宋体" w:cs="宋体"/>
          <w:color w:val="auto"/>
          <w:szCs w:val="21"/>
          <w:lang w:eastAsia="zh-CN"/>
        </w:rPr>
        <w:t>投标人</w:t>
      </w:r>
      <w:r>
        <w:rPr>
          <w:rFonts w:hint="eastAsia" w:ascii="宋体" w:hAnsi="宋体" w:cs="宋体"/>
          <w:color w:val="auto"/>
          <w:szCs w:val="21"/>
        </w:rPr>
        <w:t>应符合招标文件</w:t>
      </w:r>
      <w:r>
        <w:rPr>
          <w:rFonts w:hint="eastAsia" w:ascii="宋体" w:hAnsi="宋体" w:cs="宋体"/>
          <w:color w:val="auto"/>
          <w:szCs w:val="21"/>
          <w:lang w:eastAsia="zh-CN"/>
        </w:rPr>
        <w:t>第一部分</w:t>
      </w:r>
      <w:r>
        <w:rPr>
          <w:rFonts w:hint="eastAsia" w:ascii="宋体" w:hAnsi="宋体" w:cs="宋体"/>
          <w:color w:val="auto"/>
          <w:szCs w:val="21"/>
        </w:rPr>
        <w:t>中规定的资格标准。</w:t>
      </w:r>
    </w:p>
    <w:p>
      <w:pPr>
        <w:pStyle w:val="4"/>
        <w:rPr>
          <w:rFonts w:hint="eastAsia" w:ascii="宋体" w:hAnsi="宋体" w:cs="宋体"/>
          <w:color w:val="auto"/>
          <w:szCs w:val="21"/>
        </w:rPr>
      </w:pPr>
      <w:r>
        <w:rPr>
          <w:rFonts w:hint="eastAsia" w:ascii="宋体" w:hAnsi="宋体" w:eastAsia="宋体" w:cs="宋体"/>
          <w:b/>
          <w:color w:val="auto"/>
          <w:sz w:val="21"/>
          <w:szCs w:val="21"/>
        </w:rPr>
        <w:t>1</w:t>
      </w:r>
      <w:r>
        <w:rPr>
          <w:rFonts w:hint="eastAsia" w:ascii="宋体" w:hAnsi="宋体" w:eastAsia="宋体" w:cs="宋体"/>
          <w:b/>
          <w:color w:val="auto"/>
          <w:sz w:val="21"/>
          <w:szCs w:val="21"/>
          <w:lang w:eastAsia="zh-CN"/>
        </w:rPr>
        <w:t>8</w:t>
      </w:r>
      <w:r>
        <w:rPr>
          <w:rFonts w:hint="eastAsia" w:ascii="宋体" w:hAnsi="宋体" w:eastAsia="宋体" w:cs="宋体"/>
          <w:b/>
          <w:color w:val="auto"/>
          <w:sz w:val="21"/>
          <w:szCs w:val="21"/>
        </w:rPr>
        <w:t>、投标保证金</w:t>
      </w:r>
    </w:p>
    <w:p>
      <w:pPr>
        <w:spacing w:line="360" w:lineRule="auto"/>
        <w:rPr>
          <w:rFonts w:hint="default" w:ascii="宋体" w:hAnsi="宋体" w:eastAsia="宋体" w:cs="宋体"/>
          <w:b w:val="0"/>
          <w:bCs/>
          <w:color w:val="auto"/>
          <w:szCs w:val="21"/>
          <w:lang w:val="en-US" w:eastAsia="zh-CN"/>
        </w:rPr>
      </w:pPr>
      <w:r>
        <w:rPr>
          <w:rFonts w:hint="eastAsia" w:ascii="宋体" w:hAnsi="宋体" w:cs="宋体"/>
          <w:b w:val="0"/>
          <w:bCs/>
          <w:color w:val="auto"/>
          <w:szCs w:val="21"/>
          <w:lang w:val="en-US" w:eastAsia="zh-CN"/>
        </w:rPr>
        <w:t>本项目不设投标保证金。</w:t>
      </w:r>
    </w:p>
    <w:p>
      <w:pPr>
        <w:pStyle w:val="4"/>
        <w:ind w:left="-97" w:hanging="266"/>
        <w:rPr>
          <w:rFonts w:hint="eastAsia" w:ascii="宋体" w:hAnsi="宋体" w:cs="宋体"/>
          <w:color w:val="auto"/>
          <w:szCs w:val="21"/>
        </w:rPr>
      </w:pPr>
      <w:r>
        <w:rPr>
          <w:rFonts w:hint="eastAsia" w:ascii="宋体" w:hAnsi="宋体" w:eastAsia="宋体" w:cs="宋体"/>
          <w:b/>
          <w:color w:val="auto"/>
          <w:sz w:val="21"/>
          <w:szCs w:val="21"/>
        </w:rPr>
        <w:t>1</w:t>
      </w:r>
      <w:r>
        <w:rPr>
          <w:rFonts w:hint="eastAsia" w:ascii="宋体" w:hAnsi="宋体" w:eastAsia="宋体" w:cs="宋体"/>
          <w:b/>
          <w:color w:val="auto"/>
          <w:sz w:val="21"/>
          <w:szCs w:val="21"/>
          <w:lang w:eastAsia="zh-CN"/>
        </w:rPr>
        <w:t>9</w:t>
      </w:r>
      <w:r>
        <w:rPr>
          <w:rFonts w:hint="eastAsia" w:ascii="宋体" w:hAnsi="宋体" w:eastAsia="宋体" w:cs="宋体"/>
          <w:b/>
          <w:color w:val="auto"/>
          <w:sz w:val="21"/>
          <w:szCs w:val="21"/>
        </w:rPr>
        <w:t>、投标有效期</w:t>
      </w:r>
    </w:p>
    <w:p>
      <w:pPr>
        <w:spacing w:line="360" w:lineRule="auto"/>
        <w:rPr>
          <w:rFonts w:hint="eastAsia" w:ascii="宋体" w:hAnsi="宋体" w:cs="宋体"/>
          <w:b/>
          <w:color w:val="auto"/>
          <w:szCs w:val="21"/>
        </w:rPr>
      </w:pPr>
      <w:r>
        <w:rPr>
          <w:rFonts w:hint="eastAsia" w:ascii="宋体" w:hAnsi="宋体" w:cs="宋体"/>
          <w:color w:val="auto"/>
          <w:szCs w:val="21"/>
        </w:rPr>
        <w:t>1</w:t>
      </w:r>
      <w:r>
        <w:rPr>
          <w:rFonts w:hint="eastAsia" w:ascii="宋体" w:hAnsi="宋体" w:cs="宋体"/>
          <w:color w:val="auto"/>
          <w:szCs w:val="21"/>
          <w:lang w:eastAsia="zh-CN"/>
        </w:rPr>
        <w:t>9</w:t>
      </w:r>
      <w:r>
        <w:rPr>
          <w:rFonts w:hint="eastAsia" w:ascii="宋体" w:hAnsi="宋体" w:cs="宋体"/>
          <w:color w:val="auto"/>
          <w:szCs w:val="21"/>
        </w:rPr>
        <w:t>.1投标应在本招标文件规定的开标日后</w:t>
      </w:r>
      <w:r>
        <w:rPr>
          <w:rFonts w:hint="eastAsia" w:ascii="宋体" w:hAnsi="宋体" w:cs="宋体"/>
          <w:b/>
          <w:color w:val="auto"/>
          <w:szCs w:val="21"/>
        </w:rPr>
        <w:t>90</w:t>
      </w:r>
      <w:r>
        <w:rPr>
          <w:rFonts w:hint="eastAsia" w:ascii="宋体" w:hAnsi="宋体" w:cs="宋体"/>
          <w:color w:val="auto"/>
          <w:szCs w:val="21"/>
        </w:rPr>
        <w:t>个日历日内保持有效。特殊情况下，在原投标有效期截止之前，采购代理机构可要求</w:t>
      </w:r>
      <w:r>
        <w:rPr>
          <w:rFonts w:hint="eastAsia" w:ascii="宋体" w:hAnsi="宋体" w:cs="宋体"/>
          <w:color w:val="auto"/>
          <w:szCs w:val="21"/>
          <w:lang w:eastAsia="zh-CN"/>
        </w:rPr>
        <w:t>投标人</w:t>
      </w:r>
      <w:r>
        <w:rPr>
          <w:rFonts w:hint="eastAsia" w:ascii="宋体" w:hAnsi="宋体" w:cs="宋体"/>
          <w:color w:val="auto"/>
          <w:szCs w:val="21"/>
        </w:rPr>
        <w:t>同意延长投标有效期。这种要求与答复均应以书面形式提交。</w:t>
      </w:r>
      <w:r>
        <w:rPr>
          <w:rFonts w:hint="eastAsia" w:ascii="宋体" w:hAnsi="宋体" w:cs="宋体"/>
          <w:color w:val="auto"/>
          <w:szCs w:val="21"/>
          <w:lang w:eastAsia="zh-CN"/>
        </w:rPr>
        <w:t>投标人</w:t>
      </w:r>
      <w:r>
        <w:rPr>
          <w:rFonts w:hint="eastAsia" w:ascii="宋体" w:hAnsi="宋体" w:cs="宋体"/>
          <w:color w:val="auto"/>
          <w:szCs w:val="21"/>
        </w:rPr>
        <w:t>可拒绝采购代理机构的这种要求，其投标保证金将不会被没收。接受延长投标有效期的</w:t>
      </w:r>
      <w:r>
        <w:rPr>
          <w:rFonts w:hint="eastAsia" w:ascii="宋体" w:hAnsi="宋体" w:cs="宋体"/>
          <w:color w:val="auto"/>
          <w:szCs w:val="21"/>
          <w:lang w:eastAsia="zh-CN"/>
        </w:rPr>
        <w:t>投标人</w:t>
      </w:r>
      <w:r>
        <w:rPr>
          <w:rFonts w:hint="eastAsia" w:ascii="宋体" w:hAnsi="宋体" w:cs="宋体"/>
          <w:color w:val="auto"/>
          <w:szCs w:val="21"/>
        </w:rPr>
        <w:t>将不会被要求和允许修正其投标，而只会被要求相应地延长其投标保证金的有效期。</w:t>
      </w:r>
    </w:p>
    <w:p>
      <w:pPr>
        <w:pStyle w:val="4"/>
        <w:rPr>
          <w:rFonts w:hint="eastAsia" w:ascii="宋体" w:hAnsi="宋体" w:cs="宋体"/>
          <w:color w:val="auto"/>
          <w:szCs w:val="21"/>
        </w:rPr>
      </w:pPr>
      <w:r>
        <w:rPr>
          <w:rFonts w:hint="eastAsia" w:ascii="宋体" w:hAnsi="宋体" w:eastAsia="宋体" w:cs="宋体"/>
          <w:b/>
          <w:color w:val="auto"/>
          <w:sz w:val="21"/>
          <w:szCs w:val="21"/>
          <w:lang w:eastAsia="zh-CN"/>
        </w:rPr>
        <w:t>20</w:t>
      </w:r>
      <w:r>
        <w:rPr>
          <w:rFonts w:hint="eastAsia" w:ascii="宋体" w:hAnsi="宋体" w:eastAsia="宋体" w:cs="宋体"/>
          <w:b/>
          <w:color w:val="auto"/>
          <w:sz w:val="21"/>
          <w:szCs w:val="21"/>
        </w:rPr>
        <w:t>、</w:t>
      </w:r>
      <w:r>
        <w:rPr>
          <w:rFonts w:ascii="宋体" w:hAnsi="宋体" w:eastAsia="宋体" w:cs="宋体"/>
          <w:b/>
          <w:bCs/>
          <w:color w:val="auto"/>
          <w:sz w:val="21"/>
          <w:szCs w:val="21"/>
        </w:rPr>
        <w:t>电子投标文件编制注意事项</w:t>
      </w:r>
      <w:r>
        <w:rPr>
          <w:rFonts w:hint="eastAsia" w:ascii="宋体" w:hAnsi="宋体" w:eastAsia="宋体" w:cs="宋体"/>
          <w:b/>
          <w:bCs/>
          <w:color w:val="auto"/>
          <w:sz w:val="21"/>
          <w:szCs w:val="21"/>
          <w:lang w:eastAsia="zh-CN"/>
        </w:rPr>
        <w:t>及要求</w:t>
      </w:r>
    </w:p>
    <w:p>
      <w:pPr>
        <w:spacing w:line="360" w:lineRule="auto"/>
        <w:rPr>
          <w:rFonts w:hint="eastAsia" w:ascii="宋体" w:hAnsi="宋体" w:cs="宋体"/>
          <w:color w:val="auto"/>
          <w:szCs w:val="21"/>
        </w:rPr>
      </w:pPr>
      <w:r>
        <w:rPr>
          <w:rFonts w:hint="eastAsia" w:ascii="宋体" w:hAnsi="宋体" w:cs="宋体"/>
          <w:color w:val="auto"/>
          <w:szCs w:val="21"/>
          <w:lang w:eastAsia="zh-CN"/>
        </w:rPr>
        <w:t>20.1</w:t>
      </w:r>
      <w:r>
        <w:rPr>
          <w:rFonts w:hint="eastAsia" w:ascii="宋体" w:hAnsi="宋体" w:cs="宋体"/>
          <w:color w:val="auto"/>
          <w:szCs w:val="21"/>
        </w:rPr>
        <w:t>投标文件中，除规定采用交易系统中企业信息数据库登记的信息外，其他内容均以电子文件编制，其格式要求详见“投标文件格式”。如因未按要求编制导致系统无法检索、读取相关信息，其后果由投标人承担。</w:t>
      </w:r>
    </w:p>
    <w:p>
      <w:pPr>
        <w:spacing w:line="360" w:lineRule="auto"/>
        <w:rPr>
          <w:rFonts w:hint="eastAsia" w:ascii="宋体" w:hAnsi="宋体" w:cs="宋体"/>
          <w:color w:val="auto"/>
          <w:szCs w:val="21"/>
        </w:rPr>
      </w:pPr>
      <w:r>
        <w:rPr>
          <w:rFonts w:hint="eastAsia" w:ascii="宋体" w:hAnsi="宋体" w:cs="宋体"/>
          <w:color w:val="auto"/>
          <w:szCs w:val="21"/>
          <w:lang w:eastAsia="zh-CN"/>
        </w:rPr>
        <w:t>20.2</w:t>
      </w:r>
      <w:r>
        <w:rPr>
          <w:rFonts w:hint="eastAsia" w:ascii="宋体" w:hAnsi="宋体" w:cs="宋体"/>
          <w:color w:val="auto"/>
          <w:szCs w:val="21"/>
        </w:rPr>
        <w:t>投标人应及时维护、更新交易平台采购供应商诚信库的相关信息及资料，确保其真实性、有效性。因投标人未及时维护、更新数据库内信息造成的后果，由投标人自行承担。</w:t>
      </w:r>
    </w:p>
    <w:p>
      <w:pPr>
        <w:spacing w:line="360" w:lineRule="auto"/>
        <w:rPr>
          <w:rFonts w:hint="eastAsia" w:ascii="宋体" w:hAnsi="宋体" w:cs="宋体"/>
          <w:color w:val="auto"/>
          <w:szCs w:val="21"/>
        </w:rPr>
      </w:pPr>
      <w:r>
        <w:rPr>
          <w:rFonts w:hint="eastAsia" w:ascii="宋体" w:hAnsi="宋体" w:cs="宋体"/>
          <w:color w:val="auto"/>
          <w:szCs w:val="21"/>
          <w:lang w:eastAsia="zh-CN"/>
        </w:rPr>
        <w:t>20.3</w:t>
      </w:r>
      <w:r>
        <w:rPr>
          <w:rFonts w:hint="eastAsia" w:ascii="宋体" w:hAnsi="宋体" w:cs="宋体"/>
          <w:color w:val="auto"/>
          <w:szCs w:val="21"/>
        </w:rPr>
        <w:t>投标人应按招标文件要求制作投标文件，并对投标文件进行盖章（电子签章）。电子投标文件必须有数字证书签名方为合法的投标文件。</w:t>
      </w:r>
    </w:p>
    <w:p>
      <w:pPr>
        <w:spacing w:line="360" w:lineRule="auto"/>
        <w:rPr>
          <w:rFonts w:hint="eastAsia" w:ascii="宋体" w:hAnsi="宋体" w:cs="宋体"/>
          <w:color w:val="auto"/>
          <w:szCs w:val="21"/>
        </w:rPr>
      </w:pPr>
      <w:r>
        <w:rPr>
          <w:rFonts w:hint="eastAsia" w:ascii="宋体" w:hAnsi="宋体" w:cs="宋体"/>
          <w:color w:val="auto"/>
          <w:szCs w:val="21"/>
          <w:lang w:eastAsia="zh-CN"/>
        </w:rPr>
        <w:t>20.4</w:t>
      </w:r>
      <w:r>
        <w:rPr>
          <w:rFonts w:hint="eastAsia" w:ascii="宋体" w:hAnsi="宋体" w:cs="宋体"/>
          <w:color w:val="auto"/>
          <w:szCs w:val="21"/>
        </w:rPr>
        <w:t>投标文件中所引用的顺序和编号应与招标文件的要求相一致。投标人在具体的投标内容中应逐条进行回应，可以增加说明或描述性文字。投标文件对招标文件未提出异议的条款，均被视为接受和同意。</w:t>
      </w:r>
    </w:p>
    <w:p>
      <w:pPr>
        <w:spacing w:line="360" w:lineRule="auto"/>
        <w:rPr>
          <w:rFonts w:hint="eastAsia" w:ascii="宋体" w:hAnsi="宋体" w:cs="宋体"/>
          <w:color w:val="auto"/>
          <w:szCs w:val="21"/>
        </w:rPr>
      </w:pPr>
      <w:r>
        <w:rPr>
          <w:rFonts w:hint="eastAsia" w:ascii="宋体" w:hAnsi="宋体" w:cs="宋体"/>
          <w:color w:val="auto"/>
          <w:szCs w:val="21"/>
          <w:lang w:eastAsia="zh-CN"/>
        </w:rPr>
        <w:t>20.5</w:t>
      </w:r>
      <w:r>
        <w:rPr>
          <w:rFonts w:hint="eastAsia" w:ascii="宋体" w:hAnsi="宋体" w:cs="宋体"/>
          <w:color w:val="auto"/>
          <w:szCs w:val="21"/>
        </w:rPr>
        <w:t>招标文件中所有带“★”符号的条款（如有）是重要的商务要求或关键技术要求与参数，投标人必须予以响应。否则，将视投标人没有响应和不接受该条款，其经济标投标文件将不能通过符合性审查而被认定为无效投标。</w:t>
      </w:r>
    </w:p>
    <w:p>
      <w:pPr>
        <w:rPr>
          <w:rFonts w:hint="eastAsia" w:ascii="宋体" w:hAnsi="宋体" w:cs="宋体"/>
          <w:color w:val="auto"/>
        </w:rPr>
      </w:pPr>
    </w:p>
    <w:p>
      <w:pPr>
        <w:pStyle w:val="3"/>
        <w:ind w:left="0" w:firstLine="0"/>
        <w:rPr>
          <w:rFonts w:hint="eastAsia" w:ascii="宋体" w:hAnsi="宋体" w:eastAsia="宋体" w:cs="宋体"/>
          <w:color w:val="auto"/>
          <w:sz w:val="21"/>
          <w:szCs w:val="21"/>
        </w:rPr>
      </w:pPr>
      <w:r>
        <w:rPr>
          <w:rFonts w:hint="eastAsia" w:ascii="宋体" w:hAnsi="宋体" w:eastAsia="宋体" w:cs="宋体"/>
          <w:color w:val="auto"/>
          <w:lang w:eastAsia="zh-CN"/>
        </w:rPr>
        <w:t>（</w:t>
      </w:r>
      <w:r>
        <w:rPr>
          <w:rFonts w:hint="eastAsia" w:ascii="宋体" w:hAnsi="宋体" w:eastAsia="宋体" w:cs="宋体"/>
          <w:color w:val="auto"/>
          <w:lang w:val="en-US" w:eastAsia="zh-CN"/>
        </w:rPr>
        <w:t>四</w:t>
      </w:r>
      <w:r>
        <w:rPr>
          <w:rFonts w:hint="eastAsia" w:ascii="宋体" w:hAnsi="宋体" w:eastAsia="宋体" w:cs="宋体"/>
          <w:color w:val="auto"/>
          <w:lang w:eastAsia="zh-CN"/>
        </w:rPr>
        <w:t>）</w:t>
      </w:r>
      <w:r>
        <w:rPr>
          <w:rFonts w:hint="eastAsia" w:ascii="宋体" w:hAnsi="宋体" w:eastAsia="宋体" w:cs="宋体"/>
          <w:color w:val="auto"/>
        </w:rPr>
        <w:t>投标文件的递交</w:t>
      </w:r>
    </w:p>
    <w:p>
      <w:pPr>
        <w:pStyle w:val="4"/>
        <w:rPr>
          <w:rFonts w:hint="eastAsia" w:ascii="宋体" w:hAnsi="宋体" w:eastAsia="宋体" w:cs="宋体"/>
          <w:color w:val="auto"/>
          <w:szCs w:val="21"/>
          <w:lang w:eastAsia="zh-CN"/>
        </w:rPr>
      </w:pPr>
      <w:r>
        <w:rPr>
          <w:rFonts w:hint="eastAsia" w:ascii="宋体" w:hAnsi="宋体" w:eastAsia="宋体" w:cs="宋体"/>
          <w:b/>
          <w:color w:val="auto"/>
          <w:sz w:val="21"/>
          <w:szCs w:val="21"/>
          <w:lang w:eastAsia="zh-CN"/>
        </w:rPr>
        <w:t>21</w:t>
      </w:r>
      <w:r>
        <w:rPr>
          <w:rFonts w:hint="eastAsia" w:ascii="宋体" w:hAnsi="宋体" w:eastAsia="宋体" w:cs="宋体"/>
          <w:b/>
          <w:color w:val="auto"/>
          <w:sz w:val="21"/>
          <w:szCs w:val="21"/>
        </w:rPr>
        <w:t>、</w:t>
      </w:r>
      <w:r>
        <w:rPr>
          <w:rFonts w:hint="eastAsia" w:ascii="宋体" w:hAnsi="宋体" w:eastAsia="宋体" w:cs="宋体"/>
          <w:b/>
          <w:color w:val="auto"/>
          <w:sz w:val="21"/>
          <w:szCs w:val="21"/>
          <w:lang w:eastAsia="zh-CN"/>
        </w:rPr>
        <w:t>电子</w:t>
      </w:r>
      <w:r>
        <w:rPr>
          <w:rFonts w:hint="eastAsia" w:ascii="宋体" w:hAnsi="宋体" w:eastAsia="宋体" w:cs="宋体"/>
          <w:b/>
          <w:color w:val="auto"/>
          <w:sz w:val="21"/>
          <w:szCs w:val="21"/>
        </w:rPr>
        <w:t>投标文件的递交操作注意事项</w:t>
      </w:r>
    </w:p>
    <w:p>
      <w:pPr>
        <w:widowControl/>
        <w:spacing w:line="360" w:lineRule="auto"/>
        <w:jc w:val="left"/>
        <w:rPr>
          <w:rFonts w:hint="eastAsia" w:ascii="宋体" w:hAnsi="宋体" w:cs="宋体"/>
          <w:color w:val="auto"/>
          <w:szCs w:val="21"/>
        </w:rPr>
      </w:pPr>
      <w:r>
        <w:rPr>
          <w:rFonts w:hint="eastAsia" w:ascii="宋体" w:hAnsi="宋体" w:cs="宋体"/>
          <w:color w:val="auto"/>
          <w:szCs w:val="21"/>
          <w:lang w:eastAsia="zh-CN"/>
        </w:rPr>
        <w:t>21</w:t>
      </w:r>
      <w:r>
        <w:rPr>
          <w:rFonts w:hint="eastAsia" w:ascii="宋体" w:hAnsi="宋体" w:cs="宋体"/>
          <w:color w:val="auto"/>
          <w:szCs w:val="21"/>
        </w:rPr>
        <w:t>.1</w:t>
      </w:r>
      <w:r>
        <w:rPr>
          <w:rFonts w:hint="eastAsia" w:ascii="宋体" w:hAnsi="宋体" w:cs="宋体"/>
          <w:color w:val="auto"/>
          <w:szCs w:val="21"/>
          <w:lang w:eastAsia="zh-CN" w:bidi="ar"/>
        </w:rPr>
        <w:t xml:space="preserve">投标人须在提交投标文件截止时间前，使用制作该投标文件的 CA 数字证书通过交易系统成功完整上传加密的电子投标文件。上传后必须打印回执单作为网上递交投标文件的凭证。为防止网络阻塞，建议投标人在规定时间内尽早上传电子投标文件。 </w:t>
      </w:r>
    </w:p>
    <w:p>
      <w:pPr>
        <w:widowControl/>
        <w:spacing w:line="360" w:lineRule="auto"/>
        <w:jc w:val="left"/>
        <w:rPr>
          <w:rFonts w:hint="eastAsia" w:ascii="宋体" w:hAnsi="宋体" w:cs="宋体"/>
          <w:color w:val="auto"/>
          <w:szCs w:val="21"/>
        </w:rPr>
      </w:pPr>
      <w:r>
        <w:rPr>
          <w:rFonts w:hint="eastAsia" w:ascii="宋体" w:hAnsi="宋体" w:cs="宋体"/>
          <w:color w:val="auto"/>
          <w:szCs w:val="21"/>
          <w:lang w:eastAsia="zh-CN" w:bidi="ar"/>
        </w:rPr>
        <w:t xml:space="preserve">21.2交易系统接入国家授时中心发布的标准时间，并为网上采购活动提供时间戳。投标人应当合理安排投标文件的提交时间，确保在招标文件载明的投标截止时间前完成递交，递交时间以交易系统成功接收的时间为准。 </w:t>
      </w:r>
    </w:p>
    <w:p>
      <w:pPr>
        <w:widowControl/>
        <w:spacing w:line="360" w:lineRule="auto"/>
        <w:jc w:val="left"/>
        <w:rPr>
          <w:rFonts w:hint="eastAsia" w:ascii="宋体" w:hAnsi="宋体" w:cs="宋体"/>
          <w:color w:val="auto"/>
          <w:szCs w:val="21"/>
        </w:rPr>
      </w:pPr>
      <w:r>
        <w:rPr>
          <w:rFonts w:hint="eastAsia" w:ascii="宋体" w:hAnsi="宋体" w:cs="宋体"/>
          <w:color w:val="auto"/>
          <w:szCs w:val="21"/>
          <w:lang w:eastAsia="zh-CN" w:bidi="ar"/>
        </w:rPr>
        <w:t>21.3 交易中心和采购代理机构对因不可抗力事件造成的投标文件的损坏、丢失的，不承担责任。</w:t>
      </w:r>
    </w:p>
    <w:p>
      <w:pPr>
        <w:pStyle w:val="4"/>
        <w:rPr>
          <w:rFonts w:ascii="宋体" w:hAnsi="宋体" w:eastAsia="宋体" w:cs="宋体"/>
          <w:color w:val="auto"/>
          <w:szCs w:val="21"/>
          <w:lang w:eastAsia="zh-CN"/>
        </w:rPr>
      </w:pPr>
      <w:r>
        <w:rPr>
          <w:rFonts w:hint="eastAsia" w:ascii="宋体" w:hAnsi="宋体" w:eastAsia="宋体" w:cs="宋体"/>
          <w:b/>
          <w:color w:val="auto"/>
          <w:sz w:val="21"/>
          <w:szCs w:val="21"/>
        </w:rPr>
        <w:t>2</w:t>
      </w:r>
      <w:r>
        <w:rPr>
          <w:rFonts w:hint="eastAsia" w:ascii="宋体" w:hAnsi="宋体" w:eastAsia="宋体" w:cs="宋体"/>
          <w:b/>
          <w:color w:val="auto"/>
          <w:sz w:val="21"/>
          <w:szCs w:val="21"/>
          <w:lang w:eastAsia="zh-CN"/>
        </w:rPr>
        <w:t>2</w:t>
      </w:r>
      <w:r>
        <w:rPr>
          <w:rFonts w:hint="eastAsia" w:ascii="宋体" w:hAnsi="宋体" w:eastAsia="宋体" w:cs="宋体"/>
          <w:b/>
          <w:color w:val="auto"/>
          <w:sz w:val="21"/>
          <w:szCs w:val="21"/>
        </w:rPr>
        <w:t>、投标文件的修改</w:t>
      </w:r>
      <w:r>
        <w:rPr>
          <w:rFonts w:hint="eastAsia" w:ascii="宋体" w:hAnsi="宋体" w:eastAsia="宋体" w:cs="宋体"/>
          <w:b/>
          <w:color w:val="auto"/>
          <w:sz w:val="21"/>
          <w:szCs w:val="21"/>
          <w:lang w:eastAsia="zh-CN"/>
        </w:rPr>
        <w:t>、</w:t>
      </w:r>
      <w:r>
        <w:rPr>
          <w:rFonts w:hint="eastAsia" w:ascii="宋体" w:hAnsi="宋体" w:eastAsia="宋体" w:cs="宋体"/>
          <w:b/>
          <w:color w:val="auto"/>
          <w:sz w:val="21"/>
          <w:szCs w:val="21"/>
        </w:rPr>
        <w:t>撤回</w:t>
      </w:r>
      <w:r>
        <w:rPr>
          <w:rFonts w:hint="eastAsia" w:ascii="宋体" w:hAnsi="宋体" w:eastAsia="宋体" w:cs="宋体"/>
          <w:b/>
          <w:color w:val="auto"/>
          <w:sz w:val="21"/>
          <w:szCs w:val="21"/>
          <w:lang w:eastAsia="zh-CN"/>
        </w:rPr>
        <w:t>和撤销</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22.1 投标人在招标文件载明的投标截止时间前，可以补充、修改或者撤回已提交的投标文件。投标文件以投标截止时间前最后一次上传至交易系统的投标文件为准。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22.2 投标人应保证在交易系统上传的电子投标文件不得超过500MB,否则出现因投标文件过大而造成不能正常开标、评标等情况的，其后果由投标人自行承担。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22.3 投标人在交易系统上传电子投标文件的同时，应保证投标文件中不含病毒或者其他恶意程序。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22.4 下列情形视为投标文件未送达：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（1）至递交投标文件截止时，投标文件未完整上传并保存的；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（2）投标文件损坏或格式不正确的；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（3）未使用最新发布的招标文件制作投标文件的。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22.5 拒绝接受参与投标的情形：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（1）以邮寄、电报、电话传真形式参与投标；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（2）未按要求在开标截止时间前成功上传电子投标文件的；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（3）投标文件未按要求进行数字证书加密或电子签章，或电子签名或电子签章不完整的；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（4）电子投标文件中含有病毒或者其他恶意程序的；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（5）迟于投标截止时间递交的投标文件。对于迟交的投标文件，采购代理机构将拒收或退回在其规定的投标截止时点之后收到的任何投标文件。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22.6 列入不良行为记录或违规处罚的适用情形：</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投标人上传的电子投标文件中包含病毒或者其他恶意程序对交易系统进行破坏的，向采购人上级管理部门报备并由管理部门依法依规对其进行相应的处罚。</w:t>
      </w:r>
    </w:p>
    <w:p>
      <w:pPr>
        <w:rPr>
          <w:rFonts w:hint="eastAsia" w:ascii="宋体" w:hAnsi="宋体" w:cs="宋体"/>
          <w:color w:val="auto"/>
        </w:rPr>
      </w:pPr>
    </w:p>
    <w:p>
      <w:pPr>
        <w:pStyle w:val="3"/>
        <w:ind w:left="0" w:firstLine="0"/>
        <w:rPr>
          <w:rFonts w:ascii="宋体" w:hAnsi="宋体" w:eastAsia="宋体" w:cs="宋体"/>
          <w:color w:val="auto"/>
          <w:sz w:val="21"/>
          <w:szCs w:val="21"/>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五</w:t>
      </w:r>
      <w:r>
        <w:rPr>
          <w:rFonts w:hint="eastAsia" w:ascii="宋体" w:hAnsi="宋体" w:eastAsia="宋体" w:cs="宋体"/>
          <w:color w:val="auto"/>
          <w:lang w:eastAsia="zh-CN"/>
        </w:rPr>
        <w:t>）</w:t>
      </w:r>
      <w:r>
        <w:rPr>
          <w:rFonts w:hint="eastAsia" w:ascii="宋体" w:hAnsi="宋体" w:eastAsia="宋体" w:cs="宋体"/>
          <w:color w:val="auto"/>
        </w:rPr>
        <w:t>开标</w:t>
      </w:r>
      <w:r>
        <w:rPr>
          <w:rFonts w:hint="eastAsia" w:ascii="宋体" w:hAnsi="宋体" w:eastAsia="宋体" w:cs="宋体"/>
          <w:color w:val="auto"/>
          <w:lang w:eastAsia="zh-CN"/>
        </w:rPr>
        <w:t>、</w:t>
      </w:r>
      <w:r>
        <w:rPr>
          <w:rFonts w:hint="eastAsia" w:ascii="宋体" w:hAnsi="宋体" w:eastAsia="宋体" w:cs="宋体"/>
          <w:color w:val="auto"/>
        </w:rPr>
        <w:t>评标</w:t>
      </w:r>
      <w:r>
        <w:rPr>
          <w:rFonts w:hint="eastAsia" w:ascii="宋体" w:hAnsi="宋体" w:eastAsia="宋体" w:cs="宋体"/>
          <w:color w:val="auto"/>
          <w:lang w:eastAsia="zh-CN"/>
        </w:rPr>
        <w:t>和定标</w:t>
      </w:r>
    </w:p>
    <w:p>
      <w:pPr>
        <w:pStyle w:val="4"/>
        <w:rPr>
          <w:rFonts w:hint="eastAsia" w:ascii="宋体" w:hAnsi="宋体" w:cs="宋体"/>
          <w:color w:val="auto"/>
          <w:szCs w:val="21"/>
        </w:rPr>
      </w:pPr>
      <w:r>
        <w:rPr>
          <w:rFonts w:hint="eastAsia" w:ascii="宋体" w:hAnsi="宋体" w:eastAsia="宋体" w:cs="宋体"/>
          <w:b/>
          <w:color w:val="auto"/>
          <w:sz w:val="21"/>
          <w:szCs w:val="21"/>
        </w:rPr>
        <w:t>2</w:t>
      </w:r>
      <w:r>
        <w:rPr>
          <w:rFonts w:hint="eastAsia" w:ascii="宋体" w:hAnsi="宋体" w:eastAsia="宋体" w:cs="宋体"/>
          <w:b/>
          <w:color w:val="auto"/>
          <w:sz w:val="21"/>
          <w:szCs w:val="21"/>
          <w:lang w:eastAsia="zh-CN"/>
        </w:rPr>
        <w:t>3</w:t>
      </w:r>
      <w:r>
        <w:rPr>
          <w:rFonts w:hint="eastAsia" w:ascii="宋体" w:hAnsi="宋体" w:eastAsia="宋体" w:cs="宋体"/>
          <w:b/>
          <w:color w:val="auto"/>
          <w:sz w:val="21"/>
          <w:szCs w:val="21"/>
        </w:rPr>
        <w:t>、开标</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23.1 采购代理机构按招标文件规定的时间和地点组织主持开标会，邀请投标人、采购人等有关代表参加。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23.2 投标文件解密时间为</w:t>
      </w:r>
      <w:r>
        <w:rPr>
          <w:rFonts w:hint="eastAsia" w:ascii="宋体" w:hAnsi="宋体" w:cs="宋体"/>
          <w:color w:val="auto"/>
          <w:szCs w:val="21"/>
        </w:rPr>
        <w:t>公布投标人名单后</w:t>
      </w:r>
      <w:r>
        <w:rPr>
          <w:rFonts w:hint="eastAsia" w:ascii="宋体" w:hAnsi="宋体" w:cs="宋体"/>
          <w:color w:val="auto"/>
          <w:szCs w:val="21"/>
          <w:lang w:eastAsia="zh-CN" w:bidi="ar"/>
        </w:rPr>
        <w:t xml:space="preserve">30分钟内。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23.3 投标人须在前款规定时间内，使用生成投标文件的CA数字证书对电子投标文件进行解密，逾期未解密或解密失败的投标文件将退回。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23.4 投标文件解密时间截止后，采购代理机构通过电子开标系统自动导入投标人已成功解密的投标文件，自动记录投标保证金交纳情况（如有），投标文件提交及解密情况。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23.5 如因投标人丢失、损坏CA数字证书</w:t>
      </w:r>
      <w:r>
        <w:rPr>
          <w:rFonts w:ascii="宋体" w:hAnsi="宋体" w:cs="宋体"/>
          <w:color w:val="auto"/>
          <w:spacing w:val="-2"/>
          <w:szCs w:val="21"/>
        </w:rPr>
        <w:t>、CA 数字证书已过有</w:t>
      </w:r>
      <w:r>
        <w:rPr>
          <w:rFonts w:ascii="宋体" w:hAnsi="宋体" w:cs="宋体"/>
          <w:color w:val="auto"/>
          <w:spacing w:val="-3"/>
          <w:szCs w:val="21"/>
        </w:rPr>
        <w:t>效期</w:t>
      </w:r>
      <w:r>
        <w:rPr>
          <w:rFonts w:hint="eastAsia" w:ascii="宋体" w:hAnsi="宋体" w:cs="宋体"/>
          <w:color w:val="auto"/>
          <w:szCs w:val="21"/>
          <w:lang w:eastAsia="zh-CN" w:bidi="ar"/>
        </w:rPr>
        <w:t xml:space="preserve">等自身原因造成投标文件不能在规定时间内成功解密的，其后果由投标人自行承担。因投标人原因造成投标文件无法导入或无法完整导入电子开标系统的，投标保证金未按要求交纳的（需交纳投标保证金项目），均作无效投标处理。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23.6 采购代理机构通过开标系统对投标人解密后的投标人名称、开标一览表内容、投标文件递交情况、投标保证金交纳情况（如有）和解密情况进行公布。开标结束后投标人可登录交易系统查看开标情况及《开标记录表》内容。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23.7 投标人代表对开标过程和开标记录有疑义，以及认为采购人、采购代理机构相关工作人员有需要回避的情形的，应当场提出询问或者回避申请。投标人未参加开标的，视同认可开标结果。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23.8 投标人所提交的投标文件完成解密后，无论其中标与否都不退还。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23.9 有下列情形之一的，导致系统无法正常运行，或者无法保证招投标过程的公平、公正和信息安全时，经采购人同意，应暂停或终止电子化采购活动：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（1）因互联网中断、停电、病毒入侵、不可抗力等非可控因素，导致交易系统不能正常运行的。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（2）服务器等硬件设备发生故障无法访问网站或无法使用交易系统的。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（3）交易系统软件或数据库出现错误，不能进行正常操作的。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（4）交易系统出现安全漏洞导致泄密的。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（5）有关法律、法规规定的其他情形。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若出现上述情形而又不能及时解决的，经采购人同意，采取以下处理办法：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（1）宣布项目暂停，并通知投标人，待交易系统或网络故障排除后，重新恢复暂停的项目。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（2）宣布终止该项目在网上采购系统中的运行程序，并通知采购人重新组织招标。</w:t>
      </w:r>
    </w:p>
    <w:p>
      <w:pPr>
        <w:pStyle w:val="4"/>
        <w:rPr>
          <w:rFonts w:hint="eastAsia" w:ascii="宋体" w:hAnsi="宋体" w:eastAsia="宋体" w:cs="宋体"/>
          <w:b/>
          <w:color w:val="auto"/>
          <w:sz w:val="21"/>
          <w:szCs w:val="21"/>
          <w:lang w:eastAsia="zh-CN" w:bidi="ar"/>
        </w:rPr>
      </w:pPr>
      <w:r>
        <w:rPr>
          <w:rFonts w:hint="eastAsia" w:ascii="宋体" w:hAnsi="宋体" w:eastAsia="宋体" w:cs="宋体"/>
          <w:b/>
          <w:color w:val="auto"/>
          <w:sz w:val="21"/>
          <w:szCs w:val="21"/>
          <w:lang w:eastAsia="zh-CN" w:bidi="ar"/>
        </w:rPr>
        <w:t>24、评标依据</w:t>
      </w:r>
    </w:p>
    <w:p>
      <w:pPr>
        <w:spacing w:line="360" w:lineRule="auto"/>
        <w:rPr>
          <w:rFonts w:hint="eastAsia" w:ascii="宋体" w:hAnsi="宋体" w:cs="宋体"/>
          <w:color w:val="auto"/>
          <w:szCs w:val="21"/>
        </w:rPr>
      </w:pPr>
      <w:r>
        <w:rPr>
          <w:rFonts w:hint="eastAsia" w:ascii="宋体" w:hAnsi="宋体" w:cs="宋体"/>
          <w:color w:val="auto"/>
          <w:szCs w:val="21"/>
          <w:lang w:eastAsia="zh-CN"/>
        </w:rPr>
        <w:t>24.1采购人、评标委员会判断投标文件的有效性、合格性和响应情况，仅依赖于投标人最基本的商业诚信和所递交投标文件的真实表述，不额外主动寻求外部证据，不受与本项目无直接关联的外部信息、传言而影响自身的专业判断。</w:t>
      </w:r>
    </w:p>
    <w:p>
      <w:pPr>
        <w:pStyle w:val="4"/>
        <w:rPr>
          <w:rFonts w:hint="eastAsia" w:ascii="宋体" w:hAnsi="宋体" w:eastAsia="宋体" w:cs="宋体"/>
          <w:b/>
          <w:color w:val="auto"/>
          <w:sz w:val="21"/>
          <w:szCs w:val="21"/>
          <w:lang w:eastAsia="zh-CN"/>
        </w:rPr>
      </w:pPr>
      <w:r>
        <w:rPr>
          <w:rFonts w:hint="eastAsia" w:ascii="宋体" w:hAnsi="宋体" w:eastAsia="宋体" w:cs="宋体"/>
          <w:b/>
          <w:color w:val="auto"/>
          <w:sz w:val="21"/>
          <w:szCs w:val="21"/>
          <w:lang w:eastAsia="zh-CN"/>
        </w:rPr>
        <w:t>25、评标委员会的组成及评审工作要求</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25.1 采购代理机构根据项目的特点和专业技术要求依法组建评标委员会。评标委员会由采购人代表和评审专家组成，其中专家成员在评标前从</w:t>
      </w:r>
      <w:r>
        <w:rPr>
          <w:rFonts w:ascii="宋体" w:hAnsi="宋体" w:cs="宋体"/>
          <w:color w:val="auto"/>
          <w:szCs w:val="21"/>
        </w:rPr>
        <w:t>关领域</w:t>
      </w:r>
      <w:r>
        <w:rPr>
          <w:rFonts w:hint="eastAsia" w:ascii="宋体" w:hAnsi="宋体" w:cs="宋体"/>
          <w:color w:val="auto"/>
          <w:szCs w:val="21"/>
          <w:lang w:eastAsia="zh-CN" w:bidi="ar"/>
        </w:rPr>
        <w:t xml:space="preserve">评审专家库中，通过随机方式抽取产生。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25.2 评标委员会应当遵守评审工作纪律和评审回避的相关规定。评审专家有下列情形之一的，受到邀请应主动提出回避，采购当事人也可以要求该评审专家回避：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（1）参加采购活动前3年内与投标人存在劳动关系；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（2）参加采购活动前3年内担任投标人的董事、监事；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（3）参加采购活动前3年内是投标人的控股股东或者实际控制人；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（4）与投标人的法定代表人或者负责人有夫妻、直系血亲、三代以内旁系血亲或者近姻亲关系；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（5）与投标人有其他可能影响政府采购活动公平、公正进行的关系；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（6）曾经参加过该采购项目的进口产品或招标文件、采购需求、采购方式的论证和咨询服务工作；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（7）法律、法规、规章规定应当回避以及其他可能影响公正评审的。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25.3 评标委员会将本着公平、公正、科学、择优的原则，严格按照法律法规和招标文件的要求推荐评审结果。评标中因评标委员会成员缺席、回避或者健康等特殊原因导致评标委员会组成不符合规定的，采购人或者采购代理机构应当依法补足后继续评标。被更换的评标委员会成员所作出的评标意见无效。无法及时补足评标委员会成员的，采购人或者采购代理机构应当停止评标活动，封存所有投标文件和开标、评标资料，依法重新</w:t>
      </w:r>
      <w:r>
        <w:rPr>
          <w:rFonts w:ascii="宋体" w:hAnsi="宋体" w:cs="宋体"/>
          <w:color w:val="auto"/>
          <w:spacing w:val="-1"/>
          <w:szCs w:val="21"/>
        </w:rPr>
        <w:t>组建评标委员会进行评标。原评标委员会所作出的评标意见无效。</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25.4 评审期间，采购人、评标委员会不得对招标文件中一些涉及竞争的公平、公正性重要内容（包括带“★”项）进行现场临时修改调整，也不得单独与投标人进行联系接触。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25.5 各方当事人、专家成员如对招标文件、投标文件及相关补充文件的理解存有歧义时，评标委员会可对这些文件或向有关方面进行查证了解质询，通过集体讨论或表决达成一致处理意见。任何形式的决定，须以合法公正和有利于项目的安全顺利实施为前提。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25.6 根据法律法规相关规定，评标委员会成员和与评标活动有关的人员不得泄露有关投标文件的评审和比较、中标候选投标人的推荐以及与评标有关的其他情况。</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25.7评标委员会成员对需要共同认定的事项存在争议的，应当按照少数服从多数的原则作出结论。持不同意见的评标委员会成员应当在评标报告上签署不同意见及理由，否则视为同意评标报告。</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25.8评标委员会只就投标文件中所载明的情况进行评审，严格按照招标文件规定的评标方法和评标标准进行评标，独立对每个有效投标人的投标文件进行评价、打分。</w:t>
      </w:r>
    </w:p>
    <w:p>
      <w:pPr>
        <w:pStyle w:val="4"/>
        <w:rPr>
          <w:rFonts w:hint="eastAsia" w:ascii="宋体" w:hAnsi="宋体" w:cs="宋体"/>
          <w:color w:val="auto"/>
          <w:szCs w:val="21"/>
        </w:rPr>
      </w:pPr>
      <w:r>
        <w:rPr>
          <w:rFonts w:hint="eastAsia" w:ascii="宋体" w:hAnsi="宋体" w:eastAsia="宋体" w:cs="宋体"/>
          <w:b/>
          <w:color w:val="auto"/>
          <w:sz w:val="21"/>
          <w:szCs w:val="21"/>
        </w:rPr>
        <w:t>2</w:t>
      </w:r>
      <w:r>
        <w:rPr>
          <w:rFonts w:hint="eastAsia" w:ascii="宋体" w:hAnsi="宋体" w:eastAsia="宋体" w:cs="宋体"/>
          <w:b/>
          <w:color w:val="auto"/>
          <w:sz w:val="21"/>
          <w:szCs w:val="21"/>
          <w:lang w:eastAsia="zh-CN"/>
        </w:rPr>
        <w:t>6</w:t>
      </w:r>
      <w:r>
        <w:rPr>
          <w:rFonts w:hint="eastAsia" w:ascii="宋体" w:hAnsi="宋体" w:eastAsia="宋体" w:cs="宋体"/>
          <w:b/>
          <w:color w:val="auto"/>
          <w:sz w:val="21"/>
          <w:szCs w:val="21"/>
        </w:rPr>
        <w:t>.</w:t>
      </w:r>
      <w:r>
        <w:rPr>
          <w:rFonts w:ascii="宋体" w:hAnsi="宋体" w:eastAsia="宋体" w:cs="宋体"/>
          <w:b/>
          <w:bCs/>
          <w:color w:val="auto"/>
          <w:spacing w:val="2"/>
          <w:sz w:val="21"/>
          <w:szCs w:val="21"/>
        </w:rPr>
        <w:t>评审流程与相关事项</w:t>
      </w:r>
    </w:p>
    <w:p>
      <w:pPr>
        <w:widowControl/>
        <w:spacing w:line="360" w:lineRule="auto"/>
        <w:jc w:val="left"/>
        <w:rPr>
          <w:rFonts w:ascii="宋体" w:hAnsi="宋体" w:cs="宋体"/>
          <w:color w:val="auto"/>
          <w:spacing w:val="-1"/>
          <w:szCs w:val="21"/>
          <w:lang w:eastAsia="zh-CN" w:bidi="ar"/>
        </w:rPr>
      </w:pPr>
      <w:r>
        <w:rPr>
          <w:rFonts w:ascii="宋体" w:hAnsi="宋体" w:cs="宋体"/>
          <w:color w:val="auto"/>
          <w:spacing w:val="-1"/>
          <w:szCs w:val="21"/>
          <w:lang w:eastAsia="zh-CN" w:bidi="ar"/>
        </w:rPr>
        <w:t>2</w:t>
      </w:r>
      <w:r>
        <w:rPr>
          <w:rFonts w:hint="eastAsia" w:ascii="宋体" w:hAnsi="宋体" w:cs="宋体"/>
          <w:color w:val="auto"/>
          <w:spacing w:val="-1"/>
          <w:szCs w:val="21"/>
          <w:lang w:eastAsia="zh-CN" w:bidi="ar"/>
        </w:rPr>
        <w:t>6</w:t>
      </w:r>
      <w:r>
        <w:rPr>
          <w:rFonts w:ascii="宋体" w:hAnsi="宋体" w:cs="宋体"/>
          <w:color w:val="auto"/>
          <w:spacing w:val="-1"/>
          <w:szCs w:val="21"/>
          <w:lang w:eastAsia="zh-CN" w:bidi="ar"/>
        </w:rPr>
        <w:t>.1 资格性审查</w:t>
      </w:r>
    </w:p>
    <w:p>
      <w:pPr>
        <w:spacing w:line="360" w:lineRule="auto"/>
        <w:rPr>
          <w:rFonts w:ascii="宋体" w:hAnsi="宋体" w:cs="宋体"/>
          <w:color w:val="auto"/>
          <w:spacing w:val="-1"/>
          <w:szCs w:val="21"/>
        </w:rPr>
      </w:pPr>
      <w:r>
        <w:rPr>
          <w:rFonts w:hint="eastAsia" w:ascii="宋体" w:hAnsi="宋体" w:cs="宋体"/>
          <w:color w:val="auto"/>
          <w:szCs w:val="21"/>
          <w:lang w:eastAsia="zh-CN"/>
        </w:rPr>
        <w:t>（1）</w:t>
      </w:r>
      <w:r>
        <w:rPr>
          <w:rFonts w:ascii="宋体" w:hAnsi="宋体" w:cs="宋体"/>
          <w:color w:val="auto"/>
          <w:spacing w:val="-1"/>
          <w:szCs w:val="21"/>
        </w:rPr>
        <w:t>公开招标采购项目开标结束后</w:t>
      </w:r>
      <w:r>
        <w:rPr>
          <w:rFonts w:ascii="宋体" w:hAnsi="宋体" w:cs="宋体"/>
          <w:color w:val="auto"/>
          <w:spacing w:val="-2"/>
          <w:szCs w:val="21"/>
        </w:rPr>
        <w:t>，采购人代表或采购代理机构依法对投标</w:t>
      </w:r>
      <w:r>
        <w:rPr>
          <w:rFonts w:ascii="宋体" w:hAnsi="宋体" w:cs="宋体"/>
          <w:color w:val="auto"/>
          <w:spacing w:val="1"/>
          <w:szCs w:val="21"/>
        </w:rPr>
        <w:t>人的资格进行审查。依据法律法规和招标文件的规定</w:t>
      </w:r>
      <w:r>
        <w:rPr>
          <w:rFonts w:ascii="宋体" w:hAnsi="宋体" w:cs="宋体"/>
          <w:color w:val="auto"/>
          <w:szCs w:val="21"/>
        </w:rPr>
        <w:t>，对照投标文件中资格证明等进行审查，以确定投标人是否符合投标资格，并向评标委员会提交资格</w:t>
      </w:r>
      <w:r>
        <w:rPr>
          <w:rFonts w:ascii="宋体" w:hAnsi="宋体" w:cs="宋体"/>
          <w:color w:val="auto"/>
          <w:spacing w:val="-1"/>
          <w:szCs w:val="21"/>
        </w:rPr>
        <w:t>性审查结论表。</w:t>
      </w:r>
    </w:p>
    <w:p>
      <w:pPr>
        <w:spacing w:line="360" w:lineRule="auto"/>
        <w:rPr>
          <w:rFonts w:ascii="宋体" w:hAnsi="宋体" w:cs="宋体"/>
          <w:color w:val="auto"/>
          <w:spacing w:val="-2"/>
          <w:szCs w:val="21"/>
        </w:rPr>
      </w:pPr>
      <w:r>
        <w:rPr>
          <w:rFonts w:hint="eastAsia" w:ascii="宋体" w:hAnsi="宋体" w:cs="宋体"/>
          <w:color w:val="auto"/>
          <w:spacing w:val="-1"/>
          <w:szCs w:val="21"/>
          <w:lang w:eastAsia="zh-CN"/>
        </w:rPr>
        <w:t>（2）</w:t>
      </w:r>
      <w:r>
        <w:rPr>
          <w:rFonts w:ascii="宋体" w:hAnsi="宋体" w:cs="宋体"/>
          <w:color w:val="auto"/>
          <w:spacing w:val="-1"/>
          <w:szCs w:val="21"/>
        </w:rPr>
        <w:t>通过资格审查不足3家的，不再进行评标，宣布废</w:t>
      </w:r>
      <w:r>
        <w:rPr>
          <w:rFonts w:ascii="宋体" w:hAnsi="宋体" w:cs="宋体"/>
          <w:color w:val="auto"/>
          <w:spacing w:val="-2"/>
          <w:szCs w:val="21"/>
        </w:rPr>
        <w:t>标。</w:t>
      </w:r>
    </w:p>
    <w:p>
      <w:pPr>
        <w:pStyle w:val="19"/>
        <w:keepLines/>
        <w:rPr>
          <w:rFonts w:hint="eastAsia" w:ascii="宋体" w:hAnsi="宋体" w:cs="宋体"/>
          <w:color w:val="auto"/>
          <w:spacing w:val="-1"/>
          <w:szCs w:val="21"/>
          <w:lang w:eastAsia="zh-CN"/>
        </w:rPr>
      </w:pPr>
      <w:r>
        <w:rPr>
          <w:rFonts w:ascii="宋体" w:hAnsi="宋体" w:cs="宋体"/>
          <w:color w:val="auto"/>
          <w:spacing w:val="-2"/>
          <w:szCs w:val="21"/>
          <w:lang w:eastAsia="zh-CN"/>
        </w:rPr>
        <w:br w:type="page"/>
      </w:r>
      <w:r>
        <w:rPr>
          <w:rFonts w:hint="eastAsia" w:ascii="宋体" w:hAnsi="宋体" w:cs="宋体"/>
          <w:color w:val="auto"/>
          <w:spacing w:val="-2"/>
          <w:szCs w:val="21"/>
          <w:lang w:eastAsia="zh-CN"/>
        </w:rPr>
        <w:t>（3）</w:t>
      </w:r>
      <w:r>
        <w:rPr>
          <w:rFonts w:ascii="宋体" w:hAnsi="宋体" w:cs="宋体"/>
          <w:color w:val="auto"/>
          <w:spacing w:val="-1"/>
          <w:szCs w:val="21"/>
        </w:rPr>
        <w:t>资格审查</w:t>
      </w:r>
      <w:r>
        <w:rPr>
          <w:rFonts w:hint="eastAsia" w:ascii="宋体" w:hAnsi="宋体" w:cs="宋体"/>
          <w:color w:val="auto"/>
          <w:spacing w:val="-1"/>
          <w:szCs w:val="21"/>
          <w:lang w:eastAsia="zh-CN"/>
        </w:rPr>
        <w:t>内容：</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152"/>
        <w:gridCol w:w="6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blHeader/>
          <w:jc w:val="center"/>
        </w:trPr>
        <w:tc>
          <w:tcPr>
            <w:tcW w:w="721" w:type="dxa"/>
            <w:noWrap w:val="0"/>
            <w:vAlign w:val="center"/>
          </w:tcPr>
          <w:p>
            <w:pPr>
              <w:jc w:val="center"/>
              <w:rPr>
                <w:rFonts w:hint="eastAsia" w:ascii="宋体" w:hAnsi="宋体" w:eastAsia="宋体" w:cs="宋体"/>
                <w:b/>
                <w:bCs/>
                <w:color w:val="auto"/>
                <w:szCs w:val="21"/>
              </w:rPr>
            </w:pPr>
            <w:r>
              <w:rPr>
                <w:rFonts w:hint="eastAsia" w:ascii="宋体" w:hAnsi="宋体" w:eastAsia="宋体" w:cs="宋体"/>
                <w:b/>
                <w:bCs/>
                <w:color w:val="auto"/>
                <w:szCs w:val="21"/>
              </w:rPr>
              <w:t>序号</w:t>
            </w:r>
          </w:p>
        </w:tc>
        <w:tc>
          <w:tcPr>
            <w:tcW w:w="2152" w:type="dxa"/>
            <w:noWrap w:val="0"/>
            <w:vAlign w:val="center"/>
          </w:tcPr>
          <w:p>
            <w:pPr>
              <w:jc w:val="center"/>
              <w:rPr>
                <w:rFonts w:hint="eastAsia" w:ascii="宋体" w:hAnsi="宋体" w:eastAsia="宋体" w:cs="宋体"/>
                <w:b/>
                <w:bCs/>
                <w:color w:val="auto"/>
                <w:szCs w:val="21"/>
              </w:rPr>
            </w:pPr>
            <w:r>
              <w:rPr>
                <w:rFonts w:hint="eastAsia" w:ascii="宋体" w:hAnsi="宋体" w:eastAsia="宋体" w:cs="宋体"/>
                <w:b/>
                <w:bCs/>
                <w:color w:val="auto"/>
                <w:szCs w:val="21"/>
              </w:rPr>
              <w:t>评审因素</w:t>
            </w:r>
          </w:p>
        </w:tc>
        <w:tc>
          <w:tcPr>
            <w:tcW w:w="6315" w:type="dxa"/>
            <w:noWrap w:val="0"/>
            <w:vAlign w:val="center"/>
          </w:tcPr>
          <w:p>
            <w:pPr>
              <w:jc w:val="center"/>
              <w:rPr>
                <w:rFonts w:hint="eastAsia" w:ascii="宋体" w:hAnsi="宋体" w:eastAsia="宋体" w:cs="宋体"/>
                <w:b/>
                <w:bCs/>
                <w:color w:val="auto"/>
                <w:szCs w:val="21"/>
              </w:rPr>
            </w:pPr>
            <w:r>
              <w:rPr>
                <w:rFonts w:hint="eastAsia" w:ascii="宋体" w:hAnsi="宋体" w:eastAsia="宋体" w:cs="宋体"/>
                <w:b/>
                <w:bCs/>
                <w:color w:val="auto"/>
                <w:szCs w:val="21"/>
              </w:rPr>
              <w:t>评审内容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21" w:type="dxa"/>
            <w:noWrap w:val="0"/>
            <w:vAlign w:val="center"/>
          </w:tcPr>
          <w:p>
            <w:pPr>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2152" w:type="dxa"/>
            <w:noWrap w:val="0"/>
            <w:vAlign w:val="center"/>
          </w:tcPr>
          <w:p>
            <w:pPr>
              <w:jc w:val="center"/>
              <w:rPr>
                <w:rFonts w:hint="eastAsia" w:ascii="宋体" w:hAnsi="宋体" w:eastAsia="宋体" w:cs="宋体"/>
                <w:color w:val="auto"/>
                <w:szCs w:val="21"/>
              </w:rPr>
            </w:pPr>
            <w:r>
              <w:rPr>
                <w:rFonts w:hint="eastAsia" w:ascii="宋体" w:hAnsi="宋体" w:eastAsia="宋体" w:cs="宋体"/>
                <w:color w:val="auto"/>
                <w:szCs w:val="21"/>
              </w:rPr>
              <w:t>投标人资格</w:t>
            </w:r>
          </w:p>
        </w:tc>
        <w:tc>
          <w:tcPr>
            <w:tcW w:w="6315" w:type="dxa"/>
            <w:noWrap w:val="0"/>
            <w:vAlign w:val="center"/>
          </w:tcPr>
          <w:p>
            <w:pPr>
              <w:jc w:val="left"/>
              <w:rPr>
                <w:rFonts w:hint="eastAsia" w:ascii="宋体" w:hAnsi="宋体" w:eastAsia="宋体" w:cs="宋体"/>
                <w:color w:val="auto"/>
                <w:szCs w:val="21"/>
              </w:rPr>
            </w:pPr>
            <w:r>
              <w:rPr>
                <w:rFonts w:hint="eastAsia" w:ascii="宋体" w:hAnsi="宋体" w:eastAsia="宋体" w:cs="宋体"/>
                <w:color w:val="auto"/>
                <w:szCs w:val="21"/>
              </w:rPr>
              <w:t>详见投标邀请函“投标人资格”内容</w:t>
            </w:r>
          </w:p>
        </w:tc>
      </w:tr>
    </w:tbl>
    <w:p>
      <w:pPr>
        <w:widowControl/>
        <w:spacing w:line="360" w:lineRule="auto"/>
        <w:jc w:val="left"/>
        <w:rPr>
          <w:rFonts w:ascii="宋体" w:hAnsi="宋体" w:cs="宋体"/>
          <w:color w:val="auto"/>
          <w:szCs w:val="21"/>
          <w:lang w:eastAsia="zh-CN" w:bidi="ar"/>
        </w:rPr>
      </w:pPr>
      <w:r>
        <w:rPr>
          <w:rFonts w:hint="eastAsia" w:ascii="宋体" w:hAnsi="宋体" w:cs="宋体"/>
          <w:color w:val="auto"/>
          <w:spacing w:val="-1"/>
          <w:szCs w:val="21"/>
          <w:lang w:eastAsia="zh-CN" w:bidi="ar"/>
        </w:rPr>
        <w:t>26.2</w:t>
      </w:r>
      <w:r>
        <w:rPr>
          <w:rFonts w:ascii="宋体" w:hAnsi="宋体" w:cs="宋体"/>
          <w:color w:val="auto"/>
          <w:spacing w:val="-1"/>
          <w:szCs w:val="21"/>
          <w:lang w:eastAsia="zh-CN" w:bidi="ar"/>
        </w:rPr>
        <w:t>评标</w:t>
      </w:r>
      <w:r>
        <w:rPr>
          <w:rFonts w:ascii="宋体" w:hAnsi="宋体" w:cs="宋体"/>
          <w:color w:val="auto"/>
          <w:szCs w:val="21"/>
          <w:lang w:eastAsia="zh-CN" w:bidi="ar"/>
        </w:rPr>
        <w:t>委员会成员登录交易系统进行电子化评标。通过交易系统查看电子</w:t>
      </w:r>
      <w:r>
        <w:rPr>
          <w:rFonts w:hint="eastAsia" w:ascii="宋体" w:hAnsi="宋体" w:cs="宋体"/>
          <w:color w:val="auto"/>
          <w:szCs w:val="21"/>
          <w:lang w:eastAsia="zh-CN" w:bidi="ar"/>
        </w:rPr>
        <w:t>招标文件</w:t>
      </w:r>
      <w:r>
        <w:rPr>
          <w:rFonts w:ascii="宋体" w:hAnsi="宋体" w:cs="宋体"/>
          <w:color w:val="auto"/>
          <w:szCs w:val="21"/>
          <w:lang w:eastAsia="zh-CN" w:bidi="ar"/>
        </w:rPr>
        <w:t>和投标文件，并按</w:t>
      </w:r>
      <w:r>
        <w:rPr>
          <w:rFonts w:hint="eastAsia" w:ascii="宋体" w:hAnsi="宋体" w:cs="宋体"/>
          <w:color w:val="auto"/>
          <w:szCs w:val="21"/>
          <w:lang w:eastAsia="zh-CN" w:bidi="ar"/>
        </w:rPr>
        <w:t>招标文件</w:t>
      </w:r>
      <w:r>
        <w:rPr>
          <w:rFonts w:ascii="宋体" w:hAnsi="宋体" w:cs="宋体"/>
          <w:color w:val="auto"/>
          <w:szCs w:val="21"/>
          <w:lang w:eastAsia="zh-CN" w:bidi="ar"/>
        </w:rPr>
        <w:t xml:space="preserve">规定对各投标文件进行评审。 </w:t>
      </w:r>
    </w:p>
    <w:p>
      <w:pPr>
        <w:widowControl/>
        <w:spacing w:line="360" w:lineRule="auto"/>
        <w:jc w:val="left"/>
        <w:rPr>
          <w:rFonts w:ascii="宋体" w:hAnsi="宋体" w:cs="宋体"/>
          <w:color w:val="auto"/>
          <w:szCs w:val="21"/>
          <w:lang w:eastAsia="zh-CN" w:bidi="ar"/>
        </w:rPr>
      </w:pPr>
      <w:r>
        <w:rPr>
          <w:rFonts w:ascii="宋体" w:hAnsi="宋体" w:cs="宋体"/>
          <w:color w:val="auto"/>
          <w:szCs w:val="21"/>
          <w:lang w:eastAsia="zh-CN" w:bidi="ar"/>
        </w:rPr>
        <w:t>2</w:t>
      </w:r>
      <w:r>
        <w:rPr>
          <w:rFonts w:hint="eastAsia" w:ascii="宋体" w:hAnsi="宋体" w:cs="宋体"/>
          <w:color w:val="auto"/>
          <w:szCs w:val="21"/>
          <w:lang w:eastAsia="zh-CN" w:bidi="ar"/>
        </w:rPr>
        <w:t>6.3</w:t>
      </w:r>
      <w:r>
        <w:rPr>
          <w:rFonts w:ascii="宋体" w:hAnsi="宋体" w:cs="宋体"/>
          <w:color w:val="auto"/>
          <w:szCs w:val="21"/>
          <w:lang w:eastAsia="zh-CN" w:bidi="ar"/>
        </w:rPr>
        <w:t xml:space="preserve"> 确认评审纪律和回避规定。</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26.4</w:t>
      </w:r>
      <w:r>
        <w:rPr>
          <w:rFonts w:ascii="宋体" w:hAnsi="宋体" w:cs="宋体"/>
          <w:color w:val="auto"/>
          <w:szCs w:val="21"/>
          <w:lang w:eastAsia="zh-CN" w:bidi="ar"/>
        </w:rPr>
        <w:t>符合性审查</w:t>
      </w:r>
    </w:p>
    <w:p>
      <w:pPr>
        <w:widowControl/>
        <w:spacing w:line="360" w:lineRule="auto"/>
        <w:jc w:val="left"/>
        <w:rPr>
          <w:rFonts w:ascii="宋体" w:hAnsi="宋体" w:cs="宋体"/>
          <w:color w:val="auto"/>
          <w:szCs w:val="21"/>
          <w:lang w:eastAsia="zh-CN" w:bidi="ar"/>
        </w:rPr>
      </w:pPr>
      <w:r>
        <w:rPr>
          <w:rFonts w:ascii="宋体" w:hAnsi="宋体" w:cs="宋体"/>
          <w:color w:val="auto"/>
          <w:szCs w:val="21"/>
          <w:lang w:eastAsia="zh-CN" w:bidi="ar"/>
        </w:rPr>
        <w:t xml:space="preserve">（1）评标委员会对资格审查合格的投标人进行符合性审查。 </w:t>
      </w:r>
    </w:p>
    <w:p>
      <w:pPr>
        <w:widowControl/>
        <w:spacing w:line="360" w:lineRule="auto"/>
        <w:jc w:val="left"/>
        <w:rPr>
          <w:rFonts w:ascii="宋体" w:hAnsi="宋体" w:cs="宋体"/>
          <w:color w:val="auto"/>
          <w:szCs w:val="21"/>
          <w:lang w:eastAsia="zh-CN" w:bidi="ar"/>
        </w:rPr>
      </w:pPr>
      <w:r>
        <w:rPr>
          <w:rFonts w:ascii="宋体" w:hAnsi="宋体" w:cs="宋体"/>
          <w:color w:val="auto"/>
          <w:szCs w:val="21"/>
          <w:lang w:eastAsia="zh-CN" w:bidi="ar"/>
        </w:rPr>
        <w:t>（2）符合性审查内容：</w:t>
      </w:r>
    </w:p>
    <w:tbl>
      <w:tblPr>
        <w:tblStyle w:val="13"/>
        <w:tblW w:w="9364"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52"/>
        <w:gridCol w:w="2144"/>
        <w:gridCol w:w="6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952" w:type="dxa"/>
            <w:tcBorders>
              <w:bottom w:val="single" w:color="auto" w:sz="4" w:space="0"/>
            </w:tcBorders>
            <w:noWrap w:val="0"/>
            <w:vAlign w:val="center"/>
          </w:tcPr>
          <w:p>
            <w:pPr>
              <w:pStyle w:val="20"/>
              <w:spacing w:before="68" w:line="220" w:lineRule="auto"/>
              <w:jc w:val="center"/>
              <w:rPr>
                <w:rFonts w:hint="eastAsia"/>
                <w:color w:val="auto"/>
                <w:lang w:eastAsia="zh-CN"/>
              </w:rPr>
            </w:pPr>
            <w:r>
              <w:rPr>
                <w:rFonts w:hint="eastAsia"/>
                <w:color w:val="auto"/>
                <w:lang w:eastAsia="zh-CN"/>
              </w:rPr>
              <w:t>序号</w:t>
            </w:r>
          </w:p>
        </w:tc>
        <w:tc>
          <w:tcPr>
            <w:tcW w:w="2144" w:type="dxa"/>
            <w:noWrap w:val="0"/>
            <w:vAlign w:val="center"/>
          </w:tcPr>
          <w:p>
            <w:pPr>
              <w:pStyle w:val="20"/>
              <w:spacing w:before="68" w:line="220" w:lineRule="auto"/>
              <w:jc w:val="center"/>
              <w:rPr>
                <w:b/>
                <w:bCs/>
                <w:color w:val="auto"/>
                <w:spacing w:val="7"/>
              </w:rPr>
            </w:pPr>
            <w:r>
              <w:rPr>
                <w:rFonts w:hint="eastAsia"/>
                <w:b/>
                <w:bCs/>
                <w:color w:val="auto"/>
                <w:spacing w:val="4"/>
                <w:lang w:eastAsia="zh-CN"/>
              </w:rPr>
              <w:t>评审点</w:t>
            </w:r>
          </w:p>
        </w:tc>
        <w:tc>
          <w:tcPr>
            <w:tcW w:w="6268" w:type="dxa"/>
            <w:noWrap w:val="0"/>
            <w:vAlign w:val="center"/>
          </w:tcPr>
          <w:p>
            <w:pPr>
              <w:pStyle w:val="20"/>
              <w:spacing w:before="68" w:line="220" w:lineRule="auto"/>
              <w:jc w:val="center"/>
              <w:rPr>
                <w:color w:val="auto"/>
              </w:rPr>
            </w:pPr>
            <w:r>
              <w:rPr>
                <w:rFonts w:hint="eastAsia"/>
                <w:b/>
                <w:bCs/>
                <w:color w:val="auto"/>
                <w:spacing w:val="5"/>
                <w:lang w:eastAsia="zh-CN"/>
              </w:rPr>
              <w:t>评审</w:t>
            </w:r>
            <w:r>
              <w:rPr>
                <w:rFonts w:hint="eastAsia"/>
                <w:b/>
                <w:bCs/>
                <w:color w:val="auto"/>
                <w:spacing w:val="5"/>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952" w:type="dxa"/>
            <w:tcBorders>
              <w:top w:val="single" w:color="auto" w:sz="4" w:space="0"/>
              <w:bottom w:val="single" w:color="auto" w:sz="4" w:space="0"/>
            </w:tcBorders>
            <w:noWrap w:val="0"/>
            <w:vAlign w:val="center"/>
          </w:tcPr>
          <w:p>
            <w:pPr>
              <w:pStyle w:val="20"/>
              <w:spacing w:before="68" w:line="220" w:lineRule="auto"/>
              <w:jc w:val="center"/>
              <w:rPr>
                <w:rFonts w:hint="eastAsia"/>
                <w:color w:val="auto"/>
                <w:lang w:eastAsia="zh-CN"/>
              </w:rPr>
            </w:pPr>
            <w:r>
              <w:rPr>
                <w:rFonts w:hint="eastAsia"/>
                <w:color w:val="auto"/>
                <w:lang w:eastAsia="zh-CN"/>
              </w:rPr>
              <w:t>1</w:t>
            </w:r>
          </w:p>
        </w:tc>
        <w:tc>
          <w:tcPr>
            <w:tcW w:w="2144" w:type="dxa"/>
            <w:noWrap w:val="0"/>
            <w:vAlign w:val="center"/>
          </w:tcPr>
          <w:p>
            <w:pPr>
              <w:jc w:val="center"/>
              <w:rPr>
                <w:rFonts w:hint="eastAsia" w:ascii="宋体" w:hAnsi="宋体" w:cs="宋体"/>
                <w:color w:val="auto"/>
                <w:szCs w:val="21"/>
              </w:rPr>
            </w:pPr>
            <w:r>
              <w:rPr>
                <w:rFonts w:hint="eastAsia" w:ascii="宋体" w:hAnsi="宋体" w:cs="宋体"/>
                <w:color w:val="auto"/>
                <w:szCs w:val="21"/>
              </w:rPr>
              <w:t>有效性</w:t>
            </w:r>
          </w:p>
        </w:tc>
        <w:tc>
          <w:tcPr>
            <w:tcW w:w="6268" w:type="dxa"/>
            <w:noWrap w:val="0"/>
            <w:vAlign w:val="center"/>
          </w:tcPr>
          <w:p>
            <w:pPr>
              <w:rPr>
                <w:rFonts w:hint="eastAsia" w:ascii="宋体" w:hAnsi="宋体" w:cs="宋体"/>
                <w:color w:val="auto"/>
                <w:szCs w:val="21"/>
              </w:rPr>
            </w:pPr>
            <w:r>
              <w:rPr>
                <w:rFonts w:hint="eastAsia" w:ascii="宋体" w:hAnsi="宋体" w:cs="宋体"/>
                <w:color w:val="auto"/>
                <w:szCs w:val="21"/>
              </w:rPr>
              <w:t>按招标文件要求进行签署、盖章。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3" w:hRule="atLeast"/>
        </w:trPr>
        <w:tc>
          <w:tcPr>
            <w:tcW w:w="952" w:type="dxa"/>
            <w:tcBorders>
              <w:top w:val="single" w:color="auto" w:sz="4" w:space="0"/>
              <w:bottom w:val="single" w:color="auto" w:sz="4" w:space="0"/>
            </w:tcBorders>
            <w:noWrap w:val="0"/>
            <w:vAlign w:val="center"/>
          </w:tcPr>
          <w:p>
            <w:pPr>
              <w:pStyle w:val="20"/>
              <w:spacing w:before="68" w:line="220" w:lineRule="auto"/>
              <w:jc w:val="center"/>
              <w:rPr>
                <w:rFonts w:hint="eastAsia"/>
                <w:color w:val="auto"/>
                <w:lang w:eastAsia="zh-CN"/>
              </w:rPr>
            </w:pPr>
            <w:r>
              <w:rPr>
                <w:rFonts w:hint="eastAsia"/>
                <w:color w:val="auto"/>
                <w:lang w:eastAsia="zh-CN"/>
              </w:rPr>
              <w:t>2</w:t>
            </w:r>
          </w:p>
        </w:tc>
        <w:tc>
          <w:tcPr>
            <w:tcW w:w="2144" w:type="dxa"/>
            <w:noWrap w:val="0"/>
            <w:vAlign w:val="center"/>
          </w:tcPr>
          <w:p>
            <w:pPr>
              <w:jc w:val="center"/>
              <w:rPr>
                <w:rFonts w:hint="eastAsia" w:ascii="宋体" w:hAnsi="宋体" w:cs="宋体"/>
                <w:color w:val="auto"/>
                <w:szCs w:val="21"/>
              </w:rPr>
            </w:pPr>
            <w:r>
              <w:rPr>
                <w:rFonts w:hint="eastAsia" w:ascii="宋体" w:hAnsi="宋体" w:cs="宋体"/>
                <w:color w:val="auto"/>
                <w:szCs w:val="21"/>
              </w:rPr>
              <w:t>投标报价</w:t>
            </w:r>
          </w:p>
        </w:tc>
        <w:tc>
          <w:tcPr>
            <w:tcW w:w="6268" w:type="dxa"/>
            <w:noWrap w:val="0"/>
            <w:vAlign w:val="center"/>
          </w:tcPr>
          <w:p>
            <w:pPr>
              <w:rPr>
                <w:rFonts w:hint="eastAsia" w:ascii="宋体" w:hAnsi="宋体" w:cs="宋体"/>
                <w:color w:val="auto"/>
                <w:szCs w:val="21"/>
              </w:rPr>
            </w:pPr>
            <w:r>
              <w:rPr>
                <w:rFonts w:hint="eastAsia" w:ascii="宋体" w:hAnsi="宋体" w:cs="宋体"/>
                <w:color w:val="auto"/>
                <w:szCs w:val="21"/>
              </w:rPr>
              <w:t>报价不超过报价范围；报价方案唯一确定，无附加条件的报价。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trPr>
        <w:tc>
          <w:tcPr>
            <w:tcW w:w="952" w:type="dxa"/>
            <w:tcBorders>
              <w:top w:val="single" w:color="auto" w:sz="4" w:space="0"/>
              <w:bottom w:val="single" w:color="auto" w:sz="4" w:space="0"/>
            </w:tcBorders>
            <w:noWrap w:val="0"/>
            <w:vAlign w:val="center"/>
          </w:tcPr>
          <w:p>
            <w:pPr>
              <w:pStyle w:val="20"/>
              <w:spacing w:before="68" w:line="220" w:lineRule="auto"/>
              <w:jc w:val="center"/>
              <w:rPr>
                <w:rFonts w:hint="eastAsia"/>
                <w:color w:val="auto"/>
                <w:lang w:eastAsia="zh-CN"/>
              </w:rPr>
            </w:pPr>
            <w:r>
              <w:rPr>
                <w:rFonts w:hint="eastAsia"/>
                <w:color w:val="auto"/>
                <w:lang w:eastAsia="zh-CN"/>
              </w:rPr>
              <w:t>3</w:t>
            </w:r>
          </w:p>
        </w:tc>
        <w:tc>
          <w:tcPr>
            <w:tcW w:w="2144" w:type="dxa"/>
            <w:noWrap w:val="0"/>
            <w:vAlign w:val="center"/>
          </w:tcPr>
          <w:p>
            <w:pPr>
              <w:jc w:val="center"/>
              <w:rPr>
                <w:rFonts w:ascii="宋体" w:hAnsi="宋体" w:cs="宋体"/>
                <w:color w:val="auto"/>
                <w:szCs w:val="21"/>
                <w:lang w:eastAsia="zh-CN"/>
              </w:rPr>
            </w:pPr>
            <w:r>
              <w:rPr>
                <w:rFonts w:hint="eastAsia" w:ascii="宋体" w:hAnsi="宋体" w:cs="宋体"/>
                <w:color w:val="auto"/>
                <w:szCs w:val="21"/>
                <w:lang w:eastAsia="zh-CN"/>
              </w:rPr>
              <w:t>投标有效期</w:t>
            </w:r>
          </w:p>
        </w:tc>
        <w:tc>
          <w:tcPr>
            <w:tcW w:w="6268" w:type="dxa"/>
            <w:noWrap w:val="0"/>
            <w:vAlign w:val="center"/>
          </w:tcPr>
          <w:p>
            <w:pPr>
              <w:rPr>
                <w:rFonts w:hint="eastAsia" w:ascii="宋体" w:hAnsi="宋体" w:cs="宋体"/>
                <w:color w:val="auto"/>
                <w:szCs w:val="21"/>
              </w:rPr>
            </w:pPr>
            <w:r>
              <w:rPr>
                <w:rFonts w:hint="eastAsia" w:ascii="宋体" w:hAnsi="宋体" w:cs="宋体"/>
                <w:color w:val="auto"/>
                <w:szCs w:val="21"/>
              </w:rPr>
              <w:t>投标有效期为投标截止时间起满90天。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trPr>
        <w:tc>
          <w:tcPr>
            <w:tcW w:w="952" w:type="dxa"/>
            <w:tcBorders>
              <w:top w:val="single" w:color="auto" w:sz="4" w:space="0"/>
              <w:bottom w:val="single" w:color="auto" w:sz="4" w:space="0"/>
            </w:tcBorders>
            <w:noWrap w:val="0"/>
            <w:vAlign w:val="center"/>
          </w:tcPr>
          <w:p>
            <w:pPr>
              <w:pStyle w:val="20"/>
              <w:spacing w:before="68" w:line="220" w:lineRule="auto"/>
              <w:jc w:val="center"/>
              <w:rPr>
                <w:rFonts w:hint="eastAsia"/>
                <w:color w:val="auto"/>
                <w:lang w:eastAsia="zh-CN"/>
              </w:rPr>
            </w:pPr>
            <w:r>
              <w:rPr>
                <w:rFonts w:hint="eastAsia"/>
                <w:color w:val="auto"/>
                <w:lang w:eastAsia="zh-CN"/>
              </w:rPr>
              <w:t>4</w:t>
            </w:r>
          </w:p>
        </w:tc>
        <w:tc>
          <w:tcPr>
            <w:tcW w:w="2144" w:type="dxa"/>
            <w:noWrap w:val="0"/>
            <w:vAlign w:val="center"/>
          </w:tcPr>
          <w:p>
            <w:pPr>
              <w:jc w:val="center"/>
              <w:rPr>
                <w:rFonts w:hint="eastAsia" w:ascii="宋体" w:hAnsi="宋体" w:cs="宋体"/>
                <w:color w:val="auto"/>
                <w:szCs w:val="21"/>
              </w:rPr>
            </w:pPr>
            <w:r>
              <w:rPr>
                <w:rFonts w:hint="eastAsia" w:ascii="宋体" w:hAnsi="宋体" w:cs="宋体"/>
                <w:color w:val="auto"/>
                <w:szCs w:val="21"/>
                <w:lang w:eastAsia="zh-CN" w:bidi="ar"/>
              </w:rPr>
              <w:t>对招标文件的响应</w:t>
            </w:r>
          </w:p>
        </w:tc>
        <w:tc>
          <w:tcPr>
            <w:tcW w:w="6268" w:type="dxa"/>
            <w:noWrap w:val="0"/>
            <w:vAlign w:val="center"/>
          </w:tcPr>
          <w:p>
            <w:pPr>
              <w:rPr>
                <w:rFonts w:hint="eastAsia" w:ascii="宋体" w:hAnsi="宋体" w:cs="宋体"/>
                <w:color w:val="auto"/>
                <w:szCs w:val="21"/>
                <w:lang w:eastAsia="zh-CN"/>
              </w:rPr>
            </w:pPr>
            <w:r>
              <w:rPr>
                <w:rFonts w:hint="eastAsia" w:ascii="宋体" w:hAnsi="宋体" w:cs="宋体"/>
                <w:color w:val="auto"/>
                <w:szCs w:val="21"/>
              </w:rPr>
              <w:t>响应"★"号不可负偏离条款的要求，并对</w:t>
            </w:r>
            <w:r>
              <w:rPr>
                <w:rFonts w:hint="eastAsia" w:ascii="宋体" w:hAnsi="宋体" w:cs="宋体"/>
                <w:color w:val="auto"/>
                <w:szCs w:val="21"/>
                <w:lang w:eastAsia="zh-CN"/>
              </w:rPr>
              <w:t>招标文件</w:t>
            </w:r>
            <w:r>
              <w:rPr>
                <w:rFonts w:hint="eastAsia" w:ascii="宋体" w:hAnsi="宋体" w:cs="宋体"/>
                <w:color w:val="auto"/>
                <w:szCs w:val="21"/>
              </w:rPr>
              <w:t>的</w:t>
            </w:r>
            <w:r>
              <w:rPr>
                <w:rFonts w:hint="eastAsia" w:ascii="宋体" w:hAnsi="宋体" w:cs="宋体"/>
                <w:color w:val="auto"/>
                <w:szCs w:val="21"/>
                <w:lang w:eastAsia="zh-CN"/>
              </w:rPr>
              <w:t>商务部分</w:t>
            </w:r>
            <w:r>
              <w:rPr>
                <w:rFonts w:hint="eastAsia" w:ascii="宋体" w:hAnsi="宋体" w:cs="宋体"/>
                <w:color w:val="auto"/>
                <w:szCs w:val="21"/>
              </w:rPr>
              <w:t>实质性要求作出响应</w:t>
            </w:r>
            <w:r>
              <w:rPr>
                <w:rFonts w:hint="eastAsia" w:ascii="宋体" w:hAnsi="宋体" w:cs="宋体"/>
                <w:color w:val="auto"/>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952" w:type="dxa"/>
            <w:tcBorders>
              <w:top w:val="single" w:color="auto" w:sz="4" w:space="0"/>
            </w:tcBorders>
            <w:noWrap w:val="0"/>
            <w:vAlign w:val="center"/>
          </w:tcPr>
          <w:p>
            <w:pPr>
              <w:pStyle w:val="20"/>
              <w:spacing w:before="68" w:line="220" w:lineRule="auto"/>
              <w:jc w:val="center"/>
              <w:rPr>
                <w:rFonts w:hint="eastAsia"/>
                <w:color w:val="auto"/>
                <w:lang w:eastAsia="zh-CN"/>
              </w:rPr>
            </w:pPr>
            <w:r>
              <w:rPr>
                <w:rFonts w:hint="eastAsia"/>
                <w:color w:val="auto"/>
                <w:lang w:eastAsia="zh-CN"/>
              </w:rPr>
              <w:t>5</w:t>
            </w:r>
          </w:p>
        </w:tc>
        <w:tc>
          <w:tcPr>
            <w:tcW w:w="2144" w:type="dxa"/>
            <w:noWrap w:val="0"/>
            <w:vAlign w:val="center"/>
          </w:tcPr>
          <w:p>
            <w:pPr>
              <w:jc w:val="center"/>
              <w:rPr>
                <w:rFonts w:hint="eastAsia" w:ascii="宋体" w:hAnsi="宋体" w:cs="宋体"/>
                <w:color w:val="auto"/>
                <w:szCs w:val="21"/>
              </w:rPr>
            </w:pPr>
            <w:r>
              <w:rPr>
                <w:rFonts w:hint="eastAsia" w:ascii="宋体" w:hAnsi="宋体" w:cs="宋体"/>
                <w:color w:val="auto"/>
                <w:szCs w:val="21"/>
              </w:rPr>
              <w:t>其他</w:t>
            </w:r>
          </w:p>
        </w:tc>
        <w:tc>
          <w:tcPr>
            <w:tcW w:w="6268" w:type="dxa"/>
            <w:noWrap w:val="0"/>
            <w:vAlign w:val="center"/>
          </w:tcPr>
          <w:p>
            <w:pPr>
              <w:rPr>
                <w:rFonts w:hint="eastAsia" w:ascii="宋体" w:hAnsi="宋体" w:cs="宋体"/>
                <w:color w:val="auto"/>
                <w:szCs w:val="21"/>
                <w:lang w:eastAsia="zh-CN"/>
              </w:rPr>
            </w:pPr>
            <w:r>
              <w:rPr>
                <w:rFonts w:hint="eastAsia" w:ascii="宋体" w:hAnsi="宋体" w:cs="宋体"/>
                <w:color w:val="auto"/>
                <w:szCs w:val="21"/>
              </w:rPr>
              <w:t>未出现有关法律、法规、规章或</w:t>
            </w:r>
            <w:r>
              <w:rPr>
                <w:rFonts w:hint="eastAsia" w:ascii="宋体" w:hAnsi="宋体" w:cs="宋体"/>
                <w:color w:val="auto"/>
                <w:szCs w:val="21"/>
                <w:lang w:eastAsia="zh-CN"/>
              </w:rPr>
              <w:t>招标文件</w:t>
            </w:r>
            <w:r>
              <w:rPr>
                <w:rFonts w:hint="eastAsia" w:ascii="宋体" w:hAnsi="宋体" w:cs="宋体"/>
                <w:color w:val="auto"/>
                <w:szCs w:val="21"/>
              </w:rPr>
              <w:t>规定的属于无效</w:t>
            </w:r>
            <w:r>
              <w:rPr>
                <w:rFonts w:hint="eastAsia" w:ascii="宋体" w:hAnsi="宋体" w:cs="宋体"/>
                <w:color w:val="auto"/>
                <w:szCs w:val="21"/>
                <w:lang w:eastAsia="zh-CN"/>
              </w:rPr>
              <w:t>投标</w:t>
            </w:r>
            <w:r>
              <w:rPr>
                <w:rFonts w:hint="eastAsia" w:ascii="宋体" w:hAnsi="宋体" w:cs="宋体"/>
                <w:color w:val="auto"/>
                <w:szCs w:val="21"/>
              </w:rPr>
              <w:t>的情形</w:t>
            </w:r>
            <w:r>
              <w:rPr>
                <w:rFonts w:hint="eastAsia" w:ascii="宋体" w:hAnsi="宋体" w:cs="宋体"/>
                <w:color w:val="auto"/>
                <w:szCs w:val="21"/>
                <w:lang w:eastAsia="zh-CN"/>
              </w:rPr>
              <w:t>。</w:t>
            </w:r>
          </w:p>
        </w:tc>
      </w:tr>
    </w:tbl>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 xml:space="preserve">（3）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 </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（4）符合性审查结论以记名方式独立表决，对有过半数评委审定为“不合格”或“无效投标”者将不进入下一程序。</w:t>
      </w:r>
    </w:p>
    <w:p>
      <w:pPr>
        <w:widowControl/>
        <w:spacing w:line="360" w:lineRule="auto"/>
        <w:jc w:val="left"/>
        <w:rPr>
          <w:rFonts w:ascii="宋体" w:hAnsi="宋体" w:cs="宋体"/>
          <w:color w:val="auto"/>
          <w:szCs w:val="21"/>
          <w:lang w:eastAsia="zh-CN" w:bidi="ar"/>
        </w:rPr>
      </w:pPr>
      <w:r>
        <w:rPr>
          <w:rFonts w:ascii="宋体" w:hAnsi="宋体" w:cs="宋体"/>
          <w:color w:val="auto"/>
          <w:szCs w:val="21"/>
          <w:lang w:eastAsia="zh-CN" w:bidi="ar"/>
        </w:rPr>
        <w:t>2</w:t>
      </w:r>
      <w:r>
        <w:rPr>
          <w:rFonts w:hint="eastAsia" w:ascii="宋体" w:hAnsi="宋体" w:cs="宋体"/>
          <w:color w:val="auto"/>
          <w:szCs w:val="21"/>
          <w:lang w:eastAsia="zh-CN" w:bidi="ar"/>
        </w:rPr>
        <w:t>6</w:t>
      </w:r>
      <w:r>
        <w:rPr>
          <w:rFonts w:ascii="宋体" w:hAnsi="宋体" w:cs="宋体"/>
          <w:color w:val="auto"/>
          <w:szCs w:val="21"/>
          <w:lang w:eastAsia="zh-CN" w:bidi="ar"/>
        </w:rPr>
        <w:t>.5</w:t>
      </w:r>
      <w:r>
        <w:rPr>
          <w:rFonts w:hint="eastAsia" w:ascii="宋体" w:hAnsi="宋体" w:cs="宋体"/>
          <w:color w:val="auto"/>
          <w:szCs w:val="21"/>
          <w:lang w:eastAsia="zh-CN" w:bidi="ar"/>
        </w:rPr>
        <w:t>质询与澄清</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 xml:space="preserve">（1）评标委员会在评审过程中，对投标人的投标文件中含义不明确、对同类问题表述不一致或有明显文字和计算错误的内容，可要求投标人在限定时间内作出必要的澄清、说明或补正，对澄清、说明或补正的内容不得超出投标文件的范围或改变投标文件的实质内容，均以书面形式为准，经法定代表人或其授权代表签署后将作为投标文件不可分割的内容。 </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2）如果投标人授权代表未能在评标委员会规定的时间内达到的，视为放弃澄清、说明或补正的权利，并认同评标委员会对其作出的决定且无异议。对此情形，评标委员会应以不利于投标人的倾向考虑和作出决定。</w:t>
      </w:r>
    </w:p>
    <w:p>
      <w:pPr>
        <w:widowControl/>
        <w:spacing w:line="360" w:lineRule="auto"/>
        <w:jc w:val="left"/>
        <w:rPr>
          <w:rFonts w:ascii="宋体" w:hAnsi="宋体" w:cs="宋体"/>
          <w:color w:val="auto"/>
          <w:szCs w:val="21"/>
          <w:lang w:eastAsia="zh-CN" w:bidi="ar"/>
        </w:rPr>
      </w:pPr>
      <w:r>
        <w:rPr>
          <w:rFonts w:ascii="宋体" w:hAnsi="宋体" w:cs="宋体"/>
          <w:color w:val="auto"/>
          <w:szCs w:val="21"/>
          <w:lang w:eastAsia="zh-CN" w:bidi="ar"/>
        </w:rPr>
        <w:t>2</w:t>
      </w:r>
      <w:r>
        <w:rPr>
          <w:rFonts w:hint="eastAsia" w:ascii="宋体" w:hAnsi="宋体" w:cs="宋体"/>
          <w:color w:val="auto"/>
          <w:szCs w:val="21"/>
          <w:lang w:eastAsia="zh-CN" w:bidi="ar"/>
        </w:rPr>
        <w:t>6</w:t>
      </w:r>
      <w:r>
        <w:rPr>
          <w:rFonts w:ascii="宋体" w:hAnsi="宋体" w:cs="宋体"/>
          <w:color w:val="auto"/>
          <w:szCs w:val="21"/>
          <w:lang w:eastAsia="zh-CN" w:bidi="ar"/>
        </w:rPr>
        <w:t>.6初审结论</w:t>
      </w:r>
    </w:p>
    <w:p>
      <w:pPr>
        <w:widowControl/>
        <w:spacing w:line="360" w:lineRule="auto"/>
        <w:jc w:val="left"/>
        <w:rPr>
          <w:rFonts w:ascii="宋体" w:hAnsi="宋体" w:cs="宋体"/>
          <w:color w:val="auto"/>
          <w:szCs w:val="21"/>
          <w:lang w:eastAsia="zh-CN" w:bidi="ar"/>
        </w:rPr>
      </w:pPr>
      <w:r>
        <w:rPr>
          <w:rFonts w:ascii="宋体" w:hAnsi="宋体" w:cs="宋体"/>
          <w:color w:val="auto"/>
          <w:szCs w:val="21"/>
          <w:lang w:eastAsia="zh-CN" w:bidi="ar"/>
        </w:rPr>
        <w:t>初审结论以记名方式独立表决。对有过半数评委审定为“初审不合格”或“无效投标”或“不通过”者将不进入下列程序的评审。</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26.7评审比较和推荐</w:t>
      </w:r>
    </w:p>
    <w:p>
      <w:pPr>
        <w:widowControl/>
        <w:spacing w:line="360" w:lineRule="auto"/>
        <w:jc w:val="left"/>
        <w:rPr>
          <w:rFonts w:ascii="宋体" w:hAnsi="宋体" w:cs="宋体"/>
          <w:color w:val="auto"/>
          <w:szCs w:val="21"/>
          <w:lang w:eastAsia="zh-CN" w:bidi="ar"/>
        </w:rPr>
      </w:pPr>
      <w:r>
        <w:rPr>
          <w:rFonts w:ascii="宋体" w:hAnsi="宋体" w:cs="宋体"/>
          <w:color w:val="auto"/>
          <w:szCs w:val="21"/>
          <w:lang w:eastAsia="zh-CN" w:bidi="ar"/>
        </w:rPr>
        <w:t>评标委员会对通过文件初审的有效投标人的投标文件进行细化评审和综合比较，对照所公布的量化评分内容进行独立评分。评分按四舍五入的原则精确至小数点后两位。</w:t>
      </w:r>
    </w:p>
    <w:p>
      <w:pPr>
        <w:widowControl/>
        <w:spacing w:line="360" w:lineRule="auto"/>
        <w:jc w:val="left"/>
        <w:rPr>
          <w:rFonts w:ascii="宋体" w:hAnsi="宋体" w:cs="宋体"/>
          <w:color w:val="auto"/>
          <w:szCs w:val="21"/>
          <w:lang w:eastAsia="zh-CN" w:bidi="ar"/>
        </w:rPr>
      </w:pPr>
      <w:r>
        <w:rPr>
          <w:rFonts w:ascii="宋体" w:hAnsi="宋体" w:cs="宋体"/>
          <w:color w:val="auto"/>
          <w:szCs w:val="21"/>
          <w:lang w:eastAsia="zh-CN" w:bidi="ar"/>
        </w:rPr>
        <w:t>2</w:t>
      </w:r>
      <w:r>
        <w:rPr>
          <w:rFonts w:hint="eastAsia" w:ascii="宋体" w:hAnsi="宋体" w:cs="宋体"/>
          <w:color w:val="auto"/>
          <w:szCs w:val="21"/>
          <w:lang w:eastAsia="zh-CN" w:bidi="ar"/>
        </w:rPr>
        <w:t>6</w:t>
      </w:r>
      <w:r>
        <w:rPr>
          <w:rFonts w:ascii="宋体" w:hAnsi="宋体" w:cs="宋体"/>
          <w:color w:val="auto"/>
          <w:szCs w:val="21"/>
          <w:lang w:eastAsia="zh-CN" w:bidi="ar"/>
        </w:rPr>
        <w:t>.8</w:t>
      </w:r>
      <w:r>
        <w:rPr>
          <w:rFonts w:hint="eastAsia" w:ascii="宋体" w:hAnsi="宋体" w:cs="宋体"/>
          <w:color w:val="auto"/>
          <w:szCs w:val="21"/>
          <w:lang w:eastAsia="zh-CN" w:bidi="ar"/>
        </w:rPr>
        <w:t>综合汇总及推荐结果</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（1）评标委员会将各投标人技术、商务、价格部分得分汇总，按综合得分总分从高到低顺序排列，按照排名推荐第一的投标人为</w:t>
      </w:r>
      <w:r>
        <w:rPr>
          <w:rFonts w:hint="eastAsia" w:cs="宋体"/>
          <w:color w:val="auto"/>
          <w:szCs w:val="21"/>
          <w:lang w:val="en-US" w:eastAsia="zh-CN" w:bidi="ar"/>
        </w:rPr>
        <w:t>第一</w:t>
      </w:r>
      <w:r>
        <w:rPr>
          <w:rFonts w:hint="eastAsia" w:ascii="宋体" w:hAnsi="宋体" w:cs="宋体"/>
          <w:color w:val="auto"/>
          <w:szCs w:val="21"/>
          <w:lang w:eastAsia="zh-CN" w:bidi="ar"/>
        </w:rPr>
        <w:t>中标候选人</w:t>
      </w:r>
      <w:r>
        <w:rPr>
          <w:rFonts w:hint="eastAsia" w:cs="宋体"/>
          <w:color w:val="auto"/>
          <w:szCs w:val="21"/>
          <w:lang w:eastAsia="zh-CN" w:bidi="ar"/>
        </w:rPr>
        <w:t>，</w:t>
      </w:r>
      <w:r>
        <w:rPr>
          <w:rFonts w:hint="eastAsia" w:ascii="宋体" w:hAnsi="宋体" w:cs="宋体"/>
          <w:color w:val="auto"/>
          <w:szCs w:val="21"/>
          <w:lang w:eastAsia="zh-CN" w:bidi="ar"/>
        </w:rPr>
        <w:t>排名推荐第</w:t>
      </w:r>
      <w:r>
        <w:rPr>
          <w:rFonts w:hint="eastAsia" w:ascii="宋体" w:hAnsi="宋体" w:cs="宋体"/>
          <w:color w:val="auto"/>
          <w:szCs w:val="21"/>
          <w:lang w:val="en-US" w:eastAsia="zh-CN" w:bidi="ar"/>
        </w:rPr>
        <w:t>二</w:t>
      </w:r>
      <w:r>
        <w:rPr>
          <w:rFonts w:hint="eastAsia" w:ascii="宋体" w:hAnsi="宋体" w:cs="宋体"/>
          <w:color w:val="auto"/>
          <w:szCs w:val="21"/>
          <w:lang w:eastAsia="zh-CN" w:bidi="ar"/>
        </w:rPr>
        <w:t>的投标人为</w:t>
      </w:r>
      <w:r>
        <w:rPr>
          <w:rFonts w:hint="eastAsia" w:cs="宋体"/>
          <w:color w:val="auto"/>
          <w:szCs w:val="21"/>
          <w:lang w:val="en-US" w:eastAsia="zh-CN" w:bidi="ar"/>
        </w:rPr>
        <w:t>第二</w:t>
      </w:r>
      <w:r>
        <w:rPr>
          <w:rFonts w:hint="eastAsia" w:ascii="宋体" w:hAnsi="宋体" w:cs="宋体"/>
          <w:color w:val="auto"/>
          <w:szCs w:val="21"/>
          <w:lang w:eastAsia="zh-CN" w:bidi="ar"/>
        </w:rPr>
        <w:t xml:space="preserve">中标候选人。 </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 xml:space="preserve">（2）若中标候选人综合得分总分相同时，则按技术得分从高到低的顺序排列；若综合得分总分、技术得分均相同，则由评标委员会通过独立投票决定排序，投票按照少数服从多数的原则进行，投票时不得弃权。 </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（3）评审过程中涉及和产生的所有程序文件、评审意见、表决意见和推荐意见等均须由评标委员会成员签名确认。</w:t>
      </w:r>
    </w:p>
    <w:p>
      <w:pPr>
        <w:widowControl/>
        <w:spacing w:line="360" w:lineRule="auto"/>
        <w:jc w:val="left"/>
        <w:rPr>
          <w:rFonts w:ascii="宋体" w:hAnsi="宋体" w:cs="宋体"/>
          <w:color w:val="auto"/>
          <w:szCs w:val="21"/>
          <w:lang w:eastAsia="zh-CN" w:bidi="ar"/>
        </w:rPr>
      </w:pPr>
      <w:r>
        <w:rPr>
          <w:rFonts w:ascii="宋体" w:hAnsi="宋体" w:cs="宋体"/>
          <w:color w:val="auto"/>
          <w:szCs w:val="21"/>
          <w:lang w:eastAsia="zh-CN" w:bidi="ar"/>
        </w:rPr>
        <w:t>2</w:t>
      </w:r>
      <w:r>
        <w:rPr>
          <w:rFonts w:hint="eastAsia" w:ascii="宋体" w:hAnsi="宋体" w:cs="宋体"/>
          <w:color w:val="auto"/>
          <w:szCs w:val="21"/>
          <w:lang w:eastAsia="zh-CN" w:bidi="ar"/>
        </w:rPr>
        <w:t>6</w:t>
      </w:r>
      <w:r>
        <w:rPr>
          <w:rFonts w:ascii="宋体" w:hAnsi="宋体" w:cs="宋体"/>
          <w:color w:val="auto"/>
          <w:szCs w:val="21"/>
          <w:lang w:eastAsia="zh-CN" w:bidi="ar"/>
        </w:rPr>
        <w:t xml:space="preserve">.9投标文件差异修正原则及顺序： </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 xml:space="preserve">投标文件出现差异时，修正原则如下： </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 xml:space="preserve">（1）投标文件中开标一览表（报价表）内容与投标文件中相应内容不一致的，以开标一览表（报价表）为准； </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 xml:space="preserve">（2）大写金额和小写金额不一致的，以大写金额为准；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（3）单价金额小数点或者百分比有明显错位的，以开标一览表的总价为准，并修改单价；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（4）总价金额与按单价汇总金额不一致的，以单价金额计算结果为准； </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 xml:space="preserve">（5）投标文件描述内容与原始材料引述内容不一致的，以原始材料内容为准； </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 xml:space="preserve">（6）对投标标的的关键、主要内容，投标人报价漏项的，作实质性条款不响应处理； </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 xml:space="preserve">（7）对不同文字文本投标文件的解释发生异议的，以中文文本为准； </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 xml:space="preserve">（8）评标委员会认定为表述不清晰或无法确定的报价均不予修正。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上述第（1）-（4）情形，同时出现两种以上不一致的，由评标委员会按照前款规定的顺序修正。修正后的报价经投标人加盖公章，或者由法定代表人或其授权的代表签字确认后产生约束力，投标人不确认的，其投标无效。</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26.10</w:t>
      </w:r>
      <w:r>
        <w:rPr>
          <w:rFonts w:ascii="宋体" w:hAnsi="宋体" w:cs="宋体"/>
          <w:color w:val="auto"/>
          <w:szCs w:val="21"/>
          <w:lang w:eastAsia="zh-CN" w:bidi="ar"/>
        </w:rPr>
        <w:t xml:space="preserve">废标情形与处理 </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 xml:space="preserve">本项目出现下列情形之一的，作废标处理： </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 xml:space="preserve">（1）递交投标文件的投标人不足三家； </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（2）符合专业条件的投标人或者对招标文件作实质响应的投标人不足三家；</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 xml:space="preserve">（3）采购过程出现影响采购公正的违法、违规行为； </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 xml:space="preserve">（4）招标文件存在歧义、重大缺陷导致评审工作无法进行，或者招标文件内容违反国家有关强制性规定； </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（5） 因重大变故，接采购人通知本项目采购任务取消的。</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（6） 投标人的报价均超过了项目采购预算或最高限价，采购人不能支付的；</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 xml:space="preserve">符合以上废标情形第1-4条其中之一时，将择日重新组织招标，同时将废标理由和处理决定知会各相关投标人。 </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26.11</w:t>
      </w:r>
      <w:r>
        <w:rPr>
          <w:rFonts w:ascii="宋体" w:hAnsi="宋体" w:cs="宋体"/>
          <w:color w:val="auto"/>
          <w:szCs w:val="21"/>
          <w:lang w:eastAsia="zh-CN" w:bidi="ar"/>
        </w:rPr>
        <w:t xml:space="preserve">无效投标行为的认定 </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 xml:space="preserve">（1）不符合招标文件中规定的投标人资格要求； </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（2）投标人未按招标文件的规定提交投标保证金（如有）；</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 xml:space="preserve">（3）投标人的投标文件不符合招标文件要求； </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 xml:space="preserve">（4）投标文件未按照招标文件要求进行签署、盖章、电子签章，或电子签名、电子签章不完整的；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（5）未按要求提供重要的样品、样板、物证和资料（如有）；</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（6）投标有效期及报价有效期不响应；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（7）以假借、挂靠他人名义或用串通合谋等不正当手段形式参与投标，或在独立投标人之间存有利益共享、虚假竞争的同盟关系；违反了诚实信用、公平竞争原则；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（8）有下列情形之一的，视为投标人串通投标，其投标无效：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1）不同投标人的投标文件由同一单位或者个人编制；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2）不同投标人委托同一单位或者个人办理投标事宜；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3）不同投标人的投标文件载明的项目管理成员或者联系人员为同一人；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4）不同投标人的投标文件异常一致或者投标报价呈规律性差异；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5）不同投标人的投标文件相互混装；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6）不同投标人的投标保证金从同一单位或者个人的账户转出；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（9）不同投标人的投标保证金汇入到同一个“缴纳保证金账户信息回执”上的子账号（该账号是银行系统为本项目不同投标人随机生成的唯一子账号）；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（10）单位负责人为同一人或者存在控股、管理关系的不同投标人，同时参与本项目或分包的投标；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（11）投标人的主要成员同时出任其它投标人的重要职位，包括：法定代表人、董事成员、监事成员、高级经理或有可能影响公平竞争的关键岗位；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（12）投标方案、报价表述不清晰或无法确定；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（13）投标报价超过了招标文件中规定的项目采购预算或最高限价；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（14）投标方案或报价出现缺漏，无法满足项目要求；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（15）经评标委员会认定为严重低于成本的恶意报价；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（16）评标委员会认为投标人的报价明显低于其他通过符合性审查投标人的报价，有可能影响产品质量或者不能诚信履约，且投标人不能在规定时间内提交书面说明证明其报价合理性的；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（17）投标文件中含有采购人不能接受的附加条件；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（18）未能有效通过资格审查与符合性审查，对约定必备的合格条件和重要关键内容出现实质性偏离；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（19）提供的中小企业声明与承诺等证明材料经认定后存在虚假或与事实不符的情形；提供虚假材料谋取中标的；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（20）出现了违反政府采购进口产品管理办法相关规定的情形；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（21）评审期间没有按评标委员会要求提供补充材料，或调整补充内容及修正报价超出允许规定范围；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（22）由于投标人计算机系统遭遇网络堵塞、病毒入侵、硬件故障等原因造成不能正常操作交易系统的；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（23）上传至交易系统的投标文件本身含有计算机病毒或非完整文件等无法参与开标评标活动的；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（24）解密后，投标人递交的电子投标文件无法满足资格审查及评标的需要的，投标文件经评标委员会认定作无效投标处理的；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（25）因投标人自身行为导致无法参与电子采购活动的其他情形；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（26）符合招标文件中载明会导致无效投标的其它规定和要求；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（27）不符合法律、法规规定的其他实质性要求。</w:t>
      </w:r>
    </w:p>
    <w:p>
      <w:pPr>
        <w:pStyle w:val="3"/>
        <w:rPr>
          <w:rFonts w:ascii="宋体" w:hAnsi="宋体" w:eastAsia="宋体" w:cs="宋体"/>
          <w:color w:val="auto"/>
          <w:lang w:eastAsia="zh-CN" w:bidi="ar"/>
        </w:rPr>
      </w:pPr>
      <w:r>
        <w:rPr>
          <w:rFonts w:hint="eastAsia" w:ascii="宋体" w:hAnsi="宋体" w:eastAsia="宋体" w:cs="宋体"/>
          <w:color w:val="auto"/>
          <w:lang w:eastAsia="zh-CN"/>
        </w:rPr>
        <w:t>（</w:t>
      </w:r>
      <w:r>
        <w:rPr>
          <w:rFonts w:hint="eastAsia" w:ascii="宋体" w:hAnsi="宋体" w:eastAsia="宋体" w:cs="宋体"/>
          <w:color w:val="auto"/>
          <w:lang w:val="en-US" w:eastAsia="zh-CN"/>
        </w:rPr>
        <w:t>六</w:t>
      </w:r>
      <w:r>
        <w:rPr>
          <w:rFonts w:hint="eastAsia" w:ascii="宋体" w:hAnsi="宋体" w:eastAsia="宋体" w:cs="宋体"/>
          <w:color w:val="auto"/>
          <w:lang w:eastAsia="zh-CN"/>
        </w:rPr>
        <w:t>）评审标准与方法</w:t>
      </w:r>
    </w:p>
    <w:p>
      <w:pPr>
        <w:pStyle w:val="4"/>
        <w:rPr>
          <w:rFonts w:ascii="宋体" w:hAnsi="宋体" w:eastAsia="宋体" w:cs="宋体"/>
          <w:b/>
          <w:bCs/>
          <w:color w:val="auto"/>
          <w:spacing w:val="2"/>
          <w:sz w:val="21"/>
          <w:szCs w:val="21"/>
          <w:lang w:eastAsia="zh-CN" w:bidi="ar"/>
        </w:rPr>
      </w:pPr>
      <w:r>
        <w:rPr>
          <w:rFonts w:hint="eastAsia" w:ascii="宋体" w:hAnsi="宋体" w:eastAsia="宋体" w:cs="宋体"/>
          <w:b/>
          <w:bCs/>
          <w:color w:val="auto"/>
          <w:spacing w:val="2"/>
          <w:sz w:val="21"/>
          <w:szCs w:val="21"/>
          <w:lang w:eastAsia="zh-CN" w:bidi="ar"/>
        </w:rPr>
        <w:t>27、</w:t>
      </w:r>
      <w:r>
        <w:rPr>
          <w:rFonts w:ascii="宋体" w:hAnsi="宋体" w:eastAsia="宋体" w:cs="宋体"/>
          <w:b/>
          <w:bCs/>
          <w:color w:val="auto"/>
          <w:spacing w:val="2"/>
          <w:sz w:val="21"/>
          <w:szCs w:val="21"/>
          <w:lang w:eastAsia="zh-CN" w:bidi="ar"/>
        </w:rPr>
        <w:t>评审方法</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27.1评审方法：采用综合评分法进行评审</w:t>
      </w:r>
    </w:p>
    <w:p>
      <w:pPr>
        <w:widowControl/>
        <w:spacing w:line="360" w:lineRule="auto"/>
        <w:jc w:val="left"/>
        <w:rPr>
          <w:rFonts w:hint="eastAsia" w:ascii="宋体" w:hAnsi="宋体" w:cs="宋体"/>
          <w:color w:val="auto"/>
          <w:szCs w:val="21"/>
          <w:lang w:eastAsia="zh-CN" w:bidi="ar"/>
        </w:rPr>
      </w:pPr>
      <w:r>
        <w:rPr>
          <w:rFonts w:hint="eastAsia"/>
          <w:color w:val="auto"/>
          <w:lang w:val="en-GB"/>
        </w:rPr>
        <w:t>评标委员会将严格按照本招标文件的评审标准与方法，在符合有效投标范畴且最大限度地满足招标文件实质性要求前提下，对投标人进行综合评审和独立评分。评审因素评分以该项“满分值”或“分值”为上限，“0”分为下限。如投标人未能按评审标准中的要求提供相关证明材料的，不能获取相应分值。</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27.2评分比重</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6"/>
        <w:gridCol w:w="5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blHeader/>
          <w:jc w:val="center"/>
        </w:trPr>
        <w:tc>
          <w:tcPr>
            <w:tcW w:w="3166" w:type="dxa"/>
            <w:shd w:val="clear" w:color="auto" w:fill="F2F2F2"/>
            <w:noWrap w:val="0"/>
            <w:vAlign w:val="top"/>
          </w:tcPr>
          <w:p>
            <w:pPr>
              <w:spacing w:line="288" w:lineRule="auto"/>
              <w:jc w:val="center"/>
              <w:rPr>
                <w:rFonts w:hint="eastAsia"/>
                <w:b/>
                <w:color w:val="auto"/>
              </w:rPr>
            </w:pPr>
            <w:r>
              <w:rPr>
                <w:rFonts w:hint="eastAsia"/>
                <w:b/>
                <w:color w:val="auto"/>
              </w:rPr>
              <w:t>评审部分</w:t>
            </w:r>
          </w:p>
        </w:tc>
        <w:tc>
          <w:tcPr>
            <w:tcW w:w="5942" w:type="dxa"/>
            <w:shd w:val="clear" w:color="auto" w:fill="F2F2F2"/>
            <w:noWrap w:val="0"/>
            <w:vAlign w:val="top"/>
          </w:tcPr>
          <w:p>
            <w:pPr>
              <w:spacing w:line="288" w:lineRule="auto"/>
              <w:jc w:val="center"/>
              <w:rPr>
                <w:rFonts w:hint="eastAsia"/>
                <w:b/>
                <w:color w:val="auto"/>
              </w:rPr>
            </w:pPr>
            <w:r>
              <w:rPr>
                <w:rFonts w:hint="eastAsia"/>
                <w:b/>
                <w:color w:val="auto"/>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3166" w:type="dxa"/>
            <w:noWrap w:val="0"/>
            <w:vAlign w:val="top"/>
          </w:tcPr>
          <w:p>
            <w:pPr>
              <w:spacing w:line="288" w:lineRule="auto"/>
              <w:jc w:val="center"/>
              <w:rPr>
                <w:rFonts w:hint="eastAsia"/>
                <w:color w:val="auto"/>
              </w:rPr>
            </w:pPr>
            <w:r>
              <w:rPr>
                <w:rFonts w:hint="eastAsia"/>
                <w:b/>
                <w:color w:val="auto"/>
              </w:rPr>
              <w:t>商务部分</w:t>
            </w:r>
          </w:p>
        </w:tc>
        <w:tc>
          <w:tcPr>
            <w:tcW w:w="5942" w:type="dxa"/>
            <w:noWrap w:val="0"/>
            <w:vAlign w:val="top"/>
          </w:tcPr>
          <w:p>
            <w:pPr>
              <w:pageBreakBefore w:val="0"/>
              <w:kinsoku/>
              <w:wordWrap w:val="0"/>
              <w:overflowPunct/>
              <w:topLinePunct w:val="0"/>
              <w:bidi w:val="0"/>
              <w:adjustRightInd/>
              <w:snapToGrid/>
              <w:spacing w:line="288" w:lineRule="auto"/>
              <w:jc w:val="center"/>
              <w:rPr>
                <w:rFonts w:hint="default" w:eastAsia="宋体"/>
                <w:color w:val="auto"/>
                <w:lang w:val="en-US" w:eastAsia="zh-CN"/>
              </w:rPr>
            </w:pPr>
            <w:r>
              <w:rPr>
                <w:rFonts w:hint="eastAsia"/>
                <w:color w:val="auto"/>
                <w:lang w:val="en-US" w:eastAsia="zh-CN"/>
              </w:rPr>
              <w:t>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166" w:type="dxa"/>
            <w:noWrap w:val="0"/>
            <w:vAlign w:val="top"/>
          </w:tcPr>
          <w:p>
            <w:pPr>
              <w:spacing w:line="288" w:lineRule="auto"/>
              <w:jc w:val="center"/>
              <w:rPr>
                <w:rFonts w:hint="eastAsia"/>
                <w:color w:val="auto"/>
              </w:rPr>
            </w:pPr>
            <w:r>
              <w:rPr>
                <w:rFonts w:hint="eastAsia"/>
                <w:b/>
                <w:color w:val="auto"/>
              </w:rPr>
              <w:t>技术部分</w:t>
            </w:r>
          </w:p>
        </w:tc>
        <w:tc>
          <w:tcPr>
            <w:tcW w:w="5942" w:type="dxa"/>
            <w:noWrap w:val="0"/>
            <w:vAlign w:val="top"/>
          </w:tcPr>
          <w:p>
            <w:pPr>
              <w:pageBreakBefore w:val="0"/>
              <w:kinsoku/>
              <w:wordWrap w:val="0"/>
              <w:overflowPunct/>
              <w:topLinePunct w:val="0"/>
              <w:bidi w:val="0"/>
              <w:adjustRightInd/>
              <w:snapToGrid/>
              <w:spacing w:line="288" w:lineRule="auto"/>
              <w:jc w:val="center"/>
              <w:rPr>
                <w:rFonts w:hint="default" w:eastAsia="宋体"/>
                <w:color w:val="auto"/>
                <w:lang w:val="en-US" w:eastAsia="zh-CN"/>
              </w:rPr>
            </w:pPr>
            <w:r>
              <w:rPr>
                <w:rFonts w:hint="eastAsia"/>
                <w:color w:val="auto"/>
                <w:lang w:val="en-US" w:eastAsia="zh-CN"/>
              </w:rPr>
              <w:t>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166" w:type="dxa"/>
            <w:noWrap w:val="0"/>
            <w:vAlign w:val="top"/>
          </w:tcPr>
          <w:p>
            <w:pPr>
              <w:spacing w:line="288" w:lineRule="auto"/>
              <w:jc w:val="center"/>
              <w:rPr>
                <w:rFonts w:hint="eastAsia"/>
                <w:color w:val="auto"/>
              </w:rPr>
            </w:pPr>
            <w:r>
              <w:rPr>
                <w:rFonts w:hint="eastAsia"/>
                <w:b/>
                <w:color w:val="auto"/>
              </w:rPr>
              <w:t>价格部分</w:t>
            </w:r>
          </w:p>
        </w:tc>
        <w:tc>
          <w:tcPr>
            <w:tcW w:w="5942" w:type="dxa"/>
            <w:noWrap w:val="0"/>
            <w:vAlign w:val="top"/>
          </w:tcPr>
          <w:p>
            <w:pPr>
              <w:pageBreakBefore w:val="0"/>
              <w:kinsoku/>
              <w:wordWrap w:val="0"/>
              <w:overflowPunct/>
              <w:topLinePunct w:val="0"/>
              <w:bidi w:val="0"/>
              <w:adjustRightInd/>
              <w:snapToGrid/>
              <w:spacing w:line="288" w:lineRule="auto"/>
              <w:jc w:val="center"/>
              <w:rPr>
                <w:rFonts w:hint="default" w:eastAsia="宋体"/>
                <w:color w:val="auto"/>
                <w:lang w:val="en-US" w:eastAsia="zh-CN"/>
              </w:rPr>
            </w:pPr>
            <w:r>
              <w:rPr>
                <w:rFonts w:hint="eastAsia"/>
                <w:color w:val="auto"/>
                <w:lang w:val="en-US" w:eastAsia="zh-CN"/>
              </w:rPr>
              <w:t>20分</w:t>
            </w:r>
          </w:p>
        </w:tc>
      </w:tr>
    </w:tbl>
    <w:p>
      <w:pPr>
        <w:widowControl/>
        <w:spacing w:line="360" w:lineRule="auto"/>
        <w:jc w:val="left"/>
        <w:rPr>
          <w:rFonts w:hint="eastAsia"/>
          <w:color w:val="auto"/>
          <w:lang w:val="en-GB"/>
        </w:rPr>
      </w:pPr>
      <w:r>
        <w:rPr>
          <w:rFonts w:hint="eastAsia" w:ascii="宋体" w:hAnsi="宋体" w:cs="宋体"/>
          <w:color w:val="auto"/>
          <w:szCs w:val="21"/>
          <w:lang w:eastAsia="zh-CN"/>
        </w:rPr>
        <w:t>27.3</w:t>
      </w:r>
      <w:r>
        <w:rPr>
          <w:rFonts w:hint="eastAsia"/>
          <w:color w:val="auto"/>
          <w:lang w:val="en-GB"/>
        </w:rPr>
        <w:t>评审部分得分及评分汇总：</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6"/>
        <w:gridCol w:w="5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blHeader/>
          <w:jc w:val="center"/>
        </w:trPr>
        <w:tc>
          <w:tcPr>
            <w:tcW w:w="3166" w:type="dxa"/>
            <w:shd w:val="clear" w:color="auto" w:fill="F2F2F2"/>
            <w:noWrap w:val="0"/>
            <w:vAlign w:val="top"/>
          </w:tcPr>
          <w:p>
            <w:pPr>
              <w:spacing w:line="288" w:lineRule="auto"/>
              <w:jc w:val="center"/>
              <w:rPr>
                <w:rFonts w:hint="eastAsia"/>
                <w:b/>
                <w:color w:val="auto"/>
              </w:rPr>
            </w:pPr>
            <w:r>
              <w:rPr>
                <w:rFonts w:hint="eastAsia"/>
                <w:b/>
                <w:color w:val="auto"/>
              </w:rPr>
              <w:t>评审部分</w:t>
            </w:r>
          </w:p>
        </w:tc>
        <w:tc>
          <w:tcPr>
            <w:tcW w:w="5942" w:type="dxa"/>
            <w:shd w:val="clear" w:color="auto" w:fill="F2F2F2"/>
            <w:noWrap w:val="0"/>
            <w:vAlign w:val="top"/>
          </w:tcPr>
          <w:p>
            <w:pPr>
              <w:spacing w:line="288" w:lineRule="auto"/>
              <w:jc w:val="center"/>
              <w:rPr>
                <w:rFonts w:hint="eastAsia"/>
                <w:b/>
                <w:color w:val="auto"/>
              </w:rPr>
            </w:pPr>
            <w:r>
              <w:rPr>
                <w:rFonts w:hint="eastAsia"/>
                <w:b/>
                <w:color w:val="auto"/>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3166" w:type="dxa"/>
            <w:noWrap w:val="0"/>
            <w:vAlign w:val="top"/>
          </w:tcPr>
          <w:p>
            <w:pPr>
              <w:spacing w:line="288" w:lineRule="auto"/>
              <w:jc w:val="center"/>
              <w:rPr>
                <w:rFonts w:hint="eastAsia"/>
                <w:color w:val="auto"/>
              </w:rPr>
            </w:pPr>
            <w:r>
              <w:rPr>
                <w:rFonts w:hint="eastAsia"/>
                <w:b/>
                <w:color w:val="auto"/>
              </w:rPr>
              <w:t>商务部分</w:t>
            </w:r>
          </w:p>
        </w:tc>
        <w:tc>
          <w:tcPr>
            <w:tcW w:w="5942" w:type="dxa"/>
            <w:noWrap w:val="0"/>
            <w:vAlign w:val="top"/>
          </w:tcPr>
          <w:p>
            <w:pPr>
              <w:pageBreakBefore w:val="0"/>
              <w:kinsoku/>
              <w:wordWrap w:val="0"/>
              <w:overflowPunct/>
              <w:topLinePunct w:val="0"/>
              <w:bidi w:val="0"/>
              <w:adjustRightInd/>
              <w:snapToGrid/>
              <w:spacing w:line="288" w:lineRule="auto"/>
              <w:jc w:val="center"/>
              <w:rPr>
                <w:rFonts w:hint="default" w:eastAsia="宋体"/>
                <w:color w:val="auto"/>
                <w:lang w:val="en-US" w:eastAsia="zh-CN"/>
              </w:rPr>
            </w:pPr>
            <w:r>
              <w:rPr>
                <w:rFonts w:hint="eastAsia"/>
                <w:color w:val="auto"/>
                <w:lang w:val="en-US" w:eastAsia="zh-CN"/>
              </w:rPr>
              <w:t>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166" w:type="dxa"/>
            <w:noWrap w:val="0"/>
            <w:vAlign w:val="top"/>
          </w:tcPr>
          <w:p>
            <w:pPr>
              <w:spacing w:line="288" w:lineRule="auto"/>
              <w:jc w:val="center"/>
              <w:rPr>
                <w:rFonts w:hint="eastAsia"/>
                <w:color w:val="auto"/>
              </w:rPr>
            </w:pPr>
            <w:r>
              <w:rPr>
                <w:rFonts w:hint="eastAsia"/>
                <w:b/>
                <w:color w:val="auto"/>
              </w:rPr>
              <w:t>技术部分</w:t>
            </w:r>
          </w:p>
        </w:tc>
        <w:tc>
          <w:tcPr>
            <w:tcW w:w="5942" w:type="dxa"/>
            <w:noWrap w:val="0"/>
            <w:vAlign w:val="top"/>
          </w:tcPr>
          <w:p>
            <w:pPr>
              <w:pageBreakBefore w:val="0"/>
              <w:kinsoku/>
              <w:wordWrap w:val="0"/>
              <w:overflowPunct/>
              <w:topLinePunct w:val="0"/>
              <w:bidi w:val="0"/>
              <w:adjustRightInd/>
              <w:snapToGrid/>
              <w:spacing w:line="288" w:lineRule="auto"/>
              <w:jc w:val="center"/>
              <w:rPr>
                <w:rFonts w:hint="default" w:eastAsia="宋体"/>
                <w:color w:val="auto"/>
                <w:lang w:val="en-US" w:eastAsia="zh-CN"/>
              </w:rPr>
            </w:pPr>
            <w:r>
              <w:rPr>
                <w:rFonts w:hint="eastAsia"/>
                <w:color w:val="auto"/>
                <w:lang w:val="en-US" w:eastAsia="zh-CN"/>
              </w:rPr>
              <w:t>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166" w:type="dxa"/>
            <w:noWrap w:val="0"/>
            <w:vAlign w:val="top"/>
          </w:tcPr>
          <w:p>
            <w:pPr>
              <w:spacing w:line="288" w:lineRule="auto"/>
              <w:jc w:val="center"/>
              <w:rPr>
                <w:rFonts w:hint="eastAsia"/>
                <w:color w:val="auto"/>
              </w:rPr>
            </w:pPr>
            <w:r>
              <w:rPr>
                <w:rFonts w:hint="eastAsia"/>
                <w:b/>
                <w:color w:val="auto"/>
              </w:rPr>
              <w:t>价格部分</w:t>
            </w:r>
          </w:p>
        </w:tc>
        <w:tc>
          <w:tcPr>
            <w:tcW w:w="5942" w:type="dxa"/>
            <w:noWrap w:val="0"/>
            <w:vAlign w:val="top"/>
          </w:tcPr>
          <w:p>
            <w:pPr>
              <w:pageBreakBefore w:val="0"/>
              <w:kinsoku/>
              <w:wordWrap w:val="0"/>
              <w:overflowPunct/>
              <w:topLinePunct w:val="0"/>
              <w:bidi w:val="0"/>
              <w:adjustRightInd/>
              <w:snapToGrid/>
              <w:spacing w:line="288" w:lineRule="auto"/>
              <w:jc w:val="center"/>
              <w:rPr>
                <w:rFonts w:hint="default" w:eastAsia="宋体"/>
                <w:color w:val="auto"/>
                <w:lang w:val="en-US" w:eastAsia="zh-CN"/>
              </w:rPr>
            </w:pPr>
            <w:r>
              <w:rPr>
                <w:rFonts w:hint="eastAsia"/>
                <w:color w:val="auto"/>
                <w:lang w:val="en-US" w:eastAsia="zh-CN"/>
              </w:rPr>
              <w:t>20分</w:t>
            </w:r>
          </w:p>
        </w:tc>
      </w:tr>
    </w:tbl>
    <w:p>
      <w:pPr>
        <w:widowControl/>
        <w:spacing w:line="360" w:lineRule="auto"/>
        <w:jc w:val="left"/>
        <w:rPr>
          <w:rFonts w:ascii="宋体" w:hAnsi="宋体" w:cs="宋体"/>
          <w:color w:val="auto"/>
          <w:szCs w:val="21"/>
          <w:lang w:eastAsia="zh-CN"/>
        </w:rPr>
      </w:pPr>
      <w:r>
        <w:rPr>
          <w:rFonts w:hint="eastAsia" w:ascii="宋体" w:hAnsi="宋体" w:cs="宋体"/>
          <w:color w:val="auto"/>
          <w:szCs w:val="21"/>
          <w:lang w:val="en-US" w:eastAsia="zh-CN" w:bidi="ar"/>
        </w:rPr>
        <w:t>27.4</w:t>
      </w:r>
      <w:r>
        <w:rPr>
          <w:rFonts w:hint="eastAsia" w:ascii="宋体" w:hAnsi="宋体" w:cs="宋体"/>
          <w:color w:val="auto"/>
          <w:szCs w:val="21"/>
          <w:lang w:eastAsia="zh-CN" w:bidi="ar"/>
        </w:rPr>
        <w:t>量化</w:t>
      </w:r>
      <w:r>
        <w:rPr>
          <w:rFonts w:hint="eastAsia" w:ascii="宋体" w:hAnsi="宋体" w:cs="宋体"/>
          <w:color w:val="auto"/>
          <w:szCs w:val="21"/>
          <w:lang w:eastAsia="zh-CN"/>
        </w:rPr>
        <w:t>评审</w:t>
      </w:r>
      <w:r>
        <w:rPr>
          <w:rFonts w:hint="eastAsia" w:ascii="宋体" w:hAnsi="宋体" w:cs="宋体"/>
          <w:color w:val="auto"/>
          <w:szCs w:val="21"/>
          <w:lang w:eastAsia="zh-CN" w:bidi="ar"/>
        </w:rPr>
        <w:t>内容</w:t>
      </w:r>
    </w:p>
    <w:p>
      <w:pPr>
        <w:spacing w:line="360" w:lineRule="auto"/>
        <w:rPr>
          <w:rFonts w:hint="eastAsia"/>
          <w:b/>
          <w:color w:val="auto"/>
          <w:lang w:val="en-GB"/>
        </w:rPr>
      </w:pPr>
      <w:r>
        <w:rPr>
          <w:rFonts w:hint="eastAsia" w:ascii="宋体" w:hAnsi="宋体" w:cs="宋体"/>
          <w:color w:val="auto"/>
          <w:lang w:val="en-US" w:eastAsia="zh-CN"/>
        </w:rPr>
        <w:t>1）</w:t>
      </w:r>
      <w:r>
        <w:rPr>
          <w:rFonts w:hint="eastAsia"/>
          <w:b/>
          <w:color w:val="auto"/>
          <w:lang w:val="en-GB"/>
        </w:rPr>
        <w:t>商务部分评审标准</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
        <w:gridCol w:w="2056"/>
        <w:gridCol w:w="5599"/>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tblHeader/>
          <w:jc w:val="center"/>
        </w:trPr>
        <w:tc>
          <w:tcPr>
            <w:tcW w:w="2510" w:type="dxa"/>
            <w:gridSpan w:val="2"/>
            <w:shd w:val="clear" w:color="auto" w:fill="F3F3F3"/>
            <w:noWrap w:val="0"/>
            <w:vAlign w:val="center"/>
          </w:tcPr>
          <w:p>
            <w:pPr>
              <w:pageBreakBefore w:val="0"/>
              <w:kinsoku/>
              <w:wordWrap w:val="0"/>
              <w:overflowPunct/>
              <w:topLinePunct w:val="0"/>
              <w:bidi w:val="0"/>
              <w:adjustRightInd/>
              <w:snapToGrid/>
              <w:jc w:val="center"/>
              <w:rPr>
                <w:b/>
                <w:color w:val="auto"/>
                <w:szCs w:val="24"/>
              </w:rPr>
            </w:pPr>
            <w:r>
              <w:rPr>
                <w:rFonts w:hint="eastAsia"/>
                <w:b/>
                <w:color w:val="auto"/>
                <w:szCs w:val="24"/>
              </w:rPr>
              <w:t>评审因素</w:t>
            </w:r>
          </w:p>
        </w:tc>
        <w:tc>
          <w:tcPr>
            <w:tcW w:w="5599" w:type="dxa"/>
            <w:shd w:val="clear" w:color="auto" w:fill="F3F3F3"/>
            <w:noWrap w:val="0"/>
            <w:vAlign w:val="center"/>
          </w:tcPr>
          <w:p>
            <w:pPr>
              <w:pageBreakBefore w:val="0"/>
              <w:kinsoku/>
              <w:wordWrap w:val="0"/>
              <w:overflowPunct/>
              <w:topLinePunct w:val="0"/>
              <w:bidi w:val="0"/>
              <w:adjustRightInd/>
              <w:snapToGrid/>
              <w:jc w:val="center"/>
              <w:rPr>
                <w:b/>
                <w:color w:val="auto"/>
                <w:szCs w:val="24"/>
              </w:rPr>
            </w:pPr>
            <w:r>
              <w:rPr>
                <w:rFonts w:hint="eastAsia"/>
                <w:b/>
                <w:color w:val="auto"/>
                <w:szCs w:val="24"/>
              </w:rPr>
              <w:t>评分标准</w:t>
            </w:r>
          </w:p>
        </w:tc>
        <w:tc>
          <w:tcPr>
            <w:tcW w:w="962" w:type="dxa"/>
            <w:shd w:val="clear" w:color="auto" w:fill="F3F3F3"/>
            <w:noWrap w:val="0"/>
            <w:vAlign w:val="center"/>
          </w:tcPr>
          <w:p>
            <w:pPr>
              <w:pStyle w:val="21"/>
              <w:pageBreakBefore w:val="0"/>
              <w:kinsoku/>
              <w:wordWrap w:val="0"/>
              <w:overflowPunct/>
              <w:topLinePunct w:val="0"/>
              <w:bidi w:val="0"/>
              <w:adjustRightInd/>
              <w:snapToGrid/>
              <w:ind w:left="-91" w:leftChars="-57" w:right="-122"/>
              <w:rPr>
                <w:rFonts w:ascii="宋体" w:hAnsi="宋体"/>
                <w:color w:val="auto"/>
                <w:sz w:val="24"/>
                <w:szCs w:val="24"/>
              </w:rPr>
            </w:pPr>
            <w:r>
              <w:rPr>
                <w:rFonts w:hint="eastAsia" w:ascii="宋体" w:hAnsi="宋体"/>
                <w:color w:val="auto"/>
                <w:sz w:val="24"/>
                <w:szCs w:val="24"/>
              </w:rPr>
              <w:t>满分值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454" w:type="dxa"/>
            <w:noWrap w:val="0"/>
            <w:vAlign w:val="center"/>
          </w:tcPr>
          <w:p>
            <w:pPr>
              <w:pageBreakBefore w:val="0"/>
              <w:kinsoku/>
              <w:wordWrap w:val="0"/>
              <w:overflowPunct/>
              <w:topLinePunct w:val="0"/>
              <w:bidi w:val="0"/>
              <w:adjustRightInd/>
              <w:snapToGrid/>
              <w:spacing w:line="288" w:lineRule="auto"/>
              <w:jc w:val="center"/>
              <w:rPr>
                <w:color w:val="auto"/>
              </w:rPr>
            </w:pPr>
            <w:r>
              <w:rPr>
                <w:rFonts w:hint="eastAsia"/>
                <w:color w:val="auto"/>
              </w:rPr>
              <w:t>1</w:t>
            </w:r>
          </w:p>
        </w:tc>
        <w:tc>
          <w:tcPr>
            <w:tcW w:w="2056" w:type="dxa"/>
            <w:noWrap w:val="0"/>
            <w:vAlign w:val="center"/>
          </w:tcPr>
          <w:p>
            <w:pPr>
              <w:pageBreakBefore w:val="0"/>
              <w:kinsoku/>
              <w:wordWrap w:val="0"/>
              <w:overflowPunct/>
              <w:topLinePunct w:val="0"/>
              <w:bidi w:val="0"/>
              <w:adjustRightInd/>
              <w:snapToGrid/>
              <w:spacing w:line="288" w:lineRule="auto"/>
              <w:jc w:val="center"/>
              <w:rPr>
                <w:rFonts w:hint="eastAsia" w:ascii="宋体" w:hAnsi="宋体" w:eastAsia="宋体" w:cs="Times New Roman"/>
                <w:color w:val="auto"/>
                <w:lang w:val="en-GB" w:eastAsia="zh-CN"/>
              </w:rPr>
            </w:pPr>
            <w:r>
              <w:rPr>
                <w:rFonts w:hint="eastAsia" w:ascii="宋体" w:hAnsi="宋体" w:eastAsia="宋体" w:cs="Times New Roman"/>
                <w:color w:val="auto"/>
                <w:lang w:val="en-US" w:eastAsia="zh-CN"/>
              </w:rPr>
              <w:t>同类项目业绩</w:t>
            </w:r>
          </w:p>
        </w:tc>
        <w:tc>
          <w:tcPr>
            <w:tcW w:w="5599" w:type="dxa"/>
            <w:noWrap w:val="0"/>
            <w:vAlign w:val="center"/>
          </w:tcPr>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2023年1月1日至今（以合同签订时间为准，同一甲方（或项目委托方）不同时间或不同项目可以重复计算）投标人承接过同类物业服务项目业绩的，每提供一个有效业绩得5分，最高得15分。</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注：（1）提供合同或协议书复印件作为证明材料（须包含但不限于合同名称、服务范围、合同金额、合同签订日期以及甲乙双方盖章页），不提供或未按照要求提供的均不得分。</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（2）投标人提供的业绩是否符合评分要求，由评标委员会成员评定。</w:t>
            </w:r>
          </w:p>
        </w:tc>
        <w:tc>
          <w:tcPr>
            <w:tcW w:w="962" w:type="dxa"/>
            <w:noWrap w:val="0"/>
            <w:vAlign w:val="center"/>
          </w:tcPr>
          <w:p>
            <w:pPr>
              <w:pageBreakBefore w:val="0"/>
              <w:kinsoku/>
              <w:wordWrap w:val="0"/>
              <w:overflowPunct/>
              <w:topLinePunct w:val="0"/>
              <w:bidi w:val="0"/>
              <w:adjustRightInd/>
              <w:snapToGrid/>
              <w:spacing w:line="288" w:lineRule="auto"/>
              <w:jc w:val="center"/>
              <w:rPr>
                <w:rFonts w:hint="default" w:ascii="宋体" w:hAnsi="宋体" w:eastAsia="宋体" w:cs="Times New Roman"/>
                <w:color w:val="auto"/>
                <w:lang w:val="en-US" w:eastAsia="zh-CN"/>
              </w:rPr>
            </w:pPr>
            <w:r>
              <w:rPr>
                <w:rFonts w:hint="eastAsia" w:ascii="宋体" w:hAnsi="宋体" w:eastAsia="宋体" w:cs="Times New Roman"/>
                <w:color w:val="auto"/>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454" w:type="dxa"/>
            <w:noWrap w:val="0"/>
            <w:vAlign w:val="center"/>
          </w:tcPr>
          <w:p>
            <w:pPr>
              <w:pageBreakBefore w:val="0"/>
              <w:kinsoku/>
              <w:wordWrap w:val="0"/>
              <w:overflowPunct/>
              <w:topLinePunct w:val="0"/>
              <w:bidi w:val="0"/>
              <w:adjustRightInd/>
              <w:snapToGrid/>
              <w:spacing w:line="288" w:lineRule="auto"/>
              <w:jc w:val="center"/>
              <w:rPr>
                <w:color w:val="auto"/>
              </w:rPr>
            </w:pPr>
            <w:r>
              <w:rPr>
                <w:rFonts w:hint="eastAsia"/>
                <w:color w:val="auto"/>
              </w:rPr>
              <w:t>2</w:t>
            </w:r>
          </w:p>
        </w:tc>
        <w:tc>
          <w:tcPr>
            <w:tcW w:w="2056" w:type="dxa"/>
            <w:noWrap w:val="0"/>
            <w:vAlign w:val="center"/>
          </w:tcPr>
          <w:p>
            <w:pPr>
              <w:pageBreakBefore w:val="0"/>
              <w:kinsoku/>
              <w:wordWrap w:val="0"/>
              <w:overflowPunct/>
              <w:topLinePunct w:val="0"/>
              <w:bidi w:val="0"/>
              <w:adjustRightInd/>
              <w:snapToGrid/>
              <w:spacing w:line="288" w:lineRule="auto"/>
              <w:jc w:val="center"/>
              <w:rPr>
                <w:rFonts w:hint="default" w:ascii="宋体" w:hAnsi="宋体" w:eastAsia="宋体" w:cs="Times New Roman"/>
                <w:color w:val="auto"/>
                <w:lang w:val="en-US" w:eastAsia="zh-CN"/>
              </w:rPr>
            </w:pPr>
            <w:r>
              <w:rPr>
                <w:rFonts w:hint="eastAsia" w:ascii="宋体" w:hAnsi="宋体" w:eastAsia="宋体" w:cs="Times New Roman"/>
                <w:color w:val="auto"/>
                <w:lang w:val="en-US" w:eastAsia="zh-CN"/>
              </w:rPr>
              <w:t>用户评价</w:t>
            </w:r>
          </w:p>
        </w:tc>
        <w:tc>
          <w:tcPr>
            <w:tcW w:w="5599" w:type="dxa"/>
            <w:noWrap w:val="0"/>
            <w:vAlign w:val="top"/>
          </w:tcPr>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根据前项评分“同类项目业绩”中有效计分业绩的用户评价情况进行评审：</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获得同一甲方（或项目委托方）考核评价为正面评价（优秀、优良、良好、满意或相当于类似评价）的，每提供一份正面评价得5分，最高得15分。</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注：须提供合同甲方（或项目委托方）盖章的用户评价或评估考核材料复印件并加盖投标人公章作为证明材料，不提供或未按照要求提供的均不得分。</w:t>
            </w:r>
          </w:p>
        </w:tc>
        <w:tc>
          <w:tcPr>
            <w:tcW w:w="962" w:type="dxa"/>
            <w:noWrap w:val="0"/>
            <w:vAlign w:val="center"/>
          </w:tcPr>
          <w:p>
            <w:pPr>
              <w:pageBreakBefore w:val="0"/>
              <w:kinsoku/>
              <w:wordWrap w:val="0"/>
              <w:overflowPunct/>
              <w:topLinePunct w:val="0"/>
              <w:bidi w:val="0"/>
              <w:adjustRightInd/>
              <w:snapToGrid/>
              <w:spacing w:line="288" w:lineRule="auto"/>
              <w:jc w:val="center"/>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9071" w:type="dxa"/>
            <w:gridSpan w:val="4"/>
            <w:noWrap w:val="0"/>
            <w:vAlign w:val="center"/>
          </w:tcPr>
          <w:p>
            <w:pPr>
              <w:pageBreakBefore w:val="0"/>
              <w:kinsoku/>
              <w:wordWrap w:val="0"/>
              <w:overflowPunct/>
              <w:topLinePunct w:val="0"/>
              <w:bidi w:val="0"/>
              <w:adjustRightInd/>
              <w:snapToGrid/>
              <w:rPr>
                <w:rFonts w:hint="eastAsia" w:ascii="宋体" w:hAnsi="宋体" w:eastAsia="宋体" w:cs="宋体"/>
                <w:color w:val="auto"/>
                <w:sz w:val="24"/>
                <w:szCs w:val="24"/>
              </w:rPr>
            </w:pPr>
            <w:r>
              <w:rPr>
                <w:rFonts w:hint="eastAsia" w:ascii="宋体" w:hAnsi="宋体" w:eastAsia="宋体" w:cs="宋体"/>
                <w:b/>
                <w:color w:val="auto"/>
                <w:sz w:val="24"/>
                <w:szCs w:val="24"/>
              </w:rPr>
              <w:t>注：</w:t>
            </w:r>
            <w:r>
              <w:rPr>
                <w:rFonts w:hint="eastAsia" w:ascii="宋体" w:hAnsi="宋体" w:eastAsia="宋体" w:cs="宋体"/>
                <w:color w:val="auto"/>
                <w:sz w:val="24"/>
                <w:szCs w:val="24"/>
              </w:rPr>
              <w:t>证明材料均为复印件或扫描件或打印件，并加盖单位公章。</w:t>
            </w:r>
          </w:p>
        </w:tc>
      </w:tr>
    </w:tbl>
    <w:p>
      <w:pPr>
        <w:spacing w:line="360" w:lineRule="auto"/>
        <w:rPr>
          <w:rFonts w:hint="eastAsia" w:ascii="宋体" w:hAnsi="宋体" w:eastAsia="宋体" w:cs="宋体"/>
          <w:color w:val="auto"/>
          <w:lang w:val="en-GB" w:eastAsia="zh-CN"/>
        </w:rPr>
      </w:pPr>
      <w:r>
        <w:rPr>
          <w:rFonts w:hint="eastAsia" w:ascii="宋体" w:hAnsi="宋体" w:eastAsia="宋体" w:cs="宋体"/>
          <w:color w:val="auto"/>
          <w:lang w:val="en-US" w:eastAsia="zh-CN"/>
        </w:rPr>
        <w:t>2）</w:t>
      </w:r>
      <w:r>
        <w:rPr>
          <w:rFonts w:hint="eastAsia" w:ascii="宋体" w:hAnsi="宋体" w:eastAsia="宋体" w:cs="宋体"/>
          <w:color w:val="auto"/>
          <w:lang w:val="en-GB" w:eastAsia="zh-CN"/>
        </w:rPr>
        <w:t>技术部分评审标准</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9"/>
        <w:gridCol w:w="1953"/>
        <w:gridCol w:w="5702"/>
        <w:gridCol w:w="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blHeader/>
          <w:jc w:val="center"/>
        </w:trPr>
        <w:tc>
          <w:tcPr>
            <w:tcW w:w="2422" w:type="dxa"/>
            <w:gridSpan w:val="2"/>
            <w:shd w:val="clear" w:color="auto" w:fill="F3F3F3"/>
            <w:noWrap w:val="0"/>
            <w:vAlign w:val="center"/>
          </w:tcPr>
          <w:p>
            <w:pPr>
              <w:pageBreakBefore w:val="0"/>
              <w:kinsoku/>
              <w:wordWrap w:val="0"/>
              <w:overflowPunct/>
              <w:topLinePunct w:val="0"/>
              <w:bidi w:val="0"/>
              <w:adjustRightInd/>
              <w:snapToGrid/>
              <w:jc w:val="center"/>
              <w:rPr>
                <w:b/>
                <w:color w:val="auto"/>
                <w:szCs w:val="24"/>
              </w:rPr>
            </w:pPr>
            <w:r>
              <w:rPr>
                <w:rFonts w:hint="eastAsia"/>
                <w:b/>
                <w:color w:val="auto"/>
                <w:szCs w:val="24"/>
              </w:rPr>
              <w:t>评审因素</w:t>
            </w:r>
          </w:p>
        </w:tc>
        <w:tc>
          <w:tcPr>
            <w:tcW w:w="5702" w:type="dxa"/>
            <w:shd w:val="clear" w:color="auto" w:fill="F3F3F3"/>
            <w:noWrap w:val="0"/>
            <w:vAlign w:val="center"/>
          </w:tcPr>
          <w:p>
            <w:pPr>
              <w:pageBreakBefore w:val="0"/>
              <w:kinsoku/>
              <w:wordWrap w:val="0"/>
              <w:overflowPunct/>
              <w:topLinePunct w:val="0"/>
              <w:bidi w:val="0"/>
              <w:adjustRightInd/>
              <w:snapToGrid/>
              <w:jc w:val="center"/>
              <w:rPr>
                <w:b/>
                <w:color w:val="auto"/>
                <w:szCs w:val="24"/>
              </w:rPr>
            </w:pPr>
            <w:r>
              <w:rPr>
                <w:rFonts w:hint="eastAsia"/>
                <w:b/>
                <w:color w:val="auto"/>
                <w:szCs w:val="24"/>
              </w:rPr>
              <w:t>评分标准</w:t>
            </w:r>
          </w:p>
        </w:tc>
        <w:tc>
          <w:tcPr>
            <w:tcW w:w="977" w:type="dxa"/>
            <w:shd w:val="clear" w:color="auto" w:fill="F3F3F3"/>
            <w:noWrap w:val="0"/>
            <w:vAlign w:val="center"/>
          </w:tcPr>
          <w:p>
            <w:pPr>
              <w:pStyle w:val="21"/>
              <w:pageBreakBefore w:val="0"/>
              <w:kinsoku/>
              <w:wordWrap w:val="0"/>
              <w:overflowPunct/>
              <w:topLinePunct w:val="0"/>
              <w:bidi w:val="0"/>
              <w:adjustRightInd/>
              <w:snapToGrid/>
              <w:ind w:left="-91" w:leftChars="-57" w:right="-122"/>
              <w:rPr>
                <w:rFonts w:ascii="宋体" w:hAnsi="宋体"/>
                <w:color w:val="auto"/>
                <w:sz w:val="24"/>
                <w:szCs w:val="24"/>
              </w:rPr>
            </w:pPr>
            <w:r>
              <w:rPr>
                <w:rFonts w:hint="eastAsia" w:ascii="宋体" w:hAnsi="宋体"/>
                <w:color w:val="auto"/>
                <w:sz w:val="24"/>
                <w:szCs w:val="24"/>
              </w:rPr>
              <w:t>满分值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69" w:type="dxa"/>
            <w:noWrap w:val="0"/>
            <w:vAlign w:val="center"/>
          </w:tcPr>
          <w:p>
            <w:pPr>
              <w:pageBreakBefore w:val="0"/>
              <w:kinsoku/>
              <w:wordWrap w:val="0"/>
              <w:overflowPunct/>
              <w:topLinePunct w:val="0"/>
              <w:bidi w:val="0"/>
              <w:adjustRightInd/>
              <w:snapToGrid/>
              <w:spacing w:line="288" w:lineRule="auto"/>
              <w:jc w:val="center"/>
              <w:rPr>
                <w:rFonts w:hint="eastAsia" w:ascii="宋体" w:hAnsi="宋体" w:eastAsia="宋体" w:cs="Times New Roman"/>
                <w:color w:val="auto"/>
                <w:lang w:val="en-GB"/>
              </w:rPr>
            </w:pPr>
            <w:r>
              <w:rPr>
                <w:rFonts w:hint="eastAsia" w:ascii="宋体" w:hAnsi="宋体" w:eastAsia="宋体" w:cs="Times New Roman"/>
                <w:color w:val="auto"/>
                <w:lang w:val="en-GB"/>
              </w:rPr>
              <w:t>1</w:t>
            </w:r>
          </w:p>
        </w:tc>
        <w:tc>
          <w:tcPr>
            <w:tcW w:w="1953" w:type="dxa"/>
            <w:noWrap w:val="0"/>
            <w:vAlign w:val="center"/>
          </w:tcPr>
          <w:p>
            <w:pPr>
              <w:pageBreakBefore w:val="0"/>
              <w:kinsoku/>
              <w:wordWrap w:val="0"/>
              <w:overflowPunct/>
              <w:topLinePunct w:val="0"/>
              <w:bidi w:val="0"/>
              <w:adjustRightInd/>
              <w:snapToGrid/>
              <w:spacing w:line="288" w:lineRule="auto"/>
              <w:jc w:val="center"/>
              <w:rPr>
                <w:rFonts w:hint="eastAsia" w:ascii="宋体" w:hAnsi="宋体" w:eastAsia="宋体" w:cs="Times New Roman"/>
                <w:color w:val="auto"/>
                <w:lang w:val="en-GB"/>
              </w:rPr>
            </w:pPr>
            <w:r>
              <w:rPr>
                <w:rFonts w:hint="eastAsia" w:ascii="宋体" w:hAnsi="宋体" w:eastAsia="宋体" w:cs="Times New Roman"/>
                <w:color w:val="auto"/>
                <w:lang w:val="en-US" w:eastAsia="zh-CN"/>
              </w:rPr>
              <w:t>项目实施方案</w:t>
            </w:r>
          </w:p>
        </w:tc>
        <w:tc>
          <w:tcPr>
            <w:tcW w:w="5702" w:type="dxa"/>
            <w:noWrap w:val="0"/>
            <w:vAlign w:val="center"/>
          </w:tcPr>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GB"/>
              </w:rPr>
            </w:pPr>
            <w:r>
              <w:rPr>
                <w:rFonts w:hint="eastAsia" w:ascii="宋体" w:hAnsi="宋体" w:eastAsia="宋体" w:cs="Times New Roman"/>
                <w:color w:val="auto"/>
                <w:lang w:val="en-GB"/>
              </w:rPr>
              <w:t>根据</w:t>
            </w:r>
            <w:r>
              <w:rPr>
                <w:rFonts w:hint="eastAsia" w:ascii="宋体" w:hAnsi="宋体" w:eastAsia="宋体" w:cs="Times New Roman"/>
                <w:color w:val="auto"/>
                <w:lang w:val="en-US" w:eastAsia="zh-CN"/>
              </w:rPr>
              <w:t>各</w:t>
            </w:r>
            <w:r>
              <w:rPr>
                <w:rFonts w:hint="eastAsia" w:ascii="宋体" w:hAnsi="宋体" w:eastAsia="宋体" w:cs="Times New Roman"/>
                <w:color w:val="auto"/>
                <w:lang w:val="en-GB" w:eastAsia="zh-CN"/>
              </w:rPr>
              <w:t>投标人提供的项目实施方案（包括但不限于项目实施方案、工作目标、工作标准与技术要求、质量保证措施</w:t>
            </w:r>
            <w:r>
              <w:rPr>
                <w:rFonts w:hint="eastAsia" w:ascii="宋体" w:hAnsi="宋体" w:eastAsia="宋体" w:cs="Times New Roman"/>
                <w:color w:val="auto"/>
                <w:lang w:val="en-US" w:eastAsia="zh-CN"/>
              </w:rPr>
              <w:t>等内容</w:t>
            </w:r>
            <w:r>
              <w:rPr>
                <w:rFonts w:hint="eastAsia" w:ascii="宋体" w:hAnsi="宋体" w:eastAsia="宋体" w:cs="Times New Roman"/>
                <w:color w:val="auto"/>
                <w:lang w:val="en-GB" w:eastAsia="zh-CN"/>
              </w:rPr>
              <w:t>）进行</w:t>
            </w:r>
            <w:r>
              <w:rPr>
                <w:rFonts w:hint="eastAsia" w:ascii="宋体" w:hAnsi="宋体" w:eastAsia="宋体" w:cs="Times New Roman"/>
                <w:color w:val="auto"/>
                <w:lang w:val="en-GB"/>
              </w:rPr>
              <w:t>综合</w:t>
            </w:r>
            <w:r>
              <w:rPr>
                <w:rFonts w:hint="eastAsia" w:ascii="宋体" w:hAnsi="宋体" w:eastAsia="宋体" w:cs="Times New Roman"/>
                <w:color w:val="auto"/>
                <w:lang w:val="en-GB" w:eastAsia="zh-CN"/>
              </w:rPr>
              <w:t>评审</w:t>
            </w:r>
            <w:r>
              <w:rPr>
                <w:rFonts w:hint="eastAsia" w:ascii="宋体" w:hAnsi="宋体" w:eastAsia="宋体" w:cs="Times New Roman"/>
                <w:color w:val="auto"/>
                <w:lang w:val="en-GB"/>
              </w:rPr>
              <w:t>：</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GB"/>
              </w:rPr>
            </w:pPr>
            <w:r>
              <w:rPr>
                <w:rFonts w:hint="eastAsia" w:ascii="宋体" w:hAnsi="宋体" w:eastAsia="宋体" w:cs="Times New Roman"/>
                <w:color w:val="auto"/>
                <w:lang w:val="en-GB"/>
              </w:rPr>
              <w:t>1.方案内容齐全，</w:t>
            </w:r>
            <w:r>
              <w:rPr>
                <w:rFonts w:hint="eastAsia" w:ascii="宋体" w:hAnsi="宋体" w:eastAsia="宋体" w:cs="Times New Roman"/>
                <w:color w:val="auto"/>
                <w:lang w:val="en-US" w:eastAsia="zh-CN"/>
              </w:rPr>
              <w:t>或方案</w:t>
            </w:r>
            <w:r>
              <w:rPr>
                <w:rFonts w:hint="eastAsia" w:ascii="宋体" w:hAnsi="宋体" w:eastAsia="宋体" w:cs="Times New Roman"/>
                <w:color w:val="auto"/>
                <w:lang w:val="en-GB"/>
              </w:rPr>
              <w:t>对</w:t>
            </w:r>
            <w:r>
              <w:rPr>
                <w:rFonts w:hint="eastAsia" w:ascii="宋体" w:hAnsi="宋体" w:eastAsia="宋体" w:cs="Times New Roman"/>
                <w:color w:val="auto"/>
                <w:lang w:val="en-GB" w:eastAsia="zh-CN"/>
              </w:rPr>
              <w:t>项目实施</w:t>
            </w:r>
            <w:r>
              <w:rPr>
                <w:rFonts w:hint="eastAsia" w:ascii="宋体" w:hAnsi="宋体" w:eastAsia="宋体" w:cs="Times New Roman"/>
                <w:color w:val="auto"/>
                <w:lang w:val="en-GB"/>
              </w:rPr>
              <w:t>、工作目标、工作标准与技术要求、质量保证措施</w:t>
            </w:r>
            <w:r>
              <w:rPr>
                <w:rFonts w:hint="eastAsia" w:ascii="宋体" w:hAnsi="宋体" w:eastAsia="宋体" w:cs="Times New Roman"/>
                <w:color w:val="auto"/>
                <w:lang w:val="en-GB" w:eastAsia="zh-CN"/>
              </w:rPr>
              <w:t>等</w:t>
            </w:r>
            <w:r>
              <w:rPr>
                <w:rFonts w:hint="eastAsia" w:ascii="宋体" w:hAnsi="宋体" w:eastAsia="宋体" w:cs="Times New Roman"/>
                <w:color w:val="auto"/>
                <w:lang w:val="en-GB"/>
              </w:rPr>
              <w:t>有详尽描述，方案详细，准确，合理，实施操作性强，针对性高的，得</w:t>
            </w:r>
            <w:r>
              <w:rPr>
                <w:rFonts w:hint="eastAsia" w:ascii="宋体" w:hAnsi="宋体" w:eastAsia="宋体" w:cs="Times New Roman"/>
                <w:color w:val="auto"/>
                <w:lang w:val="en-US" w:eastAsia="zh-CN"/>
              </w:rPr>
              <w:t>10</w:t>
            </w:r>
            <w:r>
              <w:rPr>
                <w:rFonts w:hint="eastAsia" w:ascii="宋体" w:hAnsi="宋体" w:eastAsia="宋体" w:cs="Times New Roman"/>
                <w:color w:val="auto"/>
                <w:lang w:val="en-GB"/>
              </w:rPr>
              <w:t>分；</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GB"/>
              </w:rPr>
            </w:pPr>
            <w:r>
              <w:rPr>
                <w:rFonts w:hint="eastAsia" w:ascii="宋体" w:hAnsi="宋体" w:eastAsia="宋体" w:cs="Times New Roman"/>
                <w:color w:val="auto"/>
                <w:lang w:val="en-GB"/>
              </w:rPr>
              <w:t>2.方案内容缺失不超过1项，或</w:t>
            </w:r>
            <w:r>
              <w:rPr>
                <w:rFonts w:hint="eastAsia" w:ascii="宋体" w:hAnsi="宋体" w:eastAsia="宋体" w:cs="Times New Roman"/>
                <w:color w:val="auto"/>
                <w:lang w:val="en-US" w:eastAsia="zh-CN"/>
              </w:rPr>
              <w:t>方案</w:t>
            </w:r>
            <w:r>
              <w:rPr>
                <w:rFonts w:hint="eastAsia" w:ascii="宋体" w:hAnsi="宋体" w:eastAsia="宋体" w:cs="Times New Roman"/>
                <w:color w:val="auto"/>
                <w:lang w:val="en-GB"/>
              </w:rPr>
              <w:t>对</w:t>
            </w:r>
            <w:r>
              <w:rPr>
                <w:rFonts w:hint="eastAsia" w:ascii="宋体" w:hAnsi="宋体" w:eastAsia="宋体" w:cs="Times New Roman"/>
                <w:color w:val="auto"/>
                <w:lang w:val="en-GB" w:eastAsia="zh-CN"/>
              </w:rPr>
              <w:t>项目实施</w:t>
            </w:r>
            <w:r>
              <w:rPr>
                <w:rFonts w:hint="eastAsia" w:ascii="宋体" w:hAnsi="宋体" w:eastAsia="宋体" w:cs="Times New Roman"/>
                <w:color w:val="auto"/>
                <w:lang w:val="en-GB"/>
              </w:rPr>
              <w:t>、工作目标、工作标准与技术要求、质量保证措施</w:t>
            </w:r>
            <w:r>
              <w:rPr>
                <w:rFonts w:hint="eastAsia" w:ascii="宋体" w:hAnsi="宋体" w:eastAsia="宋体" w:cs="Times New Roman"/>
                <w:color w:val="auto"/>
                <w:lang w:val="en-GB" w:eastAsia="zh-CN"/>
              </w:rPr>
              <w:t>等</w:t>
            </w:r>
            <w:r>
              <w:rPr>
                <w:rFonts w:hint="eastAsia" w:ascii="宋体" w:hAnsi="宋体" w:eastAsia="宋体" w:cs="Times New Roman"/>
                <w:color w:val="auto"/>
                <w:lang w:val="en-GB"/>
              </w:rPr>
              <w:t>有</w:t>
            </w:r>
            <w:r>
              <w:rPr>
                <w:rFonts w:hint="eastAsia" w:ascii="宋体" w:hAnsi="宋体" w:eastAsia="宋体" w:cs="Times New Roman"/>
                <w:color w:val="auto"/>
                <w:lang w:val="en-US" w:eastAsia="zh-CN"/>
              </w:rPr>
              <w:t>相关</w:t>
            </w:r>
            <w:r>
              <w:rPr>
                <w:rFonts w:hint="eastAsia" w:ascii="宋体" w:hAnsi="宋体" w:eastAsia="宋体" w:cs="Times New Roman"/>
                <w:color w:val="auto"/>
                <w:lang w:val="en-GB"/>
              </w:rPr>
              <w:t>描述，</w:t>
            </w:r>
            <w:r>
              <w:rPr>
                <w:rFonts w:hint="eastAsia" w:ascii="宋体" w:hAnsi="宋体" w:eastAsia="宋体" w:cs="Times New Roman"/>
                <w:color w:val="auto"/>
                <w:lang w:val="en-US" w:eastAsia="zh-CN"/>
              </w:rPr>
              <w:t>方案较详细，基本准确，相对合理，实施操作性基本可行，</w:t>
            </w:r>
            <w:r>
              <w:rPr>
                <w:rFonts w:hint="eastAsia" w:ascii="宋体" w:hAnsi="宋体" w:eastAsia="宋体" w:cs="Times New Roman"/>
                <w:color w:val="auto"/>
                <w:lang w:val="en-GB"/>
              </w:rPr>
              <w:t>针对性</w:t>
            </w:r>
            <w:r>
              <w:rPr>
                <w:rFonts w:hint="eastAsia" w:ascii="宋体" w:hAnsi="宋体" w:eastAsia="宋体" w:cs="Times New Roman"/>
                <w:color w:val="auto"/>
                <w:lang w:val="en-GB" w:eastAsia="zh-CN"/>
              </w:rPr>
              <w:t>较高的</w:t>
            </w:r>
            <w:r>
              <w:rPr>
                <w:rFonts w:hint="eastAsia" w:ascii="宋体" w:hAnsi="宋体" w:eastAsia="宋体" w:cs="Times New Roman"/>
                <w:color w:val="auto"/>
                <w:lang w:val="en-GB"/>
              </w:rPr>
              <w:t>，得</w:t>
            </w:r>
            <w:r>
              <w:rPr>
                <w:rFonts w:hint="eastAsia" w:ascii="宋体" w:hAnsi="宋体" w:eastAsia="宋体" w:cs="Times New Roman"/>
                <w:color w:val="auto"/>
                <w:lang w:val="en-US" w:eastAsia="zh-CN"/>
              </w:rPr>
              <w:t>6</w:t>
            </w:r>
            <w:r>
              <w:rPr>
                <w:rFonts w:hint="eastAsia" w:ascii="宋体" w:hAnsi="宋体" w:eastAsia="宋体" w:cs="Times New Roman"/>
                <w:color w:val="auto"/>
                <w:lang w:val="en-GB"/>
              </w:rPr>
              <w:t>分；</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GB"/>
              </w:rPr>
            </w:pPr>
            <w:r>
              <w:rPr>
                <w:rFonts w:hint="eastAsia" w:ascii="宋体" w:hAnsi="宋体" w:eastAsia="宋体" w:cs="Times New Roman"/>
                <w:color w:val="auto"/>
                <w:lang w:val="en-GB"/>
              </w:rPr>
              <w:t>3.方案内容缺失超过1项，或</w:t>
            </w:r>
            <w:r>
              <w:rPr>
                <w:rFonts w:hint="eastAsia" w:ascii="宋体" w:hAnsi="宋体" w:eastAsia="宋体" w:cs="Times New Roman"/>
                <w:color w:val="auto"/>
                <w:lang w:val="en-US" w:eastAsia="zh-CN"/>
              </w:rPr>
              <w:t>方案</w:t>
            </w:r>
            <w:r>
              <w:rPr>
                <w:rFonts w:hint="eastAsia" w:ascii="宋体" w:hAnsi="宋体" w:eastAsia="宋体" w:cs="Times New Roman"/>
                <w:color w:val="auto"/>
                <w:lang w:val="en-GB"/>
              </w:rPr>
              <w:t>对</w:t>
            </w:r>
            <w:r>
              <w:rPr>
                <w:rFonts w:hint="eastAsia" w:ascii="宋体" w:hAnsi="宋体" w:eastAsia="宋体" w:cs="Times New Roman"/>
                <w:color w:val="auto"/>
                <w:lang w:val="en-GB" w:eastAsia="zh-CN"/>
              </w:rPr>
              <w:t>项目实施</w:t>
            </w:r>
            <w:r>
              <w:rPr>
                <w:rFonts w:hint="eastAsia" w:ascii="宋体" w:hAnsi="宋体" w:eastAsia="宋体" w:cs="Times New Roman"/>
                <w:color w:val="auto"/>
                <w:lang w:val="en-GB"/>
              </w:rPr>
              <w:t>、工作目标、工作标准与技术要求、质量保证措施</w:t>
            </w:r>
            <w:r>
              <w:rPr>
                <w:rFonts w:hint="eastAsia" w:ascii="宋体" w:hAnsi="宋体" w:eastAsia="宋体" w:cs="Times New Roman"/>
                <w:color w:val="auto"/>
                <w:lang w:val="en-GB" w:eastAsia="zh-CN"/>
              </w:rPr>
              <w:t>等</w:t>
            </w:r>
            <w:r>
              <w:rPr>
                <w:rFonts w:hint="eastAsia" w:ascii="宋体" w:hAnsi="宋体" w:eastAsia="宋体" w:cs="Times New Roman"/>
                <w:color w:val="auto"/>
                <w:lang w:val="en-GB"/>
              </w:rPr>
              <w:t>有简单描述，服务方案不够详细，实施操作性较弱，针对性</w:t>
            </w:r>
            <w:r>
              <w:rPr>
                <w:rFonts w:hint="eastAsia" w:ascii="宋体" w:hAnsi="宋体" w:eastAsia="宋体" w:cs="Times New Roman"/>
                <w:color w:val="auto"/>
                <w:lang w:val="en-US" w:eastAsia="zh-CN"/>
              </w:rPr>
              <w:t>较低</w:t>
            </w:r>
            <w:r>
              <w:rPr>
                <w:rFonts w:hint="eastAsia" w:ascii="宋体" w:hAnsi="宋体" w:eastAsia="宋体" w:cs="Times New Roman"/>
                <w:color w:val="auto"/>
                <w:lang w:val="en-GB"/>
              </w:rPr>
              <w:t>，得</w:t>
            </w:r>
            <w:r>
              <w:rPr>
                <w:rFonts w:hint="eastAsia" w:ascii="宋体" w:hAnsi="宋体" w:eastAsia="宋体" w:cs="Times New Roman"/>
                <w:color w:val="auto"/>
                <w:lang w:val="en-US" w:eastAsia="zh-CN"/>
              </w:rPr>
              <w:t>2</w:t>
            </w:r>
            <w:r>
              <w:rPr>
                <w:rFonts w:hint="eastAsia" w:ascii="宋体" w:hAnsi="宋体" w:eastAsia="宋体" w:cs="Times New Roman"/>
                <w:color w:val="auto"/>
                <w:lang w:val="en-GB"/>
              </w:rPr>
              <w:t>分；</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GB"/>
              </w:rPr>
            </w:pPr>
            <w:r>
              <w:rPr>
                <w:rFonts w:hint="eastAsia" w:ascii="宋体" w:hAnsi="宋体" w:eastAsia="宋体" w:cs="Times New Roman"/>
                <w:color w:val="auto"/>
                <w:lang w:val="en-GB"/>
              </w:rPr>
              <w:t>4.不提供方案不得分。</w:t>
            </w:r>
          </w:p>
        </w:tc>
        <w:tc>
          <w:tcPr>
            <w:tcW w:w="977" w:type="dxa"/>
            <w:noWrap w:val="0"/>
            <w:vAlign w:val="center"/>
          </w:tcPr>
          <w:p>
            <w:pPr>
              <w:pageBreakBefore w:val="0"/>
              <w:kinsoku/>
              <w:wordWrap w:val="0"/>
              <w:overflowPunct/>
              <w:topLinePunct w:val="0"/>
              <w:bidi w:val="0"/>
              <w:adjustRightInd/>
              <w:snapToGrid/>
              <w:spacing w:line="288" w:lineRule="auto"/>
              <w:jc w:val="center"/>
              <w:rPr>
                <w:rFonts w:hint="eastAsia" w:ascii="宋体" w:hAnsi="宋体" w:eastAsia="宋体" w:cs="Times New Roman"/>
                <w:color w:val="auto"/>
                <w:lang w:val="en-GB"/>
              </w:rPr>
            </w:pPr>
            <w:r>
              <w:rPr>
                <w:rFonts w:hint="eastAsia" w:ascii="宋体" w:hAnsi="宋体" w:eastAsia="宋体" w:cs="Times New Roman"/>
                <w:color w:val="auto"/>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69" w:type="dxa"/>
            <w:noWrap w:val="0"/>
            <w:vAlign w:val="center"/>
          </w:tcPr>
          <w:p>
            <w:pPr>
              <w:pageBreakBefore w:val="0"/>
              <w:kinsoku/>
              <w:wordWrap w:val="0"/>
              <w:overflowPunct/>
              <w:topLinePunct w:val="0"/>
              <w:bidi w:val="0"/>
              <w:adjustRightInd/>
              <w:snapToGrid/>
              <w:spacing w:line="288" w:lineRule="auto"/>
              <w:jc w:val="center"/>
              <w:rPr>
                <w:rFonts w:hint="eastAsia" w:ascii="宋体" w:hAnsi="宋体" w:eastAsia="宋体" w:cs="Times New Roman"/>
                <w:color w:val="auto"/>
                <w:lang w:val="en-GB"/>
              </w:rPr>
            </w:pPr>
            <w:r>
              <w:rPr>
                <w:rFonts w:hint="eastAsia" w:ascii="宋体" w:hAnsi="宋体" w:eastAsia="宋体" w:cs="Times New Roman"/>
                <w:color w:val="auto"/>
                <w:lang w:val="en-GB"/>
              </w:rPr>
              <w:t>2</w:t>
            </w:r>
          </w:p>
        </w:tc>
        <w:tc>
          <w:tcPr>
            <w:tcW w:w="1953" w:type="dxa"/>
            <w:noWrap w:val="0"/>
            <w:vAlign w:val="center"/>
          </w:tcPr>
          <w:p>
            <w:pPr>
              <w:pageBreakBefore w:val="0"/>
              <w:kinsoku/>
              <w:wordWrap w:val="0"/>
              <w:overflowPunct/>
              <w:topLinePunct w:val="0"/>
              <w:bidi w:val="0"/>
              <w:adjustRightInd/>
              <w:snapToGrid/>
              <w:spacing w:line="288" w:lineRule="auto"/>
              <w:jc w:val="center"/>
              <w:rPr>
                <w:rFonts w:hint="eastAsia" w:ascii="宋体" w:hAnsi="宋体" w:eastAsia="宋体" w:cs="Times New Roman"/>
                <w:color w:val="auto"/>
                <w:lang w:val="en-GB"/>
              </w:rPr>
            </w:pPr>
            <w:r>
              <w:rPr>
                <w:rFonts w:hint="eastAsia" w:ascii="宋体" w:hAnsi="宋体" w:eastAsia="宋体" w:cs="Times New Roman"/>
                <w:color w:val="auto"/>
                <w:lang w:val="en-US" w:eastAsia="zh-CN"/>
              </w:rPr>
              <w:t>专项服务队伍稳定性保障</w:t>
            </w:r>
            <w:r>
              <w:rPr>
                <w:rFonts w:hint="eastAsia" w:ascii="宋体" w:hAnsi="宋体" w:eastAsia="宋体" w:cs="Times New Roman"/>
                <w:color w:val="auto"/>
                <w:lang w:val="en-GB"/>
              </w:rPr>
              <w:t>措施</w:t>
            </w:r>
          </w:p>
        </w:tc>
        <w:tc>
          <w:tcPr>
            <w:tcW w:w="5702" w:type="dxa"/>
            <w:noWrap w:val="0"/>
            <w:vAlign w:val="center"/>
          </w:tcPr>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US" w:eastAsia="zh-CN"/>
              </w:rPr>
            </w:pPr>
            <w:r>
              <w:rPr>
                <w:rFonts w:hint="eastAsia" w:ascii="宋体" w:hAnsi="宋体" w:eastAsia="宋体" w:cs="Times New Roman"/>
                <w:color w:val="auto"/>
                <w:lang w:val="en-GB"/>
              </w:rPr>
              <w:t>根据</w:t>
            </w:r>
            <w:r>
              <w:rPr>
                <w:rFonts w:hint="eastAsia" w:ascii="宋体" w:hAnsi="宋体" w:eastAsia="宋体" w:cs="Times New Roman"/>
                <w:color w:val="auto"/>
                <w:lang w:val="en-US" w:eastAsia="zh-CN"/>
              </w:rPr>
              <w:t>各</w:t>
            </w:r>
            <w:r>
              <w:rPr>
                <w:rFonts w:hint="eastAsia" w:ascii="宋体" w:hAnsi="宋体" w:eastAsia="宋体" w:cs="Times New Roman"/>
                <w:color w:val="auto"/>
                <w:lang w:val="en-GB" w:eastAsia="zh-CN"/>
              </w:rPr>
              <w:t>投标人</w:t>
            </w:r>
            <w:r>
              <w:rPr>
                <w:rFonts w:hint="eastAsia" w:ascii="宋体" w:hAnsi="宋体" w:eastAsia="宋体" w:cs="Times New Roman"/>
                <w:color w:val="auto"/>
                <w:lang w:val="en-GB"/>
              </w:rPr>
              <w:t>提供的</w:t>
            </w:r>
            <w:r>
              <w:rPr>
                <w:rFonts w:hint="eastAsia" w:ascii="宋体" w:hAnsi="宋体" w:eastAsia="宋体" w:cs="Times New Roman"/>
                <w:color w:val="auto"/>
                <w:lang w:val="en-GB" w:eastAsia="zh-CN"/>
              </w:rPr>
              <w:t>专项服务队伍</w:t>
            </w:r>
            <w:r>
              <w:rPr>
                <w:rFonts w:hint="eastAsia" w:ascii="宋体" w:hAnsi="宋体" w:eastAsia="宋体" w:cs="Times New Roman"/>
                <w:color w:val="auto"/>
                <w:lang w:val="en-GB"/>
              </w:rPr>
              <w:t>稳定性保障措施</w:t>
            </w:r>
            <w:r>
              <w:rPr>
                <w:rFonts w:hint="eastAsia" w:ascii="宋体" w:hAnsi="宋体" w:eastAsia="宋体" w:cs="Times New Roman"/>
                <w:color w:val="auto"/>
                <w:lang w:val="en-GB" w:eastAsia="zh-CN"/>
              </w:rPr>
              <w:t>（包括但不限于</w:t>
            </w:r>
            <w:r>
              <w:rPr>
                <w:rFonts w:hint="eastAsia" w:ascii="宋体" w:hAnsi="宋体" w:eastAsia="宋体" w:cs="Times New Roman"/>
                <w:color w:val="auto"/>
                <w:lang w:val="en-GB"/>
              </w:rPr>
              <w:t>人员流失应急预案、人员稳定性</w:t>
            </w:r>
            <w:r>
              <w:rPr>
                <w:rFonts w:hint="eastAsia" w:ascii="宋体" w:hAnsi="宋体" w:eastAsia="宋体" w:cs="Times New Roman"/>
                <w:color w:val="auto"/>
                <w:lang w:val="en-GB" w:eastAsia="zh-CN"/>
              </w:rPr>
              <w:t>、</w:t>
            </w:r>
            <w:r>
              <w:rPr>
                <w:rFonts w:hint="eastAsia" w:ascii="宋体" w:hAnsi="宋体" w:eastAsia="宋体" w:cs="Times New Roman"/>
                <w:color w:val="auto"/>
                <w:lang w:val="en-GB"/>
              </w:rPr>
              <w:t>补给、调配、重大假日的保障服务</w:t>
            </w:r>
            <w:r>
              <w:rPr>
                <w:rFonts w:hint="eastAsia" w:ascii="宋体" w:hAnsi="宋体" w:eastAsia="宋体" w:cs="Times New Roman"/>
                <w:color w:val="auto"/>
                <w:lang w:val="en-GB" w:eastAsia="zh-CN"/>
              </w:rPr>
              <w:t>方案</w:t>
            </w:r>
            <w:r>
              <w:rPr>
                <w:rFonts w:hint="eastAsia" w:ascii="宋体" w:hAnsi="宋体" w:eastAsia="宋体" w:cs="Times New Roman"/>
                <w:color w:val="auto"/>
                <w:lang w:val="en-US" w:eastAsia="zh-CN"/>
              </w:rPr>
              <w:t>等内容</w:t>
            </w:r>
            <w:r>
              <w:rPr>
                <w:rFonts w:hint="eastAsia" w:ascii="宋体" w:hAnsi="宋体" w:eastAsia="宋体" w:cs="Times New Roman"/>
                <w:color w:val="auto"/>
                <w:lang w:val="en-GB" w:eastAsia="zh-CN"/>
              </w:rPr>
              <w:t>）进行</w:t>
            </w:r>
            <w:r>
              <w:rPr>
                <w:rFonts w:hint="eastAsia" w:ascii="宋体" w:hAnsi="宋体" w:eastAsia="宋体" w:cs="Times New Roman"/>
                <w:color w:val="auto"/>
                <w:lang w:val="en-GB"/>
              </w:rPr>
              <w:t>综合</w:t>
            </w:r>
            <w:r>
              <w:rPr>
                <w:rFonts w:hint="eastAsia" w:ascii="宋体" w:hAnsi="宋体" w:eastAsia="宋体" w:cs="Times New Roman"/>
                <w:color w:val="auto"/>
                <w:lang w:val="en-GB" w:eastAsia="zh-CN"/>
              </w:rPr>
              <w:t>评审</w:t>
            </w:r>
            <w:r>
              <w:rPr>
                <w:rFonts w:hint="eastAsia" w:ascii="宋体" w:hAnsi="宋体" w:eastAsia="宋体" w:cs="Times New Roman"/>
                <w:color w:val="auto"/>
                <w:lang w:val="en-GB"/>
              </w:rPr>
              <w:t>：</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US" w:eastAsia="zh-CN"/>
              </w:rPr>
            </w:pPr>
            <w:r>
              <w:rPr>
                <w:rFonts w:hint="eastAsia" w:ascii="宋体" w:hAnsi="宋体" w:eastAsia="宋体" w:cs="Times New Roman"/>
                <w:color w:val="auto"/>
                <w:lang w:val="en-GB"/>
              </w:rPr>
              <w:t>1</w:t>
            </w:r>
            <w:r>
              <w:rPr>
                <w:rFonts w:hint="eastAsia" w:ascii="宋体" w:hAnsi="宋体" w:eastAsia="宋体" w:cs="Times New Roman"/>
                <w:color w:val="auto"/>
                <w:lang w:val="en-GB" w:eastAsia="zh-CN"/>
              </w:rPr>
              <w:t>.</w:t>
            </w:r>
            <w:r>
              <w:rPr>
                <w:rFonts w:hint="eastAsia" w:ascii="宋体" w:hAnsi="宋体" w:eastAsia="宋体" w:cs="Times New Roman"/>
                <w:color w:val="auto"/>
                <w:lang w:val="en-GB"/>
              </w:rPr>
              <w:t>方案内容齐全，</w:t>
            </w:r>
            <w:r>
              <w:rPr>
                <w:rFonts w:hint="eastAsia" w:ascii="宋体" w:hAnsi="宋体" w:eastAsia="宋体" w:cs="Times New Roman"/>
                <w:color w:val="auto"/>
                <w:lang w:val="en-US" w:eastAsia="zh-CN"/>
              </w:rPr>
              <w:t>或方案</w:t>
            </w:r>
            <w:r>
              <w:rPr>
                <w:rFonts w:hint="eastAsia" w:ascii="宋体" w:hAnsi="宋体" w:eastAsia="宋体" w:cs="Times New Roman"/>
                <w:color w:val="auto"/>
                <w:lang w:val="en-GB"/>
              </w:rPr>
              <w:t>对人员流失应急预案、人员稳定性</w:t>
            </w:r>
            <w:r>
              <w:rPr>
                <w:rFonts w:hint="eastAsia" w:ascii="宋体" w:hAnsi="宋体" w:eastAsia="宋体" w:cs="Times New Roman"/>
                <w:color w:val="auto"/>
                <w:lang w:val="en-GB" w:eastAsia="zh-CN"/>
              </w:rPr>
              <w:t>、</w:t>
            </w:r>
            <w:r>
              <w:rPr>
                <w:rFonts w:hint="eastAsia" w:ascii="宋体" w:hAnsi="宋体" w:eastAsia="宋体" w:cs="Times New Roman"/>
                <w:color w:val="auto"/>
                <w:lang w:val="en-GB"/>
              </w:rPr>
              <w:t>补给、调配、重大假日的保障服务</w:t>
            </w:r>
            <w:r>
              <w:rPr>
                <w:rFonts w:hint="eastAsia" w:ascii="宋体" w:hAnsi="宋体" w:eastAsia="宋体" w:cs="Times New Roman"/>
                <w:color w:val="auto"/>
                <w:lang w:val="en-GB" w:eastAsia="zh-CN"/>
              </w:rPr>
              <w:t>方案等</w:t>
            </w:r>
            <w:r>
              <w:rPr>
                <w:rFonts w:hint="eastAsia" w:ascii="宋体" w:hAnsi="宋体" w:eastAsia="宋体" w:cs="Times New Roman"/>
                <w:color w:val="auto"/>
                <w:lang w:val="en-GB"/>
              </w:rPr>
              <w:t>有详尽描述，方案详细，准确，合理，实施操作性强，针对性高的，得</w:t>
            </w:r>
            <w:r>
              <w:rPr>
                <w:rFonts w:hint="eastAsia" w:ascii="宋体" w:hAnsi="宋体" w:eastAsia="宋体" w:cs="Times New Roman"/>
                <w:color w:val="auto"/>
                <w:lang w:val="en-US" w:eastAsia="zh-CN"/>
              </w:rPr>
              <w:t>10</w:t>
            </w:r>
            <w:r>
              <w:rPr>
                <w:rFonts w:hint="eastAsia" w:ascii="宋体" w:hAnsi="宋体" w:eastAsia="宋体" w:cs="Times New Roman"/>
                <w:color w:val="auto"/>
                <w:lang w:val="en-GB"/>
              </w:rPr>
              <w:t>分；</w:t>
            </w:r>
            <w:r>
              <w:rPr>
                <w:rFonts w:hint="eastAsia" w:ascii="宋体" w:hAnsi="宋体" w:eastAsia="宋体" w:cs="Times New Roman"/>
                <w:color w:val="auto"/>
                <w:lang w:val="en-US" w:eastAsia="zh-CN"/>
              </w:rPr>
              <w:t xml:space="preserve"> </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GB"/>
              </w:rPr>
            </w:pPr>
            <w:r>
              <w:rPr>
                <w:rFonts w:hint="eastAsia" w:ascii="宋体" w:hAnsi="宋体" w:eastAsia="宋体" w:cs="Times New Roman"/>
                <w:color w:val="auto"/>
                <w:lang w:val="en-US" w:eastAsia="zh-CN"/>
              </w:rPr>
              <w:t>2.</w:t>
            </w:r>
            <w:r>
              <w:rPr>
                <w:rFonts w:hint="eastAsia" w:ascii="宋体" w:hAnsi="宋体" w:eastAsia="宋体" w:cs="Times New Roman"/>
                <w:color w:val="auto"/>
                <w:lang w:val="en-GB"/>
              </w:rPr>
              <w:t>方案内容缺失不超过1项，或</w:t>
            </w:r>
            <w:r>
              <w:rPr>
                <w:rFonts w:hint="eastAsia" w:ascii="宋体" w:hAnsi="宋体" w:eastAsia="宋体" w:cs="Times New Roman"/>
                <w:color w:val="auto"/>
                <w:lang w:val="en-US" w:eastAsia="zh-CN"/>
              </w:rPr>
              <w:t>方案</w:t>
            </w:r>
            <w:r>
              <w:rPr>
                <w:rFonts w:hint="eastAsia" w:ascii="宋体" w:hAnsi="宋体" w:eastAsia="宋体" w:cs="Times New Roman"/>
                <w:color w:val="auto"/>
                <w:lang w:val="en-GB"/>
              </w:rPr>
              <w:t>对人员流失应急预案、人员稳定性</w:t>
            </w:r>
            <w:r>
              <w:rPr>
                <w:rFonts w:hint="eastAsia" w:ascii="宋体" w:hAnsi="宋体" w:eastAsia="宋体" w:cs="Times New Roman"/>
                <w:color w:val="auto"/>
                <w:lang w:val="en-GB" w:eastAsia="zh-CN"/>
              </w:rPr>
              <w:t>、</w:t>
            </w:r>
            <w:r>
              <w:rPr>
                <w:rFonts w:hint="eastAsia" w:ascii="宋体" w:hAnsi="宋体" w:eastAsia="宋体" w:cs="Times New Roman"/>
                <w:color w:val="auto"/>
                <w:lang w:val="en-GB"/>
              </w:rPr>
              <w:t>补给、调配、重大假日的保障服务</w:t>
            </w:r>
            <w:r>
              <w:rPr>
                <w:rFonts w:hint="eastAsia" w:ascii="宋体" w:hAnsi="宋体" w:eastAsia="宋体" w:cs="Times New Roman"/>
                <w:color w:val="auto"/>
                <w:lang w:val="en-GB" w:eastAsia="zh-CN"/>
              </w:rPr>
              <w:t>方案等</w:t>
            </w:r>
            <w:r>
              <w:rPr>
                <w:rFonts w:hint="eastAsia" w:ascii="宋体" w:hAnsi="宋体" w:eastAsia="宋体" w:cs="Times New Roman"/>
                <w:color w:val="auto"/>
                <w:lang w:val="en-GB"/>
              </w:rPr>
              <w:t>有</w:t>
            </w:r>
            <w:r>
              <w:rPr>
                <w:rFonts w:hint="eastAsia" w:ascii="宋体" w:hAnsi="宋体" w:eastAsia="宋体" w:cs="Times New Roman"/>
                <w:color w:val="auto"/>
                <w:lang w:val="en-US" w:eastAsia="zh-CN"/>
              </w:rPr>
              <w:t>相关</w:t>
            </w:r>
            <w:r>
              <w:rPr>
                <w:rFonts w:hint="eastAsia" w:ascii="宋体" w:hAnsi="宋体" w:eastAsia="宋体" w:cs="Times New Roman"/>
                <w:color w:val="auto"/>
                <w:lang w:val="en-GB"/>
              </w:rPr>
              <w:t>描述，</w:t>
            </w:r>
            <w:r>
              <w:rPr>
                <w:rFonts w:hint="eastAsia" w:ascii="宋体" w:hAnsi="宋体" w:eastAsia="宋体" w:cs="Times New Roman"/>
                <w:color w:val="auto"/>
                <w:lang w:val="en-US" w:eastAsia="zh-CN"/>
              </w:rPr>
              <w:t>方案较详细，基本准确，相对合理，实施操作性基本可行，</w:t>
            </w:r>
            <w:r>
              <w:rPr>
                <w:rFonts w:hint="eastAsia" w:ascii="宋体" w:hAnsi="宋体" w:eastAsia="宋体" w:cs="Times New Roman"/>
                <w:color w:val="auto"/>
                <w:lang w:val="en-GB"/>
              </w:rPr>
              <w:t>针对性</w:t>
            </w:r>
            <w:r>
              <w:rPr>
                <w:rFonts w:hint="eastAsia" w:ascii="宋体" w:hAnsi="宋体" w:eastAsia="宋体" w:cs="Times New Roman"/>
                <w:color w:val="auto"/>
                <w:lang w:val="en-GB" w:eastAsia="zh-CN"/>
              </w:rPr>
              <w:t>较高的</w:t>
            </w:r>
            <w:r>
              <w:rPr>
                <w:rFonts w:hint="eastAsia" w:ascii="宋体" w:hAnsi="宋体" w:eastAsia="宋体" w:cs="Times New Roman"/>
                <w:color w:val="auto"/>
                <w:lang w:val="en-GB"/>
              </w:rPr>
              <w:t>，得</w:t>
            </w:r>
            <w:r>
              <w:rPr>
                <w:rFonts w:hint="eastAsia" w:ascii="宋体" w:hAnsi="宋体" w:eastAsia="宋体" w:cs="Times New Roman"/>
                <w:color w:val="auto"/>
                <w:lang w:val="en-US" w:eastAsia="zh-CN"/>
              </w:rPr>
              <w:t>6</w:t>
            </w:r>
            <w:r>
              <w:rPr>
                <w:rFonts w:hint="eastAsia" w:ascii="宋体" w:hAnsi="宋体" w:eastAsia="宋体" w:cs="Times New Roman"/>
                <w:color w:val="auto"/>
                <w:lang w:val="en-GB"/>
              </w:rPr>
              <w:t>分；</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US" w:eastAsia="zh-CN"/>
              </w:rPr>
            </w:pPr>
            <w:r>
              <w:rPr>
                <w:rFonts w:hint="eastAsia" w:ascii="宋体" w:hAnsi="宋体" w:eastAsia="宋体" w:cs="Times New Roman"/>
                <w:color w:val="auto"/>
                <w:lang w:val="en-GB"/>
              </w:rPr>
              <w:t>3.方案内容缺失超过1项，或</w:t>
            </w:r>
            <w:r>
              <w:rPr>
                <w:rFonts w:hint="eastAsia" w:ascii="宋体" w:hAnsi="宋体" w:eastAsia="宋体" w:cs="Times New Roman"/>
                <w:color w:val="auto"/>
                <w:lang w:val="en-US" w:eastAsia="zh-CN"/>
              </w:rPr>
              <w:t>方案</w:t>
            </w:r>
            <w:r>
              <w:rPr>
                <w:rFonts w:hint="eastAsia" w:ascii="宋体" w:hAnsi="宋体" w:eastAsia="宋体" w:cs="Times New Roman"/>
                <w:color w:val="auto"/>
                <w:lang w:val="en-GB"/>
              </w:rPr>
              <w:t>对人员流失应急预案、人员稳定性</w:t>
            </w:r>
            <w:r>
              <w:rPr>
                <w:rFonts w:hint="eastAsia" w:ascii="宋体" w:hAnsi="宋体" w:eastAsia="宋体" w:cs="Times New Roman"/>
                <w:color w:val="auto"/>
                <w:lang w:val="en-GB" w:eastAsia="zh-CN"/>
              </w:rPr>
              <w:t>、</w:t>
            </w:r>
            <w:r>
              <w:rPr>
                <w:rFonts w:hint="eastAsia" w:ascii="宋体" w:hAnsi="宋体" w:eastAsia="宋体" w:cs="Times New Roman"/>
                <w:color w:val="auto"/>
                <w:lang w:val="en-GB"/>
              </w:rPr>
              <w:t>补给、调配、重大假日的保障服务</w:t>
            </w:r>
            <w:r>
              <w:rPr>
                <w:rFonts w:hint="eastAsia" w:ascii="宋体" w:hAnsi="宋体" w:eastAsia="宋体" w:cs="Times New Roman"/>
                <w:color w:val="auto"/>
                <w:lang w:val="en-GB" w:eastAsia="zh-CN"/>
              </w:rPr>
              <w:t>方案等</w:t>
            </w:r>
            <w:r>
              <w:rPr>
                <w:rFonts w:hint="eastAsia" w:ascii="宋体" w:hAnsi="宋体" w:eastAsia="宋体" w:cs="Times New Roman"/>
                <w:color w:val="auto"/>
                <w:lang w:val="en-GB"/>
              </w:rPr>
              <w:t>有简单描述，方案不够详细，实施操作性较弱，针对性</w:t>
            </w:r>
            <w:r>
              <w:rPr>
                <w:rFonts w:hint="eastAsia" w:ascii="宋体" w:hAnsi="宋体" w:eastAsia="宋体" w:cs="Times New Roman"/>
                <w:color w:val="auto"/>
                <w:lang w:val="en-US" w:eastAsia="zh-CN"/>
              </w:rPr>
              <w:t>较低</w:t>
            </w:r>
            <w:r>
              <w:rPr>
                <w:rFonts w:hint="eastAsia" w:ascii="宋体" w:hAnsi="宋体" w:eastAsia="宋体" w:cs="Times New Roman"/>
                <w:color w:val="auto"/>
                <w:lang w:val="en-GB"/>
              </w:rPr>
              <w:t>，得</w:t>
            </w:r>
            <w:r>
              <w:rPr>
                <w:rFonts w:hint="eastAsia" w:ascii="宋体" w:hAnsi="宋体" w:eastAsia="宋体" w:cs="Times New Roman"/>
                <w:color w:val="auto"/>
                <w:lang w:val="en-US" w:eastAsia="zh-CN"/>
              </w:rPr>
              <w:t>2</w:t>
            </w:r>
            <w:r>
              <w:rPr>
                <w:rFonts w:hint="eastAsia" w:ascii="宋体" w:hAnsi="宋体" w:eastAsia="宋体" w:cs="Times New Roman"/>
                <w:color w:val="auto"/>
                <w:lang w:val="en-GB"/>
              </w:rPr>
              <w:t>分；</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GB"/>
              </w:rPr>
            </w:pPr>
            <w:r>
              <w:rPr>
                <w:rFonts w:hint="eastAsia" w:ascii="宋体" w:hAnsi="宋体" w:eastAsia="宋体" w:cs="Times New Roman"/>
                <w:color w:val="auto"/>
                <w:lang w:val="en-GB"/>
              </w:rPr>
              <w:t>4.</w:t>
            </w:r>
            <w:r>
              <w:rPr>
                <w:rFonts w:hint="eastAsia" w:ascii="宋体" w:hAnsi="宋体" w:eastAsia="宋体" w:cs="Times New Roman"/>
                <w:color w:val="auto"/>
                <w:lang w:val="en-US" w:eastAsia="zh-CN"/>
              </w:rPr>
              <w:t>不提供方案不得分。</w:t>
            </w:r>
          </w:p>
        </w:tc>
        <w:tc>
          <w:tcPr>
            <w:tcW w:w="977" w:type="dxa"/>
            <w:noWrap w:val="0"/>
            <w:vAlign w:val="center"/>
          </w:tcPr>
          <w:p>
            <w:pPr>
              <w:pageBreakBefore w:val="0"/>
              <w:kinsoku/>
              <w:wordWrap w:val="0"/>
              <w:overflowPunct/>
              <w:topLinePunct w:val="0"/>
              <w:bidi w:val="0"/>
              <w:adjustRightInd/>
              <w:snapToGrid/>
              <w:spacing w:line="288" w:lineRule="auto"/>
              <w:jc w:val="center"/>
              <w:rPr>
                <w:rFonts w:hint="eastAsia" w:ascii="宋体" w:hAnsi="宋体" w:eastAsia="宋体" w:cs="Times New Roman"/>
                <w:color w:val="auto"/>
                <w:lang w:val="en-GB"/>
              </w:rPr>
            </w:pPr>
            <w:r>
              <w:rPr>
                <w:rFonts w:hint="eastAsia" w:ascii="宋体" w:hAnsi="宋体" w:eastAsia="宋体" w:cs="Times New Roman"/>
                <w:color w:val="auto"/>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69" w:type="dxa"/>
            <w:noWrap w:val="0"/>
            <w:vAlign w:val="center"/>
          </w:tcPr>
          <w:p>
            <w:pPr>
              <w:pageBreakBefore w:val="0"/>
              <w:kinsoku/>
              <w:wordWrap w:val="0"/>
              <w:overflowPunct/>
              <w:topLinePunct w:val="0"/>
              <w:bidi w:val="0"/>
              <w:adjustRightInd/>
              <w:snapToGrid/>
              <w:spacing w:line="288" w:lineRule="auto"/>
              <w:jc w:val="center"/>
              <w:rPr>
                <w:rFonts w:hint="eastAsia" w:ascii="宋体" w:hAnsi="宋体" w:eastAsia="宋体" w:cs="Times New Roman"/>
                <w:color w:val="auto"/>
                <w:lang w:val="en-GB"/>
              </w:rPr>
            </w:pPr>
            <w:r>
              <w:rPr>
                <w:rFonts w:hint="eastAsia" w:ascii="宋体" w:hAnsi="宋体" w:eastAsia="宋体" w:cs="Times New Roman"/>
                <w:color w:val="auto"/>
                <w:lang w:val="en-GB"/>
              </w:rPr>
              <w:t>3</w:t>
            </w:r>
          </w:p>
        </w:tc>
        <w:tc>
          <w:tcPr>
            <w:tcW w:w="1953" w:type="dxa"/>
            <w:noWrap w:val="0"/>
            <w:vAlign w:val="center"/>
          </w:tcPr>
          <w:p>
            <w:pPr>
              <w:pageBreakBefore w:val="0"/>
              <w:kinsoku/>
              <w:wordWrap w:val="0"/>
              <w:overflowPunct/>
              <w:topLinePunct w:val="0"/>
              <w:bidi w:val="0"/>
              <w:adjustRightInd/>
              <w:snapToGrid/>
              <w:spacing w:line="288" w:lineRule="auto"/>
              <w:jc w:val="center"/>
              <w:rPr>
                <w:rFonts w:hint="eastAsia" w:ascii="宋体" w:hAnsi="宋体" w:eastAsia="宋体" w:cs="Times New Roman"/>
                <w:color w:val="auto"/>
                <w:lang w:val="en-GB"/>
              </w:rPr>
            </w:pPr>
            <w:r>
              <w:rPr>
                <w:rFonts w:hint="eastAsia" w:ascii="宋体" w:hAnsi="宋体" w:eastAsia="宋体" w:cs="Times New Roman"/>
                <w:color w:val="auto"/>
                <w:lang w:val="en-US" w:eastAsia="zh-CN"/>
              </w:rPr>
              <w:t>突发事件应急管理方案</w:t>
            </w:r>
          </w:p>
        </w:tc>
        <w:tc>
          <w:tcPr>
            <w:tcW w:w="5702" w:type="dxa"/>
            <w:noWrap w:val="0"/>
            <w:vAlign w:val="center"/>
          </w:tcPr>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根据各投标人提供的突发事件应急管理方案（包括但不限于突发事件的处理措施和应急预案，能否应对各类突发应急事件、保障项目稳定运营等内容）进行综合评审：</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1.</w:t>
            </w:r>
            <w:r>
              <w:rPr>
                <w:rFonts w:hint="eastAsia" w:ascii="宋体" w:hAnsi="宋体" w:eastAsia="宋体" w:cs="Times New Roman"/>
                <w:color w:val="auto"/>
                <w:lang w:val="en-GB"/>
              </w:rPr>
              <w:t>方案内容齐全，</w:t>
            </w:r>
            <w:r>
              <w:rPr>
                <w:rFonts w:hint="eastAsia" w:ascii="宋体" w:hAnsi="宋体" w:eastAsia="宋体" w:cs="Times New Roman"/>
                <w:color w:val="auto"/>
                <w:lang w:val="en-US" w:eastAsia="zh-CN"/>
              </w:rPr>
              <w:t>或方案</w:t>
            </w:r>
            <w:r>
              <w:rPr>
                <w:rFonts w:hint="eastAsia" w:ascii="宋体" w:hAnsi="宋体" w:eastAsia="宋体" w:cs="Times New Roman"/>
                <w:color w:val="auto"/>
                <w:lang w:val="en-GB"/>
              </w:rPr>
              <w:t>对</w:t>
            </w:r>
            <w:r>
              <w:rPr>
                <w:rFonts w:hint="eastAsia" w:ascii="宋体" w:hAnsi="宋体" w:eastAsia="宋体" w:cs="Times New Roman"/>
                <w:color w:val="auto"/>
                <w:lang w:val="en-US" w:eastAsia="zh-CN"/>
              </w:rPr>
              <w:t>突发事件的处理措施和应急预案，对各类突发应急事件方式、保障项目稳定运营等有详尽描述，方案详细，准确，合理，实施操作性强，协调性高的，得10分；</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2.</w:t>
            </w:r>
            <w:r>
              <w:rPr>
                <w:rFonts w:hint="eastAsia" w:ascii="宋体" w:hAnsi="宋体" w:eastAsia="宋体" w:cs="Times New Roman"/>
                <w:color w:val="auto"/>
                <w:lang w:val="en-GB"/>
              </w:rPr>
              <w:t>方案内容缺失不超过1项，或</w:t>
            </w:r>
            <w:r>
              <w:rPr>
                <w:rFonts w:hint="eastAsia" w:ascii="宋体" w:hAnsi="宋体" w:eastAsia="宋体" w:cs="Times New Roman"/>
                <w:color w:val="auto"/>
                <w:lang w:val="en-US" w:eastAsia="zh-CN"/>
              </w:rPr>
              <w:t>方案</w:t>
            </w:r>
            <w:r>
              <w:rPr>
                <w:rFonts w:hint="eastAsia" w:ascii="宋体" w:hAnsi="宋体" w:eastAsia="宋体" w:cs="Times New Roman"/>
                <w:color w:val="auto"/>
                <w:lang w:val="en-GB"/>
              </w:rPr>
              <w:t>对</w:t>
            </w:r>
            <w:r>
              <w:rPr>
                <w:rFonts w:hint="eastAsia" w:ascii="宋体" w:hAnsi="宋体" w:eastAsia="宋体" w:cs="Times New Roman"/>
                <w:color w:val="auto"/>
                <w:lang w:val="en-US" w:eastAsia="zh-CN"/>
              </w:rPr>
              <w:t>突发事件的处理措施和应急预案，对各类突发应急事件方式、保障项目稳定运营等有相关描述，方案较详细，基本准确，相对合理，实施操作性基本可行，协调性较高，得6分；</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3.</w:t>
            </w:r>
            <w:r>
              <w:rPr>
                <w:rFonts w:hint="eastAsia" w:ascii="宋体" w:hAnsi="宋体" w:eastAsia="宋体" w:cs="Times New Roman"/>
                <w:color w:val="auto"/>
                <w:lang w:val="en-GB"/>
              </w:rPr>
              <w:t>方案内容缺失超过1项，或</w:t>
            </w:r>
            <w:r>
              <w:rPr>
                <w:rFonts w:hint="eastAsia" w:ascii="宋体" w:hAnsi="宋体" w:eastAsia="宋体" w:cs="Times New Roman"/>
                <w:color w:val="auto"/>
                <w:lang w:val="en-US" w:eastAsia="zh-CN"/>
              </w:rPr>
              <w:t>方案</w:t>
            </w:r>
            <w:r>
              <w:rPr>
                <w:rFonts w:hint="eastAsia" w:ascii="宋体" w:hAnsi="宋体" w:eastAsia="宋体" w:cs="Times New Roman"/>
                <w:color w:val="auto"/>
                <w:lang w:val="en-GB"/>
              </w:rPr>
              <w:t>对</w:t>
            </w:r>
            <w:r>
              <w:rPr>
                <w:rFonts w:hint="eastAsia" w:ascii="宋体" w:hAnsi="宋体" w:eastAsia="宋体" w:cs="Times New Roman"/>
                <w:color w:val="auto"/>
                <w:lang w:val="en-US" w:eastAsia="zh-CN"/>
              </w:rPr>
              <w:t>突发事件的处理措施和应急预案，对各类突发应急事件方式、保障项目稳定运营等有简单描述，方案尚可，合理性一般，实施操作性较弱，协调性较低，得2分；</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GB"/>
              </w:rPr>
            </w:pPr>
            <w:r>
              <w:rPr>
                <w:rFonts w:hint="eastAsia" w:ascii="宋体" w:hAnsi="宋体" w:eastAsia="宋体" w:cs="Times New Roman"/>
                <w:color w:val="auto"/>
                <w:lang w:val="en-US" w:eastAsia="zh-CN"/>
              </w:rPr>
              <w:t>4.不提供方案不得分。</w:t>
            </w:r>
          </w:p>
        </w:tc>
        <w:tc>
          <w:tcPr>
            <w:tcW w:w="977" w:type="dxa"/>
            <w:noWrap w:val="0"/>
            <w:vAlign w:val="center"/>
          </w:tcPr>
          <w:p>
            <w:pPr>
              <w:pageBreakBefore w:val="0"/>
              <w:kinsoku/>
              <w:wordWrap w:val="0"/>
              <w:overflowPunct/>
              <w:topLinePunct w:val="0"/>
              <w:bidi w:val="0"/>
              <w:adjustRightInd/>
              <w:snapToGrid/>
              <w:spacing w:line="288" w:lineRule="auto"/>
              <w:jc w:val="center"/>
              <w:rPr>
                <w:rFonts w:hint="eastAsia" w:ascii="宋体" w:hAnsi="宋体" w:eastAsia="宋体" w:cs="Times New Roman"/>
                <w:color w:val="auto"/>
                <w:lang w:val="en-GB"/>
              </w:rPr>
            </w:pPr>
            <w:r>
              <w:rPr>
                <w:rFonts w:hint="eastAsia" w:ascii="宋体" w:hAnsi="宋体" w:eastAsia="宋体" w:cs="Times New Roman"/>
                <w:color w:val="auto"/>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69" w:type="dxa"/>
            <w:noWrap w:val="0"/>
            <w:vAlign w:val="center"/>
          </w:tcPr>
          <w:p>
            <w:pPr>
              <w:pageBreakBefore w:val="0"/>
              <w:kinsoku/>
              <w:wordWrap w:val="0"/>
              <w:overflowPunct/>
              <w:topLinePunct w:val="0"/>
              <w:bidi w:val="0"/>
              <w:adjustRightInd/>
              <w:snapToGrid/>
              <w:spacing w:line="288" w:lineRule="auto"/>
              <w:jc w:val="center"/>
              <w:rPr>
                <w:rFonts w:hint="eastAsia" w:ascii="宋体" w:hAnsi="宋体" w:eastAsia="宋体" w:cs="Times New Roman"/>
                <w:color w:val="auto"/>
                <w:lang w:val="en-GB"/>
              </w:rPr>
            </w:pPr>
            <w:r>
              <w:rPr>
                <w:rFonts w:hint="eastAsia" w:ascii="宋体" w:hAnsi="宋体" w:eastAsia="宋体" w:cs="Times New Roman"/>
                <w:color w:val="auto"/>
                <w:lang w:val="en-GB"/>
              </w:rPr>
              <w:t>4</w:t>
            </w:r>
          </w:p>
        </w:tc>
        <w:tc>
          <w:tcPr>
            <w:tcW w:w="1953" w:type="dxa"/>
            <w:noWrap w:val="0"/>
            <w:vAlign w:val="center"/>
          </w:tcPr>
          <w:p>
            <w:pPr>
              <w:pageBreakBefore w:val="0"/>
              <w:kinsoku/>
              <w:wordWrap w:val="0"/>
              <w:overflowPunct/>
              <w:topLinePunct w:val="0"/>
              <w:bidi w:val="0"/>
              <w:adjustRightInd/>
              <w:snapToGrid/>
              <w:spacing w:line="288" w:lineRule="auto"/>
              <w:jc w:val="center"/>
              <w:rPr>
                <w:rFonts w:hint="eastAsia" w:ascii="宋体" w:hAnsi="宋体" w:eastAsia="宋体" w:cs="Times New Roman"/>
                <w:color w:val="auto"/>
                <w:lang w:val="en-GB"/>
              </w:rPr>
            </w:pPr>
            <w:bookmarkStart w:id="16" w:name="OLE_LINK8"/>
            <w:r>
              <w:rPr>
                <w:rFonts w:hint="eastAsia" w:ascii="宋体" w:hAnsi="宋体" w:eastAsia="宋体" w:cs="Times New Roman"/>
                <w:color w:val="auto"/>
                <w:lang w:val="en-US" w:eastAsia="zh-CN"/>
              </w:rPr>
              <w:t>承接本项目优势</w:t>
            </w:r>
            <w:bookmarkEnd w:id="16"/>
          </w:p>
        </w:tc>
        <w:tc>
          <w:tcPr>
            <w:tcW w:w="5702" w:type="dxa"/>
            <w:noWrap w:val="0"/>
            <w:vAlign w:val="center"/>
          </w:tcPr>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GB"/>
              </w:rPr>
            </w:pPr>
            <w:r>
              <w:rPr>
                <w:rFonts w:hint="eastAsia" w:ascii="宋体" w:hAnsi="宋体" w:eastAsia="宋体" w:cs="Times New Roman"/>
                <w:color w:val="auto"/>
                <w:lang w:val="en-GB"/>
              </w:rPr>
              <w:t>根据投标人承担本项目的业务能力和优势（包括但不限于响应时间、安全保障、人员配备、</w:t>
            </w:r>
            <w:r>
              <w:rPr>
                <w:rFonts w:hint="eastAsia" w:ascii="宋体" w:hAnsi="宋体" w:eastAsia="宋体" w:cs="Times New Roman"/>
                <w:color w:val="auto"/>
                <w:lang w:val="en-US" w:eastAsia="zh-CN"/>
              </w:rPr>
              <w:t>企业培训等内容</w:t>
            </w:r>
            <w:r>
              <w:rPr>
                <w:rFonts w:hint="eastAsia" w:ascii="宋体" w:hAnsi="宋体" w:eastAsia="宋体" w:cs="Times New Roman"/>
                <w:color w:val="auto"/>
                <w:lang w:val="en-GB"/>
              </w:rPr>
              <w:t>）进行评审：</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GB"/>
              </w:rPr>
            </w:pPr>
            <w:r>
              <w:rPr>
                <w:rFonts w:hint="eastAsia" w:ascii="宋体" w:hAnsi="宋体" w:eastAsia="宋体" w:cs="Times New Roman"/>
                <w:color w:val="auto"/>
                <w:lang w:val="en-GB"/>
              </w:rPr>
              <w:t>方案包含上述各项内容，承担本项目的业务能力强、优势明显，对以上内容均有详细描述的，能完全响应或优于采购人需求，得</w:t>
            </w:r>
            <w:r>
              <w:rPr>
                <w:rFonts w:hint="eastAsia" w:ascii="宋体" w:hAnsi="宋体" w:eastAsia="宋体" w:cs="Times New Roman"/>
                <w:color w:val="auto"/>
                <w:lang w:val="en-US" w:eastAsia="zh-CN"/>
              </w:rPr>
              <w:t>10</w:t>
            </w:r>
            <w:r>
              <w:rPr>
                <w:rFonts w:hint="eastAsia" w:ascii="宋体" w:hAnsi="宋体" w:eastAsia="宋体" w:cs="Times New Roman"/>
                <w:color w:val="auto"/>
                <w:lang w:val="en-GB"/>
              </w:rPr>
              <w:t>分；</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US" w:eastAsia="zh-CN"/>
              </w:rPr>
            </w:pPr>
            <w:r>
              <w:rPr>
                <w:rFonts w:hint="eastAsia" w:ascii="宋体" w:hAnsi="宋体" w:eastAsia="宋体" w:cs="Times New Roman"/>
                <w:color w:val="auto"/>
                <w:lang w:val="en-GB"/>
              </w:rPr>
              <w:t>方案包含上述各项内容，承担本项目的业务能力较强，具有优势，对以上内容均有描述的，响应采购人需求，得</w:t>
            </w:r>
            <w:r>
              <w:rPr>
                <w:rFonts w:hint="eastAsia" w:ascii="宋体" w:hAnsi="宋体" w:eastAsia="宋体" w:cs="Times New Roman"/>
                <w:color w:val="auto"/>
                <w:lang w:val="en-US" w:eastAsia="zh-CN"/>
              </w:rPr>
              <w:t>6</w:t>
            </w:r>
            <w:r>
              <w:rPr>
                <w:rFonts w:hint="eastAsia" w:ascii="宋体" w:hAnsi="宋体" w:eastAsia="宋体" w:cs="Times New Roman"/>
                <w:color w:val="auto"/>
                <w:lang w:val="en-GB"/>
              </w:rPr>
              <w:t>分；</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US" w:eastAsia="zh-CN"/>
              </w:rPr>
            </w:pPr>
            <w:r>
              <w:rPr>
                <w:rFonts w:hint="eastAsia" w:ascii="宋体" w:hAnsi="宋体" w:eastAsia="宋体" w:cs="Times New Roman"/>
                <w:color w:val="auto"/>
                <w:lang w:val="en-GB"/>
              </w:rPr>
              <w:t>缺失上述任意一项（或以上）内容，或者承担本项目的业务能力一般，但没有明显优势，对以上内容部分有描述的，或者存在不响应采购需求的情况，得2分；</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GB"/>
              </w:rPr>
            </w:pPr>
            <w:r>
              <w:rPr>
                <w:rFonts w:hint="eastAsia" w:ascii="宋体" w:hAnsi="宋体" w:eastAsia="宋体" w:cs="Times New Roman"/>
                <w:color w:val="auto"/>
                <w:lang w:val="en-US" w:eastAsia="zh-CN"/>
              </w:rPr>
              <w:t>不提供方案不得分</w:t>
            </w:r>
            <w:r>
              <w:rPr>
                <w:rFonts w:hint="eastAsia" w:ascii="宋体" w:hAnsi="宋体" w:eastAsia="宋体" w:cs="Times New Roman"/>
                <w:color w:val="auto"/>
                <w:lang w:val="en-GB"/>
              </w:rPr>
              <w:t>。</w:t>
            </w:r>
          </w:p>
        </w:tc>
        <w:tc>
          <w:tcPr>
            <w:tcW w:w="977" w:type="dxa"/>
            <w:noWrap w:val="0"/>
            <w:vAlign w:val="center"/>
          </w:tcPr>
          <w:p>
            <w:pPr>
              <w:pageBreakBefore w:val="0"/>
              <w:kinsoku/>
              <w:wordWrap w:val="0"/>
              <w:overflowPunct/>
              <w:topLinePunct w:val="0"/>
              <w:bidi w:val="0"/>
              <w:adjustRightInd/>
              <w:snapToGrid/>
              <w:spacing w:line="288" w:lineRule="auto"/>
              <w:jc w:val="center"/>
              <w:rPr>
                <w:rFonts w:hint="eastAsia" w:ascii="宋体" w:hAnsi="宋体" w:eastAsia="宋体" w:cs="Times New Roman"/>
                <w:color w:val="auto"/>
                <w:lang w:val="en-GB"/>
              </w:rPr>
            </w:pPr>
            <w:r>
              <w:rPr>
                <w:rFonts w:hint="eastAsia" w:ascii="宋体" w:hAnsi="宋体" w:eastAsia="宋体" w:cs="Times New Roman"/>
                <w:color w:val="auto"/>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69" w:type="dxa"/>
            <w:noWrap w:val="0"/>
            <w:vAlign w:val="center"/>
          </w:tcPr>
          <w:p>
            <w:pPr>
              <w:pageBreakBefore w:val="0"/>
              <w:kinsoku/>
              <w:wordWrap w:val="0"/>
              <w:overflowPunct/>
              <w:topLinePunct w:val="0"/>
              <w:bidi w:val="0"/>
              <w:adjustRightInd/>
              <w:snapToGrid/>
              <w:spacing w:line="288" w:lineRule="auto"/>
              <w:jc w:val="center"/>
              <w:rPr>
                <w:rFonts w:hint="eastAsia" w:ascii="宋体" w:hAnsi="宋体" w:eastAsia="宋体" w:cs="Times New Roman"/>
                <w:color w:val="auto"/>
                <w:lang w:val="en-GB"/>
              </w:rPr>
            </w:pPr>
            <w:r>
              <w:rPr>
                <w:rFonts w:hint="eastAsia" w:ascii="宋体" w:hAnsi="宋体" w:eastAsia="宋体" w:cs="Times New Roman"/>
                <w:color w:val="auto"/>
                <w:lang w:val="en-GB"/>
              </w:rPr>
              <w:t>5</w:t>
            </w:r>
          </w:p>
        </w:tc>
        <w:tc>
          <w:tcPr>
            <w:tcW w:w="1953" w:type="dxa"/>
            <w:noWrap w:val="0"/>
            <w:vAlign w:val="center"/>
          </w:tcPr>
          <w:p>
            <w:pPr>
              <w:pageBreakBefore w:val="0"/>
              <w:kinsoku/>
              <w:wordWrap w:val="0"/>
              <w:overflowPunct/>
              <w:topLinePunct w:val="0"/>
              <w:bidi w:val="0"/>
              <w:adjustRightInd/>
              <w:snapToGrid/>
              <w:spacing w:line="288" w:lineRule="auto"/>
              <w:jc w:val="center"/>
              <w:rPr>
                <w:rFonts w:hint="eastAsia" w:ascii="宋体" w:hAnsi="宋体" w:eastAsia="宋体" w:cs="Times New Roman"/>
                <w:color w:val="auto"/>
                <w:lang w:val="en-US" w:eastAsia="zh-CN"/>
              </w:rPr>
            </w:pPr>
            <w:r>
              <w:rPr>
                <w:rFonts w:hint="eastAsia" w:ascii="宋体" w:hAnsi="宋体" w:eastAsia="宋体" w:cs="Times New Roman"/>
                <w:color w:val="auto"/>
                <w:lang w:val="en-GB"/>
              </w:rPr>
              <w:t>拟</w:t>
            </w:r>
            <w:r>
              <w:rPr>
                <w:rFonts w:hint="eastAsia" w:ascii="宋体" w:hAnsi="宋体" w:eastAsia="宋体" w:cs="Times New Roman"/>
                <w:color w:val="auto"/>
                <w:lang w:val="en-US" w:eastAsia="zh-CN"/>
              </w:rPr>
              <w:t>派项目经理</w:t>
            </w:r>
          </w:p>
          <w:p>
            <w:pPr>
              <w:pageBreakBefore w:val="0"/>
              <w:kinsoku/>
              <w:wordWrap w:val="0"/>
              <w:overflowPunct/>
              <w:topLinePunct w:val="0"/>
              <w:bidi w:val="0"/>
              <w:adjustRightInd/>
              <w:snapToGrid/>
              <w:spacing w:line="288" w:lineRule="auto"/>
              <w:jc w:val="center"/>
              <w:rPr>
                <w:rFonts w:hint="eastAsia" w:ascii="宋体" w:hAnsi="宋体" w:eastAsia="宋体" w:cs="Times New Roman"/>
                <w:color w:val="auto"/>
                <w:lang w:val="en-GB"/>
              </w:rPr>
            </w:pPr>
            <w:r>
              <w:rPr>
                <w:rFonts w:hint="eastAsia" w:ascii="宋体" w:hAnsi="宋体" w:eastAsia="宋体" w:cs="Times New Roman"/>
                <w:color w:val="auto"/>
                <w:lang w:val="en-US" w:eastAsia="zh-CN"/>
              </w:rPr>
              <w:t>（1人）</w:t>
            </w:r>
          </w:p>
        </w:tc>
        <w:tc>
          <w:tcPr>
            <w:tcW w:w="5702" w:type="dxa"/>
            <w:noWrap w:val="0"/>
            <w:vAlign w:val="center"/>
          </w:tcPr>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US" w:eastAsia="zh-CN"/>
              </w:rPr>
            </w:pPr>
            <w:r>
              <w:rPr>
                <w:rFonts w:hint="eastAsia" w:ascii="宋体" w:hAnsi="宋体" w:eastAsia="宋体" w:cs="Times New Roman"/>
                <w:color w:val="auto"/>
                <w:lang w:val="en-GB"/>
              </w:rPr>
              <w:t>拟</w:t>
            </w:r>
            <w:r>
              <w:rPr>
                <w:rFonts w:hint="eastAsia" w:ascii="宋体" w:hAnsi="宋体" w:eastAsia="宋体" w:cs="Times New Roman"/>
                <w:color w:val="auto"/>
                <w:lang w:val="en-US" w:eastAsia="zh-CN"/>
              </w:rPr>
              <w:t>派</w:t>
            </w:r>
            <w:r>
              <w:rPr>
                <w:rFonts w:hint="eastAsia" w:ascii="宋体" w:hAnsi="宋体" w:eastAsia="宋体" w:cs="Times New Roman"/>
                <w:color w:val="auto"/>
                <w:lang w:val="en-GB"/>
              </w:rPr>
              <w:t>项目</w:t>
            </w:r>
            <w:r>
              <w:rPr>
                <w:rFonts w:hint="eastAsia" w:ascii="宋体" w:hAnsi="宋体" w:eastAsia="宋体" w:cs="Times New Roman"/>
                <w:color w:val="auto"/>
                <w:lang w:val="en-US" w:eastAsia="zh-CN"/>
              </w:rPr>
              <w:t>负责人（限1人，与本项目拟投入的其他岗位人员之间不得相互兼任）</w:t>
            </w:r>
            <w:r>
              <w:rPr>
                <w:rFonts w:hint="eastAsia" w:ascii="宋体" w:hAnsi="宋体" w:eastAsia="宋体" w:cs="Times New Roman"/>
                <w:color w:val="auto"/>
                <w:lang w:val="en-GB"/>
              </w:rPr>
              <w:t>：</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GB"/>
              </w:rPr>
            </w:pPr>
            <w:r>
              <w:rPr>
                <w:rFonts w:hint="eastAsia" w:ascii="宋体" w:hAnsi="宋体" w:eastAsia="宋体" w:cs="Times New Roman"/>
                <w:color w:val="auto"/>
                <w:lang w:val="en-US" w:eastAsia="zh-CN"/>
              </w:rPr>
              <w:t>1.</w:t>
            </w:r>
            <w:r>
              <w:rPr>
                <w:rFonts w:hint="eastAsia" w:ascii="宋体" w:hAnsi="宋体" w:eastAsia="宋体" w:cs="Times New Roman"/>
                <w:color w:val="auto"/>
                <w:lang w:val="en-GB"/>
              </w:rPr>
              <w:t>具有退伍军人证，得</w:t>
            </w:r>
            <w:r>
              <w:rPr>
                <w:rFonts w:hint="eastAsia" w:ascii="宋体" w:hAnsi="宋体" w:eastAsia="宋体" w:cs="Times New Roman"/>
                <w:color w:val="auto"/>
                <w:lang w:val="en-US" w:eastAsia="zh-CN"/>
              </w:rPr>
              <w:t>1</w:t>
            </w:r>
            <w:r>
              <w:rPr>
                <w:rFonts w:hint="eastAsia" w:ascii="宋体" w:hAnsi="宋体" w:eastAsia="宋体" w:cs="Times New Roman"/>
                <w:color w:val="auto"/>
                <w:lang w:val="en-GB"/>
              </w:rPr>
              <w:t>分</w:t>
            </w:r>
            <w:r>
              <w:rPr>
                <w:rFonts w:hint="eastAsia" w:ascii="宋体" w:hAnsi="宋体" w:eastAsia="宋体" w:cs="Times New Roman"/>
                <w:color w:val="auto"/>
                <w:lang w:val="en-GB" w:eastAsia="zh-CN"/>
              </w:rPr>
              <w:t>；</w:t>
            </w:r>
            <w:r>
              <w:rPr>
                <w:rFonts w:hint="eastAsia" w:ascii="宋体" w:hAnsi="宋体" w:eastAsia="宋体" w:cs="Times New Roman"/>
                <w:color w:val="auto"/>
                <w:lang w:val="en-GB"/>
              </w:rPr>
              <w:t xml:space="preserve"> </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GB"/>
              </w:rPr>
            </w:pPr>
            <w:r>
              <w:rPr>
                <w:rFonts w:hint="eastAsia" w:ascii="宋体" w:hAnsi="宋体" w:eastAsia="宋体" w:cs="Times New Roman"/>
                <w:color w:val="auto"/>
                <w:lang w:val="en-US" w:eastAsia="zh-CN"/>
              </w:rPr>
              <w:t>2.</w:t>
            </w:r>
            <w:r>
              <w:rPr>
                <w:rFonts w:hint="eastAsia" w:ascii="宋体" w:hAnsi="宋体" w:eastAsia="宋体" w:cs="Times New Roman"/>
                <w:color w:val="auto"/>
                <w:lang w:val="en-GB"/>
              </w:rPr>
              <w:t>具有</w:t>
            </w:r>
            <w:r>
              <w:rPr>
                <w:rFonts w:hint="eastAsia" w:ascii="宋体" w:hAnsi="宋体" w:eastAsia="宋体" w:cs="Times New Roman"/>
                <w:color w:val="auto"/>
                <w:lang w:val="en-GB" w:eastAsia="zh-CN"/>
              </w:rPr>
              <w:t>应急救援员证</w:t>
            </w:r>
            <w:r>
              <w:rPr>
                <w:rFonts w:hint="eastAsia" w:ascii="宋体" w:hAnsi="宋体" w:eastAsia="宋体" w:cs="Times New Roman"/>
                <w:color w:val="auto"/>
                <w:lang w:val="en-GB"/>
              </w:rPr>
              <w:t>的，得</w:t>
            </w:r>
            <w:r>
              <w:rPr>
                <w:rFonts w:hint="eastAsia" w:ascii="宋体" w:hAnsi="宋体" w:eastAsia="宋体" w:cs="Times New Roman"/>
                <w:color w:val="auto"/>
                <w:lang w:val="en-US" w:eastAsia="zh-CN"/>
              </w:rPr>
              <w:t>1</w:t>
            </w:r>
            <w:r>
              <w:rPr>
                <w:rFonts w:hint="eastAsia" w:ascii="宋体" w:hAnsi="宋体" w:eastAsia="宋体" w:cs="Times New Roman"/>
                <w:color w:val="auto"/>
                <w:lang w:val="en-GB"/>
              </w:rPr>
              <w:t>分；</w:t>
            </w:r>
          </w:p>
          <w:p>
            <w:pPr>
              <w:pageBreakBefore w:val="0"/>
              <w:kinsoku/>
              <w:wordWrap w:val="0"/>
              <w:overflowPunct/>
              <w:topLinePunct w:val="0"/>
              <w:bidi w:val="0"/>
              <w:adjustRightInd/>
              <w:snapToGrid/>
              <w:spacing w:line="288" w:lineRule="auto"/>
              <w:jc w:val="left"/>
              <w:rPr>
                <w:rFonts w:hint="default" w:ascii="宋体" w:hAnsi="宋体" w:eastAsia="宋体" w:cs="Times New Roman"/>
                <w:color w:val="auto"/>
                <w:lang w:val="en-US" w:eastAsia="zh-CN"/>
              </w:rPr>
            </w:pPr>
            <w:r>
              <w:rPr>
                <w:rFonts w:hint="eastAsia" w:ascii="宋体" w:hAnsi="宋体" w:eastAsia="宋体" w:cs="Times New Roman"/>
                <w:color w:val="auto"/>
                <w:lang w:val="en-US" w:eastAsia="zh-CN"/>
              </w:rPr>
              <w:t>3.具有保安员职业资格证书，得1分；</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4.</w:t>
            </w:r>
            <w:r>
              <w:rPr>
                <w:rFonts w:hint="eastAsia" w:ascii="宋体" w:hAnsi="宋体" w:eastAsia="宋体" w:cs="Times New Roman"/>
                <w:color w:val="auto"/>
                <w:lang w:val="en-GB"/>
              </w:rPr>
              <w:t>具有保卫管理员</w:t>
            </w:r>
            <w:r>
              <w:rPr>
                <w:rFonts w:hint="eastAsia" w:ascii="宋体" w:hAnsi="宋体" w:eastAsia="宋体" w:cs="Times New Roman"/>
                <w:color w:val="auto"/>
                <w:lang w:val="en-GB" w:eastAsia="zh-CN"/>
              </w:rPr>
              <w:t>二</w:t>
            </w:r>
            <w:r>
              <w:rPr>
                <w:rFonts w:hint="eastAsia" w:ascii="宋体" w:hAnsi="宋体" w:eastAsia="宋体" w:cs="Times New Roman"/>
                <w:color w:val="auto"/>
                <w:lang w:val="en-GB"/>
              </w:rPr>
              <w:t>级</w:t>
            </w:r>
            <w:r>
              <w:rPr>
                <w:rFonts w:hint="eastAsia" w:ascii="宋体" w:hAnsi="宋体" w:eastAsia="宋体" w:cs="Times New Roman"/>
                <w:color w:val="auto"/>
                <w:lang w:val="en-US" w:eastAsia="zh-CN"/>
              </w:rPr>
              <w:t>或</w:t>
            </w:r>
            <w:r>
              <w:rPr>
                <w:rFonts w:hint="eastAsia" w:ascii="宋体" w:hAnsi="宋体" w:eastAsia="宋体" w:cs="Times New Roman"/>
                <w:color w:val="auto"/>
                <w:lang w:val="en-GB" w:eastAsia="zh-CN"/>
              </w:rPr>
              <w:t>以上的，</w:t>
            </w:r>
            <w:r>
              <w:rPr>
                <w:rFonts w:hint="eastAsia" w:ascii="宋体" w:hAnsi="宋体" w:eastAsia="宋体" w:cs="Times New Roman"/>
                <w:color w:val="auto"/>
                <w:lang w:val="en-US" w:eastAsia="zh-CN"/>
              </w:rPr>
              <w:t>得1分；</w:t>
            </w:r>
            <w:r>
              <w:rPr>
                <w:rFonts w:hint="eastAsia" w:ascii="宋体" w:hAnsi="宋体" w:eastAsia="宋体" w:cs="Times New Roman"/>
                <w:color w:val="auto"/>
                <w:lang w:val="en-GB"/>
              </w:rPr>
              <w:t>具有保卫管理员</w:t>
            </w:r>
            <w:r>
              <w:rPr>
                <w:rFonts w:hint="eastAsia" w:ascii="宋体" w:hAnsi="宋体" w:eastAsia="宋体" w:cs="Times New Roman"/>
                <w:color w:val="auto"/>
                <w:lang w:val="en-GB" w:eastAsia="zh-CN"/>
              </w:rPr>
              <w:t>三</w:t>
            </w:r>
            <w:r>
              <w:rPr>
                <w:rFonts w:hint="eastAsia" w:ascii="宋体" w:hAnsi="宋体" w:eastAsia="宋体" w:cs="Times New Roman"/>
                <w:color w:val="auto"/>
                <w:lang w:val="en-GB"/>
              </w:rPr>
              <w:t>级</w:t>
            </w:r>
            <w:r>
              <w:rPr>
                <w:rFonts w:hint="eastAsia" w:ascii="宋体" w:hAnsi="宋体" w:eastAsia="宋体" w:cs="Times New Roman"/>
                <w:color w:val="auto"/>
                <w:lang w:val="en-GB" w:eastAsia="zh-CN"/>
              </w:rPr>
              <w:t>的</w:t>
            </w:r>
            <w:r>
              <w:rPr>
                <w:rFonts w:hint="eastAsia" w:ascii="宋体" w:hAnsi="宋体" w:eastAsia="宋体" w:cs="Times New Roman"/>
                <w:color w:val="auto"/>
                <w:lang w:val="en-GB"/>
              </w:rPr>
              <w:t>，得</w:t>
            </w:r>
            <w:r>
              <w:rPr>
                <w:rFonts w:hint="eastAsia" w:ascii="宋体" w:hAnsi="宋体" w:eastAsia="宋体" w:cs="Times New Roman"/>
                <w:color w:val="auto"/>
                <w:lang w:val="en-US" w:eastAsia="zh-CN"/>
              </w:rPr>
              <w:t>0.5</w:t>
            </w:r>
            <w:r>
              <w:rPr>
                <w:rFonts w:hint="eastAsia" w:ascii="宋体" w:hAnsi="宋体" w:eastAsia="宋体" w:cs="Times New Roman"/>
                <w:color w:val="auto"/>
                <w:lang w:val="en-GB"/>
              </w:rPr>
              <w:t>分</w:t>
            </w:r>
            <w:r>
              <w:rPr>
                <w:rFonts w:hint="eastAsia" w:ascii="宋体" w:hAnsi="宋体" w:eastAsia="宋体" w:cs="Times New Roman"/>
                <w:color w:val="auto"/>
                <w:lang w:val="en-GB" w:eastAsia="zh-CN"/>
              </w:rPr>
              <w:t>；</w:t>
            </w:r>
            <w:r>
              <w:rPr>
                <w:rFonts w:hint="eastAsia" w:ascii="宋体" w:hAnsi="宋体" w:eastAsia="宋体" w:cs="Times New Roman"/>
                <w:color w:val="auto"/>
                <w:lang w:val="en-US" w:eastAsia="zh-CN"/>
              </w:rPr>
              <w:t>本小项最高1分</w:t>
            </w:r>
            <w:r>
              <w:rPr>
                <w:rFonts w:hint="eastAsia" w:ascii="宋体" w:hAnsi="宋体" w:eastAsia="宋体" w:cs="Times New Roman"/>
                <w:color w:val="auto"/>
                <w:lang w:val="en-GB" w:eastAsia="zh-CN"/>
              </w:rPr>
              <w:t>。</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GB"/>
              </w:rPr>
            </w:pPr>
            <w:r>
              <w:rPr>
                <w:rFonts w:hint="eastAsia" w:ascii="宋体" w:hAnsi="宋体" w:eastAsia="宋体" w:cs="Times New Roman"/>
                <w:color w:val="auto"/>
                <w:lang w:val="en-GB"/>
              </w:rPr>
              <w:t>注：（1）本项最高得</w:t>
            </w:r>
            <w:r>
              <w:rPr>
                <w:rFonts w:hint="eastAsia" w:ascii="宋体" w:hAnsi="宋体" w:eastAsia="宋体" w:cs="Times New Roman"/>
                <w:color w:val="auto"/>
                <w:lang w:val="en-US" w:eastAsia="zh-CN"/>
              </w:rPr>
              <w:t>4</w:t>
            </w:r>
            <w:r>
              <w:rPr>
                <w:rFonts w:hint="eastAsia" w:ascii="宋体" w:hAnsi="宋体" w:eastAsia="宋体" w:cs="Times New Roman"/>
                <w:color w:val="auto"/>
                <w:lang w:val="en-GB"/>
              </w:rPr>
              <w:t>分</w:t>
            </w:r>
            <w:r>
              <w:rPr>
                <w:rFonts w:hint="eastAsia" w:ascii="宋体" w:hAnsi="宋体" w:eastAsia="宋体" w:cs="Times New Roman"/>
                <w:color w:val="auto"/>
                <w:lang w:val="en-GB" w:eastAsia="zh-CN"/>
              </w:rPr>
              <w:t>；</w:t>
            </w:r>
            <w:r>
              <w:rPr>
                <w:rFonts w:hint="eastAsia" w:ascii="宋体" w:hAnsi="宋体" w:eastAsia="宋体" w:cs="Times New Roman"/>
                <w:color w:val="auto"/>
                <w:lang w:val="en-GB"/>
              </w:rPr>
              <w:t>（2）须同时提供项目</w:t>
            </w:r>
            <w:r>
              <w:rPr>
                <w:rFonts w:hint="eastAsia" w:ascii="宋体" w:hAnsi="宋体" w:eastAsia="宋体" w:cs="Times New Roman"/>
                <w:color w:val="auto"/>
                <w:lang w:val="en-US" w:eastAsia="zh-CN"/>
              </w:rPr>
              <w:t>负责人</w:t>
            </w:r>
            <w:r>
              <w:rPr>
                <w:rFonts w:hint="eastAsia" w:ascii="宋体" w:hAnsi="宋体" w:eastAsia="宋体" w:cs="Times New Roman"/>
                <w:color w:val="auto"/>
                <w:lang w:val="en-GB"/>
              </w:rPr>
              <w:t>的身份证、有效的相关证书</w:t>
            </w:r>
            <w:r>
              <w:rPr>
                <w:rFonts w:hint="eastAsia" w:ascii="宋体" w:hAnsi="宋体" w:eastAsia="宋体" w:cs="Times New Roman"/>
                <w:color w:val="auto"/>
                <w:lang w:val="en-US" w:eastAsia="zh-CN"/>
              </w:rPr>
              <w:t>复印</w:t>
            </w:r>
            <w:r>
              <w:rPr>
                <w:rFonts w:hint="eastAsia" w:ascii="宋体" w:hAnsi="宋体" w:eastAsia="宋体" w:cs="Times New Roman"/>
                <w:color w:val="auto"/>
                <w:lang w:val="en-GB"/>
              </w:rPr>
              <w:t>件和近6个月内任意1个月在投标人单位</w:t>
            </w:r>
            <w:r>
              <w:rPr>
                <w:rFonts w:hint="eastAsia" w:ascii="宋体" w:hAnsi="宋体" w:eastAsia="宋体" w:cs="Times New Roman"/>
                <w:color w:val="auto"/>
                <w:lang w:val="en-GB" w:eastAsia="zh-CN"/>
              </w:rPr>
              <w:t>或其分支机构</w:t>
            </w:r>
            <w:r>
              <w:rPr>
                <w:rFonts w:hint="eastAsia" w:ascii="宋体" w:hAnsi="宋体" w:eastAsia="宋体" w:cs="Times New Roman"/>
                <w:color w:val="auto"/>
                <w:lang w:val="en-GB"/>
              </w:rPr>
              <w:t>购买社会保险证明的扫描件；（3）职业资格或职业技能证书复印件的扫描件，必须同时提供技能人才评价证书全国联网查询（网址：http://zscx.osta.org.cn/）的查询截图；如提供职业技术证书需要在在工业和信息化部教育与考试中心网站（网址：https://www.miiteec.org.cn/）上可查询，并在投标文件中提供网站截图并盖章）复印件</w:t>
            </w:r>
            <w:r>
              <w:rPr>
                <w:rFonts w:hint="eastAsia" w:ascii="宋体" w:hAnsi="宋体" w:eastAsia="宋体" w:cs="Times New Roman"/>
                <w:color w:val="auto"/>
                <w:lang w:val="en-GB" w:eastAsia="zh-CN"/>
              </w:rPr>
              <w:t>；</w:t>
            </w:r>
            <w:r>
              <w:rPr>
                <w:rFonts w:hint="eastAsia" w:ascii="宋体" w:hAnsi="宋体" w:eastAsia="宋体" w:cs="Times New Roman"/>
                <w:color w:val="auto"/>
                <w:lang w:val="en-GB"/>
              </w:rPr>
              <w:t>（4）上述资料须加盖投标人公章，否则不得分。</w:t>
            </w:r>
          </w:p>
        </w:tc>
        <w:tc>
          <w:tcPr>
            <w:tcW w:w="977" w:type="dxa"/>
            <w:noWrap w:val="0"/>
            <w:vAlign w:val="center"/>
          </w:tcPr>
          <w:p>
            <w:pPr>
              <w:pageBreakBefore w:val="0"/>
              <w:kinsoku/>
              <w:wordWrap w:val="0"/>
              <w:overflowPunct/>
              <w:topLinePunct w:val="0"/>
              <w:bidi w:val="0"/>
              <w:adjustRightInd/>
              <w:snapToGrid/>
              <w:spacing w:line="288" w:lineRule="auto"/>
              <w:jc w:val="center"/>
              <w:rPr>
                <w:rFonts w:hint="eastAsia" w:ascii="宋体" w:hAnsi="宋体" w:eastAsia="宋体" w:cs="Times New Roman"/>
                <w:color w:val="auto"/>
                <w:lang w:val="en-GB"/>
              </w:rPr>
            </w:pPr>
            <w:r>
              <w:rPr>
                <w:rFonts w:hint="eastAsia" w:ascii="宋体" w:hAnsi="宋体" w:eastAsia="宋体" w:cs="Times New Roman"/>
                <w:color w:val="auto"/>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69" w:type="dxa"/>
            <w:noWrap w:val="0"/>
            <w:vAlign w:val="center"/>
          </w:tcPr>
          <w:p>
            <w:pPr>
              <w:pageBreakBefore w:val="0"/>
              <w:kinsoku/>
              <w:wordWrap w:val="0"/>
              <w:overflowPunct/>
              <w:topLinePunct w:val="0"/>
              <w:bidi w:val="0"/>
              <w:adjustRightInd/>
              <w:snapToGrid/>
              <w:spacing w:line="288" w:lineRule="auto"/>
              <w:jc w:val="center"/>
              <w:rPr>
                <w:rFonts w:hint="eastAsia" w:ascii="宋体" w:hAnsi="宋体" w:eastAsia="宋体" w:cs="Times New Roman"/>
                <w:color w:val="auto"/>
                <w:lang w:val="en-US" w:eastAsia="zh-CN"/>
              </w:rPr>
            </w:pPr>
            <w:r>
              <w:rPr>
                <w:rFonts w:hint="eastAsia" w:cs="Times New Roman"/>
                <w:color w:val="auto"/>
                <w:lang w:val="en-US" w:eastAsia="zh-CN"/>
              </w:rPr>
              <w:t>6</w:t>
            </w:r>
          </w:p>
        </w:tc>
        <w:tc>
          <w:tcPr>
            <w:tcW w:w="1953" w:type="dxa"/>
            <w:noWrap w:val="0"/>
            <w:vAlign w:val="center"/>
          </w:tcPr>
          <w:p>
            <w:pPr>
              <w:pageBreakBefore w:val="0"/>
              <w:kinsoku/>
              <w:wordWrap w:val="0"/>
              <w:overflowPunct/>
              <w:topLinePunct w:val="0"/>
              <w:bidi w:val="0"/>
              <w:adjustRightInd/>
              <w:snapToGrid/>
              <w:spacing w:line="288" w:lineRule="auto"/>
              <w:jc w:val="center"/>
              <w:rPr>
                <w:rFonts w:hint="eastAsia" w:ascii="宋体" w:hAnsi="宋体" w:eastAsia="宋体" w:cs="Times New Roman"/>
                <w:color w:val="auto"/>
                <w:lang w:val="en-US" w:eastAsia="zh-CN"/>
              </w:rPr>
            </w:pPr>
            <w:r>
              <w:rPr>
                <w:rFonts w:hint="eastAsia" w:ascii="宋体" w:hAnsi="宋体" w:eastAsia="宋体" w:cs="Times New Roman"/>
                <w:color w:val="auto"/>
                <w:lang w:val="en-GB" w:eastAsia="zh-CN"/>
              </w:rPr>
              <w:t>专项服务队伍人员</w:t>
            </w:r>
          </w:p>
        </w:tc>
        <w:tc>
          <w:tcPr>
            <w:tcW w:w="5702" w:type="dxa"/>
            <w:noWrap w:val="0"/>
            <w:vAlign w:val="center"/>
          </w:tcPr>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专项服务队伍人员（除项目负责人外，以下持证人员不得重复）具备以下证件：</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1</w:t>
            </w:r>
            <w:r>
              <w:rPr>
                <w:rFonts w:hint="default" w:ascii="宋体" w:hAnsi="宋体" w:eastAsia="宋体" w:cs="Times New Roman"/>
                <w:color w:val="auto"/>
                <w:lang w:val="en-US" w:eastAsia="zh-CN"/>
              </w:rPr>
              <w:t>.</w:t>
            </w:r>
            <w:r>
              <w:rPr>
                <w:rFonts w:hint="eastAsia" w:ascii="宋体" w:hAnsi="宋体" w:eastAsia="宋体" w:cs="Times New Roman"/>
                <w:color w:val="auto"/>
                <w:lang w:val="en-US" w:eastAsia="zh-CN"/>
              </w:rPr>
              <w:t>具有应急管理部紧急救援促进中心或省级应急管理部门颁发的</w:t>
            </w:r>
            <w:r>
              <w:rPr>
                <w:rFonts w:hint="eastAsia" w:ascii="宋体" w:hAnsi="宋体" w:eastAsia="宋体" w:cs="Times New Roman"/>
                <w:color w:val="auto"/>
                <w:lang w:val="en-GB"/>
              </w:rPr>
              <w:t>应急救援员</w:t>
            </w:r>
            <w:r>
              <w:rPr>
                <w:rFonts w:hint="eastAsia" w:ascii="宋体" w:hAnsi="宋体" w:eastAsia="宋体" w:cs="Times New Roman"/>
                <w:color w:val="auto"/>
                <w:lang w:val="en-GB" w:eastAsia="zh-CN"/>
              </w:rPr>
              <w:t>职业</w:t>
            </w:r>
            <w:r>
              <w:rPr>
                <w:rFonts w:hint="eastAsia" w:ascii="宋体" w:hAnsi="宋体" w:eastAsia="宋体" w:cs="Times New Roman"/>
                <w:color w:val="auto"/>
                <w:lang w:val="en-GB"/>
              </w:rPr>
              <w:t>资格证书（五级）或以上</w:t>
            </w:r>
            <w:r>
              <w:rPr>
                <w:rFonts w:hint="eastAsia" w:ascii="宋体" w:hAnsi="宋体" w:eastAsia="宋体" w:cs="Times New Roman"/>
                <w:color w:val="auto"/>
                <w:lang w:val="en-US" w:eastAsia="zh-CN"/>
              </w:rPr>
              <w:t>的，每提供一个得1分，本小项最高得2分；</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GB"/>
              </w:rPr>
            </w:pPr>
            <w:r>
              <w:rPr>
                <w:rFonts w:hint="eastAsia" w:ascii="宋体" w:hAnsi="宋体" w:eastAsia="宋体" w:cs="Times New Roman"/>
                <w:color w:val="auto"/>
                <w:lang w:val="en-US" w:eastAsia="zh-CN"/>
              </w:rPr>
              <w:t>2</w:t>
            </w:r>
            <w:r>
              <w:rPr>
                <w:rFonts w:hint="default" w:ascii="宋体" w:hAnsi="宋体" w:eastAsia="宋体" w:cs="Times New Roman"/>
                <w:color w:val="auto"/>
                <w:lang w:val="en-US" w:eastAsia="zh-CN"/>
              </w:rPr>
              <w:t>.</w:t>
            </w:r>
            <w:r>
              <w:rPr>
                <w:rFonts w:hint="eastAsia" w:ascii="宋体" w:hAnsi="宋体" w:eastAsia="宋体" w:cs="Times New Roman"/>
                <w:color w:val="auto"/>
                <w:lang w:val="en-GB"/>
              </w:rPr>
              <w:t>具有</w:t>
            </w:r>
            <w:r>
              <w:rPr>
                <w:rFonts w:hint="eastAsia" w:ascii="宋体" w:hAnsi="宋体" w:eastAsia="宋体" w:cs="Times New Roman"/>
                <w:color w:val="auto"/>
                <w:lang w:val="en-GB" w:eastAsia="zh-CN"/>
              </w:rPr>
              <w:t>保安员职业资格证书</w:t>
            </w:r>
            <w:r>
              <w:rPr>
                <w:rFonts w:hint="eastAsia" w:ascii="宋体" w:hAnsi="宋体" w:eastAsia="宋体" w:cs="Times New Roman"/>
                <w:color w:val="auto"/>
                <w:lang w:val="en-US" w:eastAsia="zh-CN"/>
              </w:rPr>
              <w:t>的</w:t>
            </w:r>
            <w:r>
              <w:rPr>
                <w:rFonts w:hint="eastAsia" w:ascii="宋体" w:hAnsi="宋体" w:eastAsia="宋体" w:cs="Times New Roman"/>
                <w:color w:val="auto"/>
                <w:lang w:val="en-GB"/>
              </w:rPr>
              <w:t>，</w:t>
            </w:r>
            <w:r>
              <w:rPr>
                <w:rFonts w:hint="eastAsia" w:ascii="宋体" w:hAnsi="宋体" w:eastAsia="宋体" w:cs="Times New Roman"/>
                <w:color w:val="auto"/>
                <w:lang w:val="en-US" w:eastAsia="zh-CN"/>
              </w:rPr>
              <w:t>每提供一个</w:t>
            </w:r>
            <w:r>
              <w:rPr>
                <w:rFonts w:hint="eastAsia" w:ascii="宋体" w:hAnsi="宋体" w:eastAsia="宋体" w:cs="Times New Roman"/>
                <w:color w:val="auto"/>
                <w:lang w:val="en-GB"/>
              </w:rPr>
              <w:t>得</w:t>
            </w:r>
            <w:r>
              <w:rPr>
                <w:rFonts w:hint="eastAsia" w:ascii="宋体" w:hAnsi="宋体" w:eastAsia="宋体" w:cs="Times New Roman"/>
                <w:color w:val="auto"/>
                <w:lang w:val="en-US" w:eastAsia="zh-CN"/>
              </w:rPr>
              <w:t>1</w:t>
            </w:r>
            <w:r>
              <w:rPr>
                <w:rFonts w:hint="eastAsia" w:ascii="宋体" w:hAnsi="宋体" w:eastAsia="宋体" w:cs="Times New Roman"/>
                <w:color w:val="auto"/>
                <w:lang w:val="en-GB"/>
              </w:rPr>
              <w:t>分</w:t>
            </w:r>
            <w:r>
              <w:rPr>
                <w:rFonts w:hint="eastAsia" w:ascii="宋体" w:hAnsi="宋体" w:eastAsia="宋体" w:cs="Times New Roman"/>
                <w:color w:val="auto"/>
                <w:lang w:val="en-US" w:eastAsia="zh-CN"/>
              </w:rPr>
              <w:t>，本小项最高得2分</w:t>
            </w:r>
            <w:r>
              <w:rPr>
                <w:rFonts w:hint="eastAsia" w:ascii="宋体" w:hAnsi="宋体" w:eastAsia="宋体" w:cs="Times New Roman"/>
                <w:color w:val="auto"/>
                <w:lang w:val="en-GB"/>
              </w:rPr>
              <w:t>；</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3.具有消防安全管理员职业技能评价证书五级的，每提供一个得0.5分；具有消防安全管理员职业技能评价证书四级或以上的，每提供一个得1分，本小项最高得2分；</w:t>
            </w:r>
          </w:p>
          <w:p>
            <w:pPr>
              <w:pageBreakBefore w:val="0"/>
              <w:kinsoku/>
              <w:wordWrap w:val="0"/>
              <w:overflowPunct/>
              <w:topLinePunct w:val="0"/>
              <w:bidi w:val="0"/>
              <w:adjustRightInd/>
              <w:snapToGrid/>
              <w:spacing w:line="288" w:lineRule="auto"/>
              <w:jc w:val="left"/>
              <w:rPr>
                <w:rFonts w:hint="eastAsia" w:ascii="宋体" w:hAnsi="宋体" w:eastAsia="宋体" w:cs="Times New Roman"/>
                <w:color w:val="auto"/>
                <w:lang w:val="en-GB"/>
              </w:rPr>
            </w:pPr>
            <w:r>
              <w:rPr>
                <w:rFonts w:hint="eastAsia" w:ascii="宋体" w:hAnsi="宋体" w:eastAsia="宋体" w:cs="Times New Roman"/>
                <w:color w:val="auto"/>
                <w:lang w:val="en-GB"/>
              </w:rPr>
              <w:t>注：（1）本项最高得</w:t>
            </w:r>
            <w:r>
              <w:rPr>
                <w:rFonts w:hint="eastAsia" w:ascii="宋体" w:hAnsi="宋体" w:eastAsia="宋体" w:cs="Times New Roman"/>
                <w:color w:val="auto"/>
                <w:lang w:val="en-US" w:eastAsia="zh-CN"/>
              </w:rPr>
              <w:t>6</w:t>
            </w:r>
            <w:r>
              <w:rPr>
                <w:rFonts w:hint="eastAsia" w:ascii="宋体" w:hAnsi="宋体" w:eastAsia="宋体" w:cs="Times New Roman"/>
                <w:color w:val="auto"/>
                <w:lang w:val="en-GB"/>
              </w:rPr>
              <w:t>分</w:t>
            </w:r>
            <w:r>
              <w:rPr>
                <w:rFonts w:hint="eastAsia" w:ascii="宋体" w:hAnsi="宋体" w:eastAsia="宋体" w:cs="Times New Roman"/>
                <w:color w:val="auto"/>
                <w:lang w:val="en-GB" w:eastAsia="zh-CN"/>
              </w:rPr>
              <w:t>；</w:t>
            </w:r>
            <w:r>
              <w:rPr>
                <w:rFonts w:hint="eastAsia" w:ascii="宋体" w:hAnsi="宋体" w:eastAsia="宋体" w:cs="Times New Roman"/>
                <w:color w:val="auto"/>
                <w:lang w:val="en-GB"/>
              </w:rPr>
              <w:t>（2）须同时提供</w:t>
            </w:r>
            <w:r>
              <w:rPr>
                <w:rFonts w:hint="eastAsia" w:ascii="宋体" w:hAnsi="宋体" w:eastAsia="宋体" w:cs="Times New Roman"/>
                <w:color w:val="auto"/>
                <w:lang w:val="en-US" w:eastAsia="zh-CN"/>
              </w:rPr>
              <w:t>人员</w:t>
            </w:r>
            <w:r>
              <w:rPr>
                <w:rFonts w:hint="eastAsia" w:ascii="宋体" w:hAnsi="宋体" w:eastAsia="宋体" w:cs="Times New Roman"/>
                <w:color w:val="auto"/>
                <w:lang w:val="en-GB"/>
              </w:rPr>
              <w:t>的身份证、有效的相关证书的扫描件和近6个月内任意1个月在投标人单位</w:t>
            </w:r>
            <w:r>
              <w:rPr>
                <w:rFonts w:hint="eastAsia" w:ascii="宋体" w:hAnsi="宋体" w:eastAsia="宋体" w:cs="Times New Roman"/>
                <w:color w:val="auto"/>
                <w:lang w:val="en-GB" w:eastAsia="zh-CN"/>
              </w:rPr>
              <w:t>或其分支机构</w:t>
            </w:r>
            <w:r>
              <w:rPr>
                <w:rFonts w:hint="eastAsia" w:ascii="宋体" w:hAnsi="宋体" w:eastAsia="宋体" w:cs="Times New Roman"/>
                <w:color w:val="auto"/>
                <w:lang w:val="en-GB"/>
              </w:rPr>
              <w:t>购买社会保险证明的扫描件</w:t>
            </w:r>
            <w:r>
              <w:rPr>
                <w:rFonts w:hint="eastAsia" w:ascii="宋体" w:hAnsi="宋体" w:eastAsia="宋体" w:cs="Times New Roman"/>
                <w:color w:val="auto"/>
                <w:lang w:val="en-GB" w:eastAsia="zh-CN"/>
              </w:rPr>
              <w:t>；</w:t>
            </w:r>
            <w:r>
              <w:rPr>
                <w:rFonts w:hint="eastAsia" w:ascii="宋体" w:hAnsi="宋体" w:eastAsia="宋体" w:cs="Times New Roman"/>
                <w:color w:val="auto"/>
                <w:lang w:val="en-GB"/>
              </w:rPr>
              <w:t>（3）职业资格或职业技能证书复印件的扫描件，必须同时提供技能人才评价证书全国联网查询（网址：http://zscx.osta.org.cn/）的查询截图；如提供职业技术证书需要在在工业和信息化部教育与考试中心网站（网址：https://www.miiteec.org.cn/）上可查询，并在投标文件中提供网站截图并盖章）复印件</w:t>
            </w:r>
            <w:r>
              <w:rPr>
                <w:rFonts w:hint="eastAsia" w:ascii="宋体" w:hAnsi="宋体" w:eastAsia="宋体" w:cs="Times New Roman"/>
                <w:color w:val="auto"/>
                <w:lang w:val="en-GB" w:eastAsia="zh-CN"/>
              </w:rPr>
              <w:t>；</w:t>
            </w:r>
            <w:r>
              <w:rPr>
                <w:rFonts w:hint="eastAsia" w:ascii="宋体" w:hAnsi="宋体" w:eastAsia="宋体" w:cs="Times New Roman"/>
                <w:color w:val="auto"/>
                <w:lang w:val="en-GB"/>
              </w:rPr>
              <w:t>（4）上述资料须加盖投标人公章，否则不得分。</w:t>
            </w:r>
          </w:p>
        </w:tc>
        <w:tc>
          <w:tcPr>
            <w:tcW w:w="977" w:type="dxa"/>
            <w:noWrap w:val="0"/>
            <w:vAlign w:val="center"/>
          </w:tcPr>
          <w:p>
            <w:pPr>
              <w:pageBreakBefore w:val="0"/>
              <w:kinsoku/>
              <w:wordWrap w:val="0"/>
              <w:overflowPunct/>
              <w:topLinePunct w:val="0"/>
              <w:bidi w:val="0"/>
              <w:adjustRightInd/>
              <w:snapToGrid/>
              <w:spacing w:line="288" w:lineRule="auto"/>
              <w:jc w:val="center"/>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101" w:type="dxa"/>
            <w:gridSpan w:val="4"/>
            <w:noWrap w:val="0"/>
            <w:vAlign w:val="center"/>
          </w:tcPr>
          <w:p>
            <w:pPr>
              <w:pageBreakBefore w:val="0"/>
              <w:kinsoku/>
              <w:wordWrap w:val="0"/>
              <w:overflowPunct/>
              <w:topLinePunct w:val="0"/>
              <w:bidi w:val="0"/>
              <w:adjustRightInd/>
              <w:snapToGrid/>
              <w:spacing w:line="288" w:lineRule="auto"/>
              <w:jc w:val="both"/>
              <w:rPr>
                <w:rFonts w:hint="eastAsia" w:ascii="宋体" w:hAnsi="宋体" w:eastAsia="宋体" w:cs="Times New Roman"/>
                <w:color w:val="auto"/>
                <w:lang w:val="en-GB"/>
              </w:rPr>
            </w:pPr>
            <w:r>
              <w:rPr>
                <w:rFonts w:hint="eastAsia" w:ascii="宋体" w:hAnsi="宋体" w:eastAsia="宋体" w:cs="Times New Roman"/>
                <w:color w:val="auto"/>
                <w:lang w:val="en-GB"/>
              </w:rPr>
              <w:t>注：证明材料均为复印件或扫描件或打印件，并加盖单位公章。</w:t>
            </w:r>
          </w:p>
        </w:tc>
      </w:tr>
    </w:tbl>
    <w:p>
      <w:pPr>
        <w:spacing w:line="360" w:lineRule="auto"/>
        <w:rPr>
          <w:rFonts w:hint="eastAsia" w:ascii="宋体" w:hAnsi="宋体" w:eastAsia="宋体" w:cs="宋体"/>
          <w:color w:val="auto"/>
          <w:lang w:val="en-GB" w:eastAsia="zh-CN"/>
        </w:rPr>
      </w:pPr>
      <w:r>
        <w:rPr>
          <w:rFonts w:hint="eastAsia" w:ascii="宋体" w:hAnsi="宋体" w:eastAsia="宋体" w:cs="宋体"/>
          <w:color w:val="auto"/>
          <w:lang w:val="en-US" w:eastAsia="zh-CN"/>
        </w:rPr>
        <w:t>3）</w:t>
      </w:r>
      <w:r>
        <w:rPr>
          <w:rFonts w:hint="eastAsia" w:ascii="宋体" w:hAnsi="宋体" w:eastAsia="宋体" w:cs="宋体"/>
          <w:color w:val="auto"/>
          <w:lang w:val="en-GB" w:eastAsia="zh-CN"/>
        </w:rPr>
        <w:t>价格部分评审标准</w:t>
      </w:r>
    </w:p>
    <w:p>
      <w:pPr>
        <w:spacing w:line="360" w:lineRule="auto"/>
        <w:ind w:firstLine="424"/>
        <w:rPr>
          <w:rFonts w:hint="eastAsia" w:ascii="宋体" w:hAnsi="宋体" w:eastAsia="宋体" w:cs="宋体"/>
          <w:color w:val="auto"/>
          <w:lang w:val="en-GB"/>
        </w:rPr>
      </w:pPr>
      <w:r>
        <w:rPr>
          <w:rFonts w:hint="eastAsia" w:ascii="宋体" w:hAnsi="宋体" w:eastAsia="宋体" w:cs="宋体"/>
          <w:color w:val="auto"/>
          <w:lang w:val="en-GB"/>
        </w:rPr>
        <w:t>经评标委员会审核，满足招标文件要求后，以评标价格的最低价者定为评标基准价，其价格分为满分。其他投标人的价格分统一按下列公式折算递减。即：</w:t>
      </w:r>
    </w:p>
    <w:p>
      <w:pPr>
        <w:spacing w:line="360" w:lineRule="auto"/>
        <w:ind w:firstLine="424"/>
        <w:rPr>
          <w:rFonts w:hint="eastAsia" w:ascii="宋体" w:hAnsi="宋体" w:eastAsia="宋体" w:cs="宋体"/>
          <w:color w:val="auto"/>
          <w:lang w:val="en-GB"/>
        </w:rPr>
      </w:pPr>
      <w:r>
        <w:rPr>
          <w:rFonts w:hint="eastAsia" w:ascii="宋体" w:hAnsi="宋体" w:eastAsia="宋体" w:cs="宋体"/>
          <w:color w:val="auto"/>
          <w:lang w:val="en-GB"/>
        </w:rPr>
        <w:t>其他投标报价得分 = （评标基准价÷评标价格） × 价格部分分值</w:t>
      </w:r>
    </w:p>
    <w:p>
      <w:pPr>
        <w:spacing w:line="360" w:lineRule="auto"/>
        <w:ind w:firstLine="424"/>
        <w:rPr>
          <w:rFonts w:hint="default" w:ascii="宋体" w:hAnsi="宋体" w:eastAsia="宋体" w:cs="宋体"/>
          <w:color w:val="auto"/>
          <w:lang w:val="en-US" w:eastAsia="zh-CN"/>
        </w:rPr>
      </w:pPr>
      <w:r>
        <w:rPr>
          <w:rFonts w:hint="eastAsia" w:ascii="宋体" w:hAnsi="宋体" w:eastAsia="宋体" w:cs="宋体"/>
          <w:color w:val="auto"/>
          <w:lang w:val="en-GB"/>
        </w:rPr>
        <w:t>（注：评标价格、评标基准价均精确到两位小数）</w:t>
      </w:r>
    </w:p>
    <w:p>
      <w:pPr>
        <w:tabs>
          <w:tab w:val="left" w:pos="720"/>
          <w:tab w:val="left" w:pos="1800"/>
        </w:tabs>
        <w:spacing w:line="360" w:lineRule="auto"/>
        <w:ind w:firstLine="424"/>
        <w:rPr>
          <w:rFonts w:hint="eastAsia" w:ascii="宋体" w:hAnsi="宋体" w:cs="宋体"/>
          <w:color w:val="auto"/>
          <w:szCs w:val="21"/>
        </w:rPr>
      </w:pPr>
    </w:p>
    <w:p>
      <w:pPr>
        <w:spacing w:line="360" w:lineRule="auto"/>
        <w:rPr>
          <w:rFonts w:hint="eastAsia" w:ascii="宋体" w:hAnsi="宋体" w:cs="宋体"/>
          <w:color w:val="auto"/>
        </w:rPr>
      </w:pPr>
    </w:p>
    <w:p>
      <w:pPr>
        <w:pStyle w:val="3"/>
        <w:rPr>
          <w:rFonts w:hint="eastAsia" w:ascii="宋体" w:hAnsi="宋体" w:eastAsia="宋体" w:cs="宋体"/>
          <w:color w:val="auto"/>
          <w:lang w:eastAsia="zh-CN"/>
        </w:rPr>
      </w:pPr>
      <w:r>
        <w:rPr>
          <w:rFonts w:hint="eastAsia" w:ascii="宋体" w:hAnsi="宋体" w:eastAsia="宋体" w:cs="宋体"/>
          <w:color w:val="auto"/>
          <w:lang w:eastAsia="zh-CN" w:bidi="ar"/>
        </w:rPr>
        <w:t>（</w:t>
      </w:r>
      <w:r>
        <w:rPr>
          <w:rFonts w:hint="eastAsia" w:ascii="宋体" w:hAnsi="宋体" w:eastAsia="宋体" w:cs="宋体"/>
          <w:color w:val="auto"/>
          <w:lang w:val="en-US" w:eastAsia="zh-CN" w:bidi="ar"/>
        </w:rPr>
        <w:t>七</w:t>
      </w:r>
      <w:r>
        <w:rPr>
          <w:rFonts w:hint="eastAsia" w:ascii="宋体" w:hAnsi="宋体" w:eastAsia="宋体" w:cs="宋体"/>
          <w:color w:val="auto"/>
          <w:lang w:eastAsia="zh-CN" w:bidi="ar"/>
        </w:rPr>
        <w:t>）评审结果确认</w:t>
      </w:r>
    </w:p>
    <w:p>
      <w:pPr>
        <w:pStyle w:val="4"/>
        <w:rPr>
          <w:rFonts w:hint="eastAsia" w:ascii="宋体" w:hAnsi="宋体" w:eastAsia="宋体" w:cs="宋体"/>
          <w:b/>
          <w:bCs/>
          <w:color w:val="auto"/>
          <w:spacing w:val="2"/>
          <w:sz w:val="21"/>
          <w:szCs w:val="21"/>
          <w:lang w:eastAsia="zh-CN" w:bidi="ar"/>
        </w:rPr>
      </w:pPr>
      <w:r>
        <w:rPr>
          <w:rFonts w:hint="eastAsia" w:ascii="宋体" w:hAnsi="宋体" w:eastAsia="宋体" w:cs="宋体"/>
          <w:b/>
          <w:bCs/>
          <w:color w:val="auto"/>
          <w:spacing w:val="2"/>
          <w:sz w:val="21"/>
          <w:szCs w:val="21"/>
          <w:lang w:eastAsia="zh-CN" w:bidi="ar"/>
        </w:rPr>
        <w:t>28、</w:t>
      </w:r>
      <w:r>
        <w:rPr>
          <w:rFonts w:ascii="宋体" w:hAnsi="宋体" w:eastAsia="宋体" w:cs="宋体"/>
          <w:b/>
          <w:bCs/>
          <w:color w:val="auto"/>
          <w:spacing w:val="2"/>
          <w:sz w:val="21"/>
          <w:szCs w:val="21"/>
          <w:lang w:eastAsia="zh-CN" w:bidi="ar"/>
        </w:rPr>
        <w:t xml:space="preserve">确定评审结果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28.1 采购人可事先授权评标委员会直接确定中标投标人，或在法定时间内对评审结果进行确认。 </w:t>
      </w:r>
    </w:p>
    <w:p>
      <w:pPr>
        <w:widowControl/>
        <w:spacing w:line="360" w:lineRule="auto"/>
        <w:jc w:val="left"/>
        <w:rPr>
          <w:rFonts w:hint="eastAsia" w:ascii="宋体" w:hAnsi="宋体" w:cs="宋体"/>
          <w:color w:val="auto"/>
          <w:szCs w:val="21"/>
          <w:lang w:eastAsia="zh-CN"/>
        </w:rPr>
      </w:pPr>
      <w:r>
        <w:rPr>
          <w:rFonts w:hint="eastAsia" w:ascii="宋体" w:hAnsi="宋体" w:cs="宋体"/>
          <w:color w:val="auto"/>
          <w:szCs w:val="21"/>
          <w:lang w:eastAsia="zh-CN" w:bidi="ar"/>
        </w:rPr>
        <w:t xml:space="preserve">28.2 采购代理机构自评审结束之日起2个工作日内将评审报告及《采购结果确认函》送交采购人，采购人自收到评审报告之日起5个工作日内按顺序确定中标投标人。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28.3 采购人在收到评标报告5个工作日内未按评标报告推荐的中标候选人顺序确定中标投标人，又不能说明合法理由的，视同按评标报告推荐的顺序确定排名第一的中标候选人为中标投标人。</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28.4</w:t>
      </w:r>
      <w:r>
        <w:rPr>
          <w:rFonts w:ascii="宋体" w:hAnsi="宋体" w:cs="宋体"/>
          <w:color w:val="auto"/>
          <w:spacing w:val="1"/>
          <w:szCs w:val="21"/>
        </w:rPr>
        <w:t>在此期间，采购人可根据评标委员会推荐的中标候选人名单，按照招标文件的要求对</w:t>
      </w:r>
      <w:r>
        <w:rPr>
          <w:rFonts w:ascii="宋体" w:hAnsi="宋体" w:cs="宋体"/>
          <w:color w:val="auto"/>
          <w:spacing w:val="-2"/>
          <w:szCs w:val="21"/>
        </w:rPr>
        <w:t>中标候选人的主要技术和商务条款的响应程度作进一步的核实，确保投标方案能够完全</w:t>
      </w:r>
      <w:r>
        <w:rPr>
          <w:rFonts w:ascii="宋体" w:hAnsi="宋体" w:cs="宋体"/>
          <w:color w:val="auto"/>
          <w:spacing w:val="-3"/>
          <w:szCs w:val="21"/>
        </w:rPr>
        <w:t>满足</w:t>
      </w:r>
      <w:r>
        <w:rPr>
          <w:rFonts w:ascii="宋体" w:hAnsi="宋体" w:cs="宋体"/>
          <w:color w:val="auto"/>
          <w:spacing w:val="-1"/>
          <w:szCs w:val="21"/>
        </w:rPr>
        <w:t>招标文件的实质性要求，无出现重大偏离，且方案合法、真实、可行</w:t>
      </w:r>
      <w:r>
        <w:rPr>
          <w:rFonts w:hint="eastAsia" w:ascii="宋体" w:hAnsi="宋体" w:cs="宋体"/>
          <w:color w:val="auto"/>
          <w:spacing w:val="-1"/>
          <w:szCs w:val="21"/>
          <w:lang w:eastAsia="zh-CN"/>
        </w:rPr>
        <w:t>。</w:t>
      </w:r>
    </w:p>
    <w:p>
      <w:pPr>
        <w:widowControl/>
        <w:spacing w:line="360" w:lineRule="auto"/>
        <w:jc w:val="left"/>
        <w:rPr>
          <w:rFonts w:hint="eastAsia" w:ascii="宋体" w:hAnsi="宋体" w:cs="宋体"/>
          <w:color w:val="auto"/>
          <w:szCs w:val="21"/>
          <w:lang w:eastAsia="zh-CN"/>
        </w:rPr>
      </w:pPr>
      <w:r>
        <w:rPr>
          <w:rFonts w:hint="eastAsia" w:ascii="宋体" w:hAnsi="宋体" w:cs="宋体"/>
          <w:color w:val="auto"/>
          <w:szCs w:val="21"/>
          <w:lang w:eastAsia="zh-CN"/>
        </w:rPr>
        <w:t>28.5采购人因故逾期确认评审结果时，应提前书面知会采购代理机构和各投标人。</w:t>
      </w:r>
    </w:p>
    <w:p>
      <w:pPr>
        <w:widowControl/>
        <w:spacing w:line="360" w:lineRule="auto"/>
        <w:jc w:val="left"/>
        <w:rPr>
          <w:rFonts w:hint="eastAsia" w:ascii="宋体" w:hAnsi="宋体" w:cs="宋体"/>
          <w:color w:val="auto"/>
          <w:szCs w:val="21"/>
          <w:lang w:eastAsia="zh-CN"/>
        </w:rPr>
      </w:pPr>
      <w:r>
        <w:rPr>
          <w:rFonts w:hint="eastAsia" w:ascii="宋体" w:hAnsi="宋体" w:cs="宋体"/>
          <w:color w:val="auto"/>
          <w:szCs w:val="21"/>
          <w:lang w:eastAsia="zh-CN"/>
        </w:rPr>
        <w:t>28.6中标结果将在采购信息发布网站上公示，请各投标人自行上网查询。</w:t>
      </w:r>
    </w:p>
    <w:p>
      <w:pPr>
        <w:pStyle w:val="4"/>
        <w:rPr>
          <w:rFonts w:hint="eastAsia" w:ascii="宋体" w:hAnsi="宋体" w:eastAsia="宋体" w:cs="宋体"/>
          <w:b/>
          <w:bCs/>
          <w:color w:val="auto"/>
          <w:spacing w:val="2"/>
          <w:sz w:val="21"/>
          <w:szCs w:val="21"/>
          <w:lang w:eastAsia="zh-CN" w:bidi="ar"/>
        </w:rPr>
      </w:pPr>
      <w:r>
        <w:rPr>
          <w:rFonts w:hint="eastAsia" w:ascii="宋体" w:hAnsi="宋体" w:eastAsia="宋体" w:cs="宋体"/>
          <w:b/>
          <w:bCs/>
          <w:color w:val="auto"/>
          <w:spacing w:val="2"/>
          <w:sz w:val="21"/>
          <w:szCs w:val="21"/>
          <w:lang w:eastAsia="zh-CN" w:bidi="ar"/>
        </w:rPr>
        <w:t>29、</w:t>
      </w:r>
      <w:r>
        <w:rPr>
          <w:rFonts w:ascii="宋体" w:hAnsi="宋体" w:eastAsia="宋体" w:cs="宋体"/>
          <w:b/>
          <w:bCs/>
          <w:color w:val="auto"/>
          <w:spacing w:val="2"/>
          <w:sz w:val="21"/>
          <w:szCs w:val="21"/>
          <w:lang w:eastAsia="zh-CN" w:bidi="ar"/>
        </w:rPr>
        <w:t xml:space="preserve">中标通知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29.1 采购代理机构自中标投标人确定之日起2个工作日内，在指定的媒体上公告中标结果，并同时向中标投标人发出中标通知书。不在中标名单之列者即为落标人，采购代理机构不再以其它方式另行通知。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29.2《中标通知书》将作为授予合同资格的唯一合法依据。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29.3 中标通知书发出后，中标投标人无正当理由不得放弃中标。否则，应当依法承担相应的法律责任，并赔偿采购人由此所造成的一切经济损失。</w:t>
      </w:r>
    </w:p>
    <w:p>
      <w:pPr>
        <w:pStyle w:val="4"/>
        <w:rPr>
          <w:rFonts w:hint="eastAsia" w:ascii="宋体" w:hAnsi="宋体" w:eastAsia="宋体" w:cs="宋体"/>
          <w:b/>
          <w:bCs/>
          <w:color w:val="auto"/>
          <w:spacing w:val="2"/>
          <w:sz w:val="21"/>
          <w:szCs w:val="21"/>
          <w:lang w:eastAsia="zh-CN" w:bidi="ar"/>
        </w:rPr>
      </w:pPr>
      <w:r>
        <w:rPr>
          <w:rFonts w:hint="eastAsia" w:ascii="宋体" w:hAnsi="宋体" w:eastAsia="宋体" w:cs="宋体"/>
          <w:b/>
          <w:bCs/>
          <w:color w:val="auto"/>
          <w:spacing w:val="2"/>
          <w:sz w:val="21"/>
          <w:szCs w:val="21"/>
          <w:lang w:eastAsia="zh-CN" w:bidi="ar"/>
        </w:rPr>
        <w:t>30、</w:t>
      </w:r>
      <w:r>
        <w:rPr>
          <w:rFonts w:ascii="宋体" w:hAnsi="宋体" w:eastAsia="宋体" w:cs="宋体"/>
          <w:b/>
          <w:bCs/>
          <w:color w:val="auto"/>
          <w:spacing w:val="2"/>
          <w:sz w:val="21"/>
          <w:szCs w:val="21"/>
          <w:lang w:eastAsia="zh-CN" w:bidi="ar"/>
        </w:rPr>
        <w:t xml:space="preserve">合同签订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30.1 中标投标人应按照《中标通知书》的要求与采购人签订合同，如拒绝或拖延签订合同，应承担违约责任和经济赔偿，并列入不良行为记录。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30.2 招标文件、投标文件、相关澄清材料及来往确认文件，均作为合同订立和裁定争议的依据，对这些文件个别条款要约的理解存有歧义、偏差、含糊、疏漏等情形时，一切以能够实现项目的功能效果和设计目标为前提，均以采购代理机构的理解判断为准。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30.3 在不违背原采购方案要求和各方认可的文件内容前提下，合同当事人可对合同范本中个别非实质性条款共同协商完善补充修正。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30.4 </w:t>
      </w:r>
      <w:r>
        <w:rPr>
          <w:rFonts w:ascii="宋体" w:hAnsi="宋体" w:cs="宋体"/>
          <w:color w:val="auto"/>
          <w:szCs w:val="21"/>
        </w:rPr>
        <w:t>合同自甲乙双方法人代表或其授权代理人签</w:t>
      </w:r>
      <w:r>
        <w:rPr>
          <w:rFonts w:ascii="宋体" w:hAnsi="宋体" w:cs="宋体"/>
          <w:color w:val="auto"/>
          <w:spacing w:val="-1"/>
          <w:szCs w:val="21"/>
        </w:rPr>
        <w:t>字盖章之日起生效</w:t>
      </w:r>
      <w:r>
        <w:rPr>
          <w:rFonts w:hint="eastAsia" w:ascii="宋体" w:hAnsi="宋体" w:cs="宋体"/>
          <w:color w:val="auto"/>
          <w:szCs w:val="21"/>
          <w:lang w:eastAsia="zh-CN" w:bidi="ar"/>
        </w:rPr>
        <w:t xml:space="preserve">。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30.5 合同生效后一切行为均适用于《中华人民共和国民法典》等中华人民共和国现行法律法规规定，履约期间有违约过错的一方，须承担相应的责任。</w:t>
      </w:r>
    </w:p>
    <w:p>
      <w:pPr>
        <w:pStyle w:val="4"/>
        <w:rPr>
          <w:rFonts w:hint="eastAsia" w:ascii="宋体" w:hAnsi="宋体" w:eastAsia="宋体" w:cs="宋体"/>
          <w:color w:val="auto"/>
          <w:szCs w:val="21"/>
          <w:lang w:eastAsia="zh-CN" w:bidi="ar"/>
        </w:rPr>
      </w:pPr>
      <w:r>
        <w:rPr>
          <w:rFonts w:ascii="宋体" w:hAnsi="宋体" w:eastAsia="宋体" w:cs="宋体"/>
          <w:b/>
          <w:bCs/>
          <w:color w:val="auto"/>
          <w:spacing w:val="2"/>
          <w:szCs w:val="21"/>
          <w:lang w:eastAsia="zh-CN" w:bidi="ar"/>
        </w:rPr>
        <w:t>3</w:t>
      </w:r>
      <w:r>
        <w:rPr>
          <w:rFonts w:hint="eastAsia" w:ascii="宋体" w:hAnsi="宋体" w:eastAsia="宋体" w:cs="宋体"/>
          <w:b/>
          <w:bCs/>
          <w:color w:val="auto"/>
          <w:spacing w:val="2"/>
          <w:szCs w:val="21"/>
          <w:lang w:eastAsia="zh-CN" w:bidi="ar"/>
        </w:rPr>
        <w:t>1</w:t>
      </w:r>
      <w:r>
        <w:rPr>
          <w:rFonts w:ascii="宋体" w:hAnsi="宋体" w:eastAsia="宋体" w:cs="宋体"/>
          <w:b/>
          <w:bCs/>
          <w:color w:val="auto"/>
          <w:spacing w:val="2"/>
          <w:sz w:val="21"/>
          <w:szCs w:val="21"/>
          <w:lang w:eastAsia="zh-CN" w:bidi="ar"/>
        </w:rPr>
        <w:t>.询问、质疑、投诉</w:t>
      </w:r>
      <w:r>
        <w:rPr>
          <w:rFonts w:hint="eastAsia" w:ascii="宋体" w:hAnsi="宋体" w:eastAsia="宋体" w:cs="宋体"/>
          <w:color w:val="auto"/>
          <w:sz w:val="21"/>
          <w:szCs w:val="21"/>
          <w:lang w:eastAsia="zh-CN" w:bidi="ar"/>
        </w:rPr>
        <w:t xml:space="preserve"> </w:t>
      </w:r>
    </w:p>
    <w:p>
      <w:pPr>
        <w:widowControl/>
        <w:spacing w:line="360" w:lineRule="auto"/>
        <w:jc w:val="left"/>
        <w:rPr>
          <w:rFonts w:hint="eastAsia" w:ascii="宋体" w:hAnsi="宋体" w:cs="宋体"/>
          <w:color w:val="auto"/>
          <w:szCs w:val="21"/>
          <w:lang w:eastAsia="zh-CN" w:bidi="ar"/>
        </w:rPr>
      </w:pPr>
      <w:r>
        <w:rPr>
          <w:rFonts w:ascii="宋体" w:hAnsi="宋体" w:cs="宋体"/>
          <w:color w:val="auto"/>
          <w:spacing w:val="-3"/>
          <w:szCs w:val="21"/>
        </w:rPr>
        <w:t>说明：本部分格式为</w:t>
      </w:r>
      <w:r>
        <w:rPr>
          <w:rFonts w:hint="eastAsia" w:ascii="宋体" w:hAnsi="宋体" w:cs="宋体"/>
          <w:color w:val="auto"/>
          <w:spacing w:val="-3"/>
          <w:szCs w:val="21"/>
          <w:lang w:eastAsia="zh-CN"/>
        </w:rPr>
        <w:t>投标人</w:t>
      </w:r>
      <w:r>
        <w:rPr>
          <w:rFonts w:ascii="宋体" w:hAnsi="宋体" w:cs="宋体"/>
          <w:color w:val="auto"/>
          <w:spacing w:val="-3"/>
          <w:szCs w:val="21"/>
        </w:rPr>
        <w:t>提交询问函、质疑函、投诉函时使用，不属于投标文件格式的组</w:t>
      </w:r>
      <w:r>
        <w:rPr>
          <w:rFonts w:ascii="宋体" w:hAnsi="宋体" w:cs="宋体"/>
          <w:color w:val="auto"/>
          <w:spacing w:val="-8"/>
          <w:szCs w:val="21"/>
        </w:rPr>
        <w:t>成部分。</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31.1询问</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投标人对采购活动事项（招标文件、采购过程和中标结果） 有疑问的，登录“佛山市公共资源交易综合管理云平台”，进入</w:t>
      </w:r>
      <w:r>
        <w:rPr>
          <w:rFonts w:hint="eastAsia" w:ascii="宋体" w:hAnsi="宋体" w:cs="宋体"/>
          <w:color w:val="auto"/>
          <w:szCs w:val="21"/>
        </w:rPr>
        <w:t>“提问”模块填写相关信息，</w:t>
      </w:r>
      <w:r>
        <w:rPr>
          <w:rFonts w:hint="eastAsia" w:ascii="宋体" w:hAnsi="宋体" w:cs="宋体"/>
          <w:color w:val="auto"/>
          <w:szCs w:val="21"/>
          <w:lang w:eastAsia="zh-CN" w:bidi="ar"/>
        </w:rPr>
        <w:t>并将询问函及相关证明材料按综合管理云平台要求进行提交，并查询和打印询问受理回执，采购人或采购代理机构将在3个工作日内作出答复，但答复的内容不涉及商业秘密。</w:t>
      </w:r>
    </w:p>
    <w:tbl>
      <w:tblPr>
        <w:tblStyle w:val="13"/>
        <w:tblW w:w="9040" w:type="dxa"/>
        <w:tblInd w:w="4" w:type="dxa"/>
        <w:tblBorders>
          <w:top w:val="single" w:color="000000" w:sz="6" w:space="0"/>
          <w:left w:val="single" w:color="000000" w:sz="4"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9040"/>
      </w:tblGrid>
      <w:tr>
        <w:tblPrEx>
          <w:tblBorders>
            <w:top w:val="single" w:color="000000" w:sz="6" w:space="0"/>
            <w:left w:val="single" w:color="000000" w:sz="4"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486" w:hRule="atLeast"/>
        </w:trPr>
        <w:tc>
          <w:tcPr>
            <w:tcW w:w="9040" w:type="dxa"/>
            <w:noWrap w:val="0"/>
            <w:vAlign w:val="top"/>
          </w:tcPr>
          <w:p>
            <w:pPr>
              <w:pStyle w:val="20"/>
              <w:spacing w:before="134" w:line="219" w:lineRule="auto"/>
              <w:ind w:left="4113"/>
              <w:rPr>
                <w:color w:val="auto"/>
                <w:lang w:eastAsia="zh-CN"/>
              </w:rPr>
            </w:pPr>
            <w:r>
              <w:rPr>
                <w:b/>
                <w:bCs/>
                <w:color w:val="auto"/>
                <w:spacing w:val="8"/>
                <w:lang w:eastAsia="zh-CN"/>
              </w:rPr>
              <w:t>询问函范本</w:t>
            </w:r>
          </w:p>
          <w:p>
            <w:pPr>
              <w:pStyle w:val="20"/>
              <w:spacing w:before="231" w:line="219" w:lineRule="auto"/>
              <w:ind w:left="664"/>
              <w:rPr>
                <w:color w:val="auto"/>
                <w:lang w:eastAsia="zh-CN"/>
              </w:rPr>
            </w:pPr>
            <w:r>
              <w:rPr>
                <w:color w:val="auto"/>
                <w:spacing w:val="-6"/>
                <w:lang w:eastAsia="zh-CN"/>
              </w:rPr>
              <w:t>（采购代理机构名称</w:t>
            </w:r>
            <w:r>
              <w:rPr>
                <w:color w:val="auto"/>
                <w:lang w:eastAsia="zh-CN"/>
              </w:rPr>
              <w:t>）：</w:t>
            </w:r>
          </w:p>
          <w:p>
            <w:pPr>
              <w:pStyle w:val="20"/>
              <w:spacing w:before="216" w:line="409" w:lineRule="auto"/>
              <w:ind w:left="184" w:right="126" w:firstLine="476"/>
              <w:rPr>
                <w:color w:val="auto"/>
                <w:lang w:eastAsia="zh-CN"/>
              </w:rPr>
            </w:pPr>
            <w:r>
              <w:rPr>
                <w:color w:val="auto"/>
                <w:spacing w:val="-1"/>
                <w:lang w:eastAsia="zh-CN"/>
              </w:rPr>
              <w:t>我单位已登记并准备参与（采购项目名称</w:t>
            </w:r>
            <w:r>
              <w:rPr>
                <w:color w:val="auto"/>
                <w:spacing w:val="-11"/>
                <w:lang w:eastAsia="zh-CN"/>
              </w:rPr>
              <w:t>）（</w:t>
            </w:r>
            <w:r>
              <w:rPr>
                <w:color w:val="auto"/>
                <w:spacing w:val="-1"/>
                <w:lang w:eastAsia="zh-CN"/>
              </w:rPr>
              <w:t>采购项目编号）的响应活动，现有</w:t>
            </w:r>
            <w:r>
              <w:rPr>
                <w:color w:val="auto"/>
                <w:spacing w:val="-2"/>
                <w:lang w:eastAsia="zh-CN"/>
              </w:rPr>
              <w:t>以下几个内容（或条款）存在疑问（或无法理解</w:t>
            </w:r>
            <w:r>
              <w:rPr>
                <w:color w:val="auto"/>
                <w:spacing w:val="4"/>
                <w:lang w:eastAsia="zh-CN"/>
              </w:rPr>
              <w:t>），</w:t>
            </w:r>
            <w:r>
              <w:rPr>
                <w:color w:val="auto"/>
                <w:spacing w:val="-2"/>
                <w:lang w:eastAsia="zh-CN"/>
              </w:rPr>
              <w:t>特提出询问。</w:t>
            </w:r>
          </w:p>
          <w:p>
            <w:pPr>
              <w:pStyle w:val="20"/>
              <w:spacing w:line="213" w:lineRule="auto"/>
              <w:ind w:left="662"/>
              <w:rPr>
                <w:color w:val="auto"/>
                <w:lang w:eastAsia="zh-CN"/>
              </w:rPr>
            </w:pPr>
            <w:r>
              <w:rPr>
                <w:color w:val="auto"/>
                <w:lang w:eastAsia="zh-CN"/>
              </w:rPr>
              <w:t>一、__________________</w:t>
            </w:r>
            <w:r>
              <w:rPr>
                <w:color w:val="auto"/>
                <w:spacing w:val="-1"/>
                <w:lang w:eastAsia="zh-CN"/>
              </w:rPr>
              <w:t>___（事项一）</w:t>
            </w:r>
          </w:p>
          <w:p>
            <w:pPr>
              <w:pStyle w:val="20"/>
              <w:spacing w:before="223" w:line="213" w:lineRule="auto"/>
              <w:ind w:left="664"/>
              <w:rPr>
                <w:color w:val="auto"/>
                <w:lang w:eastAsia="zh-CN"/>
              </w:rPr>
            </w:pPr>
            <w:r>
              <w:rPr>
                <w:color w:val="auto"/>
                <w:spacing w:val="-1"/>
                <w:lang w:eastAsia="zh-CN"/>
              </w:rPr>
              <w:t>（1）____________________（问题或条款内容）</w:t>
            </w:r>
          </w:p>
          <w:p>
            <w:pPr>
              <w:pStyle w:val="20"/>
              <w:spacing w:before="237" w:line="220" w:lineRule="auto"/>
              <w:ind w:left="664"/>
              <w:rPr>
                <w:color w:val="auto"/>
                <w:lang w:eastAsia="zh-CN"/>
              </w:rPr>
            </w:pPr>
            <w:r>
              <w:rPr>
                <w:color w:val="auto"/>
                <w:spacing w:val="-2"/>
                <w:lang w:eastAsia="zh-CN"/>
              </w:rPr>
              <w:t>（2</w:t>
            </w:r>
            <w:r>
              <w:rPr>
                <w:color w:val="auto"/>
                <w:spacing w:val="2"/>
                <w:lang w:eastAsia="zh-CN"/>
              </w:rPr>
              <w:t>）</w:t>
            </w:r>
            <w:r>
              <w:rPr>
                <w:color w:val="auto"/>
                <w:lang w:eastAsia="zh-CN"/>
              </w:rPr>
              <w:t xml:space="preserve">                    </w:t>
            </w:r>
            <w:r>
              <w:rPr>
                <w:color w:val="auto"/>
                <w:spacing w:val="2"/>
                <w:lang w:eastAsia="zh-CN"/>
              </w:rPr>
              <w:t>（</w:t>
            </w:r>
            <w:r>
              <w:rPr>
                <w:color w:val="auto"/>
                <w:spacing w:val="-2"/>
                <w:lang w:eastAsia="zh-CN"/>
              </w:rPr>
              <w:t>说明疑问或无法理解原因）</w:t>
            </w:r>
          </w:p>
          <w:p>
            <w:pPr>
              <w:pStyle w:val="20"/>
              <w:spacing w:before="216" w:line="213" w:lineRule="auto"/>
              <w:ind w:left="664"/>
              <w:rPr>
                <w:color w:val="auto"/>
                <w:lang w:eastAsia="zh-CN"/>
              </w:rPr>
            </w:pPr>
            <w:r>
              <w:rPr>
                <w:color w:val="auto"/>
                <w:spacing w:val="-1"/>
                <w:lang w:eastAsia="zh-CN"/>
              </w:rPr>
              <w:t>（3）____________________（建议）</w:t>
            </w:r>
          </w:p>
          <w:p>
            <w:pPr>
              <w:pStyle w:val="20"/>
              <w:spacing w:before="223" w:line="213" w:lineRule="auto"/>
              <w:ind w:left="662"/>
              <w:rPr>
                <w:color w:val="auto"/>
                <w:lang w:eastAsia="zh-CN"/>
              </w:rPr>
            </w:pPr>
            <w:r>
              <w:rPr>
                <w:color w:val="auto"/>
                <w:spacing w:val="-1"/>
                <w:lang w:eastAsia="zh-CN"/>
              </w:rPr>
              <w:t>二、_____________________（事项二）</w:t>
            </w:r>
          </w:p>
          <w:p>
            <w:pPr>
              <w:spacing w:line="307" w:lineRule="auto"/>
              <w:rPr>
                <w:rFonts w:ascii="Arial"/>
                <w:color w:val="auto"/>
              </w:rPr>
            </w:pPr>
          </w:p>
          <w:p>
            <w:pPr>
              <w:pStyle w:val="20"/>
              <w:spacing w:before="68" w:line="87" w:lineRule="exact"/>
              <w:ind w:left="664"/>
              <w:rPr>
                <w:color w:val="auto"/>
                <w:lang w:eastAsia="zh-CN"/>
              </w:rPr>
            </w:pPr>
            <w:r>
              <w:rPr>
                <w:color w:val="auto"/>
                <w:spacing w:val="-4"/>
                <w:position w:val="-2"/>
                <w:lang w:eastAsia="zh-CN"/>
              </w:rPr>
              <w:t>...</w:t>
            </w:r>
          </w:p>
          <w:p>
            <w:pPr>
              <w:pStyle w:val="20"/>
              <w:spacing w:before="224" w:line="219" w:lineRule="auto"/>
              <w:ind w:left="670"/>
              <w:rPr>
                <w:color w:val="auto"/>
                <w:lang w:eastAsia="zh-CN"/>
              </w:rPr>
            </w:pPr>
            <w:r>
              <w:rPr>
                <w:color w:val="auto"/>
                <w:spacing w:val="-2"/>
                <w:lang w:eastAsia="zh-CN"/>
              </w:rPr>
              <w:t>随附相关证明材料如下</w:t>
            </w:r>
            <w:r>
              <w:rPr>
                <w:color w:val="auto"/>
                <w:lang w:eastAsia="zh-CN"/>
              </w:rPr>
              <w:t>：（</w:t>
            </w:r>
            <w:r>
              <w:rPr>
                <w:color w:val="auto"/>
                <w:spacing w:val="-2"/>
                <w:lang w:eastAsia="zh-CN"/>
              </w:rPr>
              <w:t>目录）</w:t>
            </w:r>
          </w:p>
          <w:p>
            <w:pPr>
              <w:pStyle w:val="20"/>
              <w:spacing w:before="231" w:line="219" w:lineRule="auto"/>
              <w:ind w:left="659"/>
              <w:rPr>
                <w:color w:val="auto"/>
              </w:rPr>
            </w:pPr>
            <w:r>
              <w:rPr>
                <w:color w:val="auto"/>
                <w:spacing w:val="-2"/>
              </w:rPr>
              <w:t>询问人</w:t>
            </w:r>
            <w:r>
              <w:rPr>
                <w:color w:val="auto"/>
                <w:spacing w:val="-3"/>
              </w:rPr>
              <w:t>：（</w:t>
            </w:r>
            <w:r>
              <w:rPr>
                <w:color w:val="auto"/>
                <w:spacing w:val="-2"/>
              </w:rPr>
              <w:t>公章）</w:t>
            </w:r>
          </w:p>
        </w:tc>
      </w:tr>
    </w:tbl>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31.2质疑</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1）投标人认为招标文件、采购过程和中标结果使自己的权益受到损害的，可以在知道或者应知其权益受到损害之日起七个工作日内，按照本招标文件约定的质疑受理方式（详见本文件“须知前置表”）向委托人或采购代理机构提出质疑，逾期质疑无效。投标人应知其权益受到损害之日是指：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①对招标文件提出质疑的，为采购公告期限届满之日；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②对采购过程提出质疑的，为各采购程序环节结束之日；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③对中标结果提出质疑的，为中标结果公告期限届满之日。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（2）投标人提出的询问或者质疑超出委托人对采购代理机构委托授权范围的，采购代理机构将告知投标人向委托人提出。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（3）在法定质疑期内，投标人针对同一采购程序环节的质疑须一次性提出。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（4）以联合体形式参加政府采购活动的，其质疑应当由组成联合体的所有投标人共同提出。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（5）投标人提出质疑应当提交质疑函和必要的证明材料。质疑函应当包括下列主要内容：</w:t>
      </w:r>
    </w:p>
    <w:tbl>
      <w:tblPr>
        <w:tblStyle w:val="13"/>
        <w:tblW w:w="9080" w:type="dxa"/>
        <w:tblInd w:w="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908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0490" w:hRule="atLeast"/>
        </w:trPr>
        <w:tc>
          <w:tcPr>
            <w:tcW w:w="9080" w:type="dxa"/>
            <w:noWrap w:val="0"/>
            <w:vAlign w:val="top"/>
          </w:tcPr>
          <w:p>
            <w:pPr>
              <w:pStyle w:val="20"/>
              <w:spacing w:before="254" w:line="219" w:lineRule="auto"/>
              <w:ind w:left="3643"/>
              <w:rPr>
                <w:color w:val="auto"/>
                <w:lang w:eastAsia="zh-CN"/>
              </w:rPr>
            </w:pPr>
            <w:r>
              <w:rPr>
                <w:b/>
                <w:bCs/>
                <w:color w:val="auto"/>
                <w:spacing w:val="5"/>
                <w:lang w:eastAsia="zh-CN"/>
              </w:rPr>
              <w:t>质疑函范本</w:t>
            </w:r>
          </w:p>
          <w:p>
            <w:pPr>
              <w:pStyle w:val="20"/>
              <w:spacing w:before="216" w:line="219" w:lineRule="auto"/>
              <w:ind w:left="56"/>
              <w:rPr>
                <w:color w:val="auto"/>
                <w:lang w:eastAsia="zh-CN"/>
              </w:rPr>
            </w:pPr>
            <w:r>
              <w:rPr>
                <w:color w:val="auto"/>
                <w:spacing w:val="-2"/>
                <w:lang w:eastAsia="zh-CN"/>
              </w:rPr>
              <w:t>一、质疑投标人基本信息</w:t>
            </w:r>
          </w:p>
          <w:p>
            <w:pPr>
              <w:pStyle w:val="20"/>
              <w:spacing w:before="261" w:line="220" w:lineRule="auto"/>
              <w:ind w:left="54"/>
              <w:rPr>
                <w:color w:val="auto"/>
                <w:lang w:eastAsia="zh-CN"/>
              </w:rPr>
            </w:pPr>
            <w:r>
              <w:rPr>
                <w:color w:val="auto"/>
                <w:spacing w:val="-8"/>
                <w:lang w:eastAsia="zh-CN"/>
              </w:rPr>
              <w:t>质疑投标人：</w:t>
            </w:r>
          </w:p>
          <w:p>
            <w:pPr>
              <w:spacing w:before="7" w:line="46" w:lineRule="exact"/>
              <w:ind w:left="1354"/>
              <w:rPr>
                <w:rFonts w:ascii="Arial" w:hAnsi="Arial" w:eastAsia="Arial" w:cs="Arial"/>
                <w:color w:val="auto"/>
                <w:sz w:val="9"/>
                <w:szCs w:val="9"/>
              </w:rPr>
            </w:pPr>
            <w:r>
              <w:rPr>
                <w:rFonts w:ascii="Arial" w:hAnsi="Arial" w:eastAsia="Arial" w:cs="Arial"/>
                <w:color w:val="auto"/>
                <w:spacing w:val="-3"/>
                <w:position w:val="-3"/>
                <w:sz w:val="9"/>
                <w:szCs w:val="9"/>
              </w:rPr>
              <w:t>-</w:t>
            </w:r>
            <w:r>
              <w:rPr>
                <w:rFonts w:ascii="Arial" w:hAnsi="Arial" w:eastAsia="Arial" w:cs="Arial"/>
                <w:color w:val="auto"/>
                <w:spacing w:val="1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9"/>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9"/>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p>
          <w:p>
            <w:pPr>
              <w:pStyle w:val="20"/>
              <w:spacing w:before="69" w:line="220" w:lineRule="auto"/>
              <w:ind w:left="53"/>
              <w:rPr>
                <w:color w:val="auto"/>
                <w:lang w:eastAsia="zh-CN"/>
              </w:rPr>
            </w:pPr>
            <w:r>
              <w:rPr>
                <w:color w:val="auto"/>
                <w:spacing w:val="-10"/>
                <w:lang w:eastAsia="zh-CN"/>
              </w:rPr>
              <w:t>地址：</w:t>
            </w:r>
            <w:r>
              <w:rPr>
                <w:color w:val="auto"/>
                <w:spacing w:val="5"/>
                <w:lang w:eastAsia="zh-CN"/>
              </w:rPr>
              <w:t xml:space="preserve">                  </w:t>
            </w:r>
            <w:r>
              <w:rPr>
                <w:color w:val="auto"/>
                <w:spacing w:val="-10"/>
                <w:lang w:eastAsia="zh-CN"/>
              </w:rPr>
              <w:t>邮编：</w:t>
            </w:r>
          </w:p>
          <w:p>
            <w:pPr>
              <w:spacing w:before="8" w:line="47" w:lineRule="exact"/>
              <w:ind w:left="723"/>
              <w:rPr>
                <w:rFonts w:ascii="Arial" w:hAnsi="Arial" w:eastAsia="Arial" w:cs="Arial"/>
                <w:color w:val="auto"/>
                <w:sz w:val="9"/>
                <w:szCs w:val="9"/>
              </w:rPr>
            </w:pP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9"/>
                <w:w w:val="101"/>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 xml:space="preserve">-     </w:t>
            </w:r>
            <w:r>
              <w:rPr>
                <w:rFonts w:ascii="Arial" w:hAnsi="Arial" w:eastAsia="Arial" w:cs="Arial"/>
                <w:color w:val="auto"/>
                <w:spacing w:val="-3"/>
                <w:position w:val="-3"/>
                <w:sz w:val="9"/>
                <w:szCs w:val="9"/>
              </w:rPr>
              <w:t xml:space="preserve">                            -</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p>
          <w:p>
            <w:pPr>
              <w:pStyle w:val="20"/>
              <w:spacing w:before="68" w:line="219" w:lineRule="auto"/>
              <w:ind w:left="54"/>
              <w:rPr>
                <w:color w:val="auto"/>
                <w:lang w:eastAsia="zh-CN"/>
              </w:rPr>
            </w:pPr>
            <w:r>
              <w:rPr>
                <w:color w:val="auto"/>
                <w:spacing w:val="-6"/>
                <w:lang w:eastAsia="zh-CN"/>
              </w:rPr>
              <w:t>联系人：</w:t>
            </w:r>
            <w:r>
              <w:rPr>
                <w:color w:val="auto"/>
                <w:spacing w:val="4"/>
                <w:lang w:eastAsia="zh-CN"/>
              </w:rPr>
              <w:t xml:space="preserve">                  </w:t>
            </w:r>
            <w:r>
              <w:rPr>
                <w:color w:val="auto"/>
                <w:spacing w:val="-6"/>
                <w:lang w:eastAsia="zh-CN"/>
              </w:rPr>
              <w:t>联系电话：</w:t>
            </w:r>
          </w:p>
          <w:p>
            <w:pPr>
              <w:spacing w:line="62" w:lineRule="exact"/>
              <w:ind w:left="888"/>
              <w:rPr>
                <w:rFonts w:ascii="Arial" w:hAnsi="Arial" w:eastAsia="Arial" w:cs="Arial"/>
                <w:color w:val="auto"/>
                <w:sz w:val="9"/>
                <w:szCs w:val="9"/>
              </w:rPr>
            </w:pPr>
            <w:r>
              <w:rPr>
                <w:rFonts w:ascii="Arial" w:hAnsi="Arial" w:eastAsia="Arial" w:cs="Arial"/>
                <w:color w:val="auto"/>
                <w:spacing w:val="-2"/>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 xml:space="preserve">-    </w:t>
            </w:r>
            <w:r>
              <w:rPr>
                <w:rFonts w:ascii="Arial" w:hAnsi="Arial" w:eastAsia="Arial" w:cs="Arial"/>
                <w:color w:val="auto"/>
                <w:spacing w:val="-3"/>
                <w:position w:val="-3"/>
                <w:sz w:val="12"/>
                <w:szCs w:val="12"/>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p>
          <w:p>
            <w:pPr>
              <w:pStyle w:val="20"/>
              <w:spacing w:before="69" w:line="220" w:lineRule="auto"/>
              <w:ind w:left="37"/>
              <w:rPr>
                <w:color w:val="auto"/>
                <w:lang w:eastAsia="zh-CN"/>
              </w:rPr>
            </w:pPr>
            <w:r>
              <w:rPr>
                <w:color w:val="auto"/>
                <w:spacing w:val="-9"/>
                <w:lang w:eastAsia="zh-CN"/>
              </w:rPr>
              <w:t>授权代表：</w:t>
            </w:r>
          </w:p>
          <w:p>
            <w:pPr>
              <w:spacing w:before="8" w:line="47" w:lineRule="exact"/>
              <w:ind w:left="1084"/>
              <w:rPr>
                <w:rFonts w:ascii="Arial" w:hAnsi="Arial" w:eastAsia="Arial" w:cs="Arial"/>
                <w:color w:val="auto"/>
                <w:sz w:val="9"/>
                <w:szCs w:val="9"/>
              </w:rPr>
            </w:pPr>
            <w:r>
              <w:rPr>
                <w:rFonts w:ascii="Arial" w:hAnsi="Arial" w:eastAsia="Arial" w:cs="Arial"/>
                <w:color w:val="auto"/>
                <w:spacing w:val="-3"/>
                <w:position w:val="-3"/>
                <w:sz w:val="9"/>
                <w:szCs w:val="9"/>
              </w:rPr>
              <w:t>-</w:t>
            </w:r>
            <w:r>
              <w:rPr>
                <w:rFonts w:ascii="Arial" w:hAnsi="Arial" w:eastAsia="Arial" w:cs="Arial"/>
                <w:color w:val="auto"/>
                <w:spacing w:val="17"/>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9"/>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p>
          <w:p>
            <w:pPr>
              <w:pStyle w:val="20"/>
              <w:spacing w:before="68" w:line="222" w:lineRule="auto"/>
              <w:ind w:left="54"/>
              <w:rPr>
                <w:color w:val="auto"/>
                <w:lang w:eastAsia="zh-CN"/>
              </w:rPr>
            </w:pPr>
            <w:r>
              <w:rPr>
                <w:color w:val="auto"/>
                <w:spacing w:val="-9"/>
                <w:lang w:eastAsia="zh-CN"/>
              </w:rPr>
              <w:t>联系电话：</w:t>
            </w:r>
          </w:p>
          <w:p>
            <w:pPr>
              <w:spacing w:before="7" w:line="46" w:lineRule="exact"/>
              <w:ind w:left="1099"/>
              <w:rPr>
                <w:rFonts w:ascii="Arial" w:hAnsi="Arial" w:eastAsia="Arial" w:cs="Arial"/>
                <w:color w:val="auto"/>
                <w:sz w:val="9"/>
                <w:szCs w:val="9"/>
              </w:rPr>
            </w:pPr>
            <w:r>
              <w:rPr>
                <w:rFonts w:ascii="Arial" w:hAnsi="Arial" w:eastAsia="Arial" w:cs="Arial"/>
                <w:color w:val="auto"/>
                <w:spacing w:val="-3"/>
                <w:position w:val="-3"/>
                <w:sz w:val="9"/>
                <w:szCs w:val="9"/>
              </w:rPr>
              <w:t>-</w:t>
            </w:r>
            <w:r>
              <w:rPr>
                <w:rFonts w:ascii="Arial" w:hAnsi="Arial" w:eastAsia="Arial" w:cs="Arial"/>
                <w:color w:val="auto"/>
                <w:spacing w:val="1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9"/>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9"/>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p>
          <w:p>
            <w:pPr>
              <w:pStyle w:val="20"/>
              <w:spacing w:before="69" w:line="220" w:lineRule="auto"/>
              <w:ind w:left="53"/>
              <w:rPr>
                <w:color w:val="auto"/>
                <w:lang w:eastAsia="zh-CN"/>
              </w:rPr>
            </w:pPr>
            <w:r>
              <w:rPr>
                <w:color w:val="auto"/>
                <w:spacing w:val="-10"/>
                <w:lang w:eastAsia="zh-CN"/>
              </w:rPr>
              <w:t>地址：</w:t>
            </w:r>
            <w:r>
              <w:rPr>
                <w:color w:val="auto"/>
                <w:spacing w:val="5"/>
                <w:lang w:eastAsia="zh-CN"/>
              </w:rPr>
              <w:t xml:space="preserve">                  </w:t>
            </w:r>
            <w:r>
              <w:rPr>
                <w:color w:val="auto"/>
                <w:spacing w:val="-10"/>
                <w:lang w:eastAsia="zh-CN"/>
              </w:rPr>
              <w:t>邮编：</w:t>
            </w:r>
          </w:p>
          <w:p>
            <w:pPr>
              <w:spacing w:before="9" w:line="46" w:lineRule="exact"/>
              <w:ind w:left="678"/>
              <w:rPr>
                <w:rFonts w:ascii="Arial" w:hAnsi="Arial" w:eastAsia="Arial" w:cs="Arial"/>
                <w:color w:val="auto"/>
                <w:sz w:val="9"/>
                <w:szCs w:val="9"/>
              </w:rPr>
            </w:pP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 xml:space="preserve">-                     </w:t>
            </w:r>
            <w:r>
              <w:rPr>
                <w:rFonts w:ascii="Arial" w:hAnsi="Arial" w:eastAsia="Arial" w:cs="Arial"/>
                <w:color w:val="auto"/>
                <w:spacing w:val="-3"/>
                <w:position w:val="-3"/>
                <w:sz w:val="9"/>
                <w:szCs w:val="9"/>
              </w:rPr>
              <w:t xml:space="preserve">              -</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p>
          <w:p>
            <w:pPr>
              <w:pStyle w:val="20"/>
              <w:spacing w:before="281" w:line="219" w:lineRule="auto"/>
              <w:ind w:left="56"/>
              <w:rPr>
                <w:color w:val="auto"/>
                <w:lang w:eastAsia="zh-CN"/>
              </w:rPr>
            </w:pPr>
            <w:r>
              <w:rPr>
                <w:color w:val="auto"/>
                <w:spacing w:val="-1"/>
                <w:lang w:eastAsia="zh-CN"/>
              </w:rPr>
              <w:t>二、质疑项目基本情况</w:t>
            </w:r>
          </w:p>
          <w:p>
            <w:pPr>
              <w:pStyle w:val="20"/>
              <w:spacing w:before="261" w:line="220" w:lineRule="auto"/>
              <w:ind w:left="54"/>
              <w:rPr>
                <w:color w:val="auto"/>
                <w:lang w:eastAsia="zh-CN"/>
              </w:rPr>
            </w:pPr>
            <w:r>
              <w:rPr>
                <w:color w:val="auto"/>
                <w:spacing w:val="-6"/>
                <w:lang w:eastAsia="zh-CN"/>
              </w:rPr>
              <w:t>质疑项目的名称：</w:t>
            </w:r>
          </w:p>
          <w:p>
            <w:pPr>
              <w:spacing w:before="8" w:line="47" w:lineRule="exact"/>
              <w:ind w:left="1729"/>
              <w:rPr>
                <w:rFonts w:ascii="Arial" w:hAnsi="Arial" w:eastAsia="Arial" w:cs="Arial"/>
                <w:color w:val="auto"/>
                <w:sz w:val="9"/>
                <w:szCs w:val="9"/>
              </w:rPr>
            </w:pPr>
            <w:r>
              <w:rPr>
                <w:rFonts w:ascii="Arial" w:hAnsi="Arial" w:eastAsia="Arial" w:cs="Arial"/>
                <w:color w:val="auto"/>
                <w:spacing w:val="-3"/>
                <w:position w:val="-3"/>
                <w:sz w:val="9"/>
                <w:szCs w:val="9"/>
              </w:rPr>
              <w:t>-</w:t>
            </w:r>
            <w:r>
              <w:rPr>
                <w:rFonts w:ascii="Arial" w:hAnsi="Arial" w:eastAsia="Arial" w:cs="Arial"/>
                <w:color w:val="auto"/>
                <w:spacing w:val="13"/>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9"/>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p>
          <w:p>
            <w:pPr>
              <w:pStyle w:val="20"/>
              <w:spacing w:before="69" w:line="220" w:lineRule="auto"/>
              <w:ind w:left="54"/>
              <w:rPr>
                <w:color w:val="auto"/>
                <w:lang w:eastAsia="zh-CN"/>
              </w:rPr>
            </w:pPr>
            <w:r>
              <w:rPr>
                <w:color w:val="auto"/>
                <w:spacing w:val="-2"/>
                <w:lang w:eastAsia="zh-CN"/>
              </w:rPr>
              <w:t xml:space="preserve">质疑项目的编号：              </w:t>
            </w:r>
            <w:r>
              <w:rPr>
                <w:color w:val="auto"/>
                <w:spacing w:val="-3"/>
                <w:lang w:eastAsia="zh-CN"/>
              </w:rPr>
              <w:t xml:space="preserve">    包号：</w:t>
            </w:r>
          </w:p>
          <w:p>
            <w:pPr>
              <w:spacing w:before="8" w:line="46" w:lineRule="exact"/>
              <w:ind w:left="1729"/>
              <w:rPr>
                <w:rFonts w:ascii="Arial" w:hAnsi="Arial" w:eastAsia="Arial" w:cs="Arial"/>
                <w:color w:val="auto"/>
                <w:sz w:val="9"/>
                <w:szCs w:val="9"/>
              </w:rPr>
            </w:pP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 xml:space="preserve">-    </w:t>
            </w:r>
            <w:r>
              <w:rPr>
                <w:rFonts w:ascii="Arial" w:hAnsi="Arial" w:eastAsia="Arial" w:cs="Arial"/>
                <w:color w:val="auto"/>
                <w:spacing w:val="-3"/>
                <w:position w:val="-3"/>
                <w:sz w:val="9"/>
                <w:szCs w:val="9"/>
              </w:rPr>
              <w:t xml:space="preserve">                           -</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p>
          <w:p>
            <w:pPr>
              <w:pStyle w:val="20"/>
              <w:spacing w:before="70" w:line="219" w:lineRule="auto"/>
              <w:ind w:left="52"/>
              <w:rPr>
                <w:color w:val="auto"/>
                <w:lang w:eastAsia="zh-CN"/>
              </w:rPr>
            </w:pPr>
            <w:r>
              <w:rPr>
                <w:color w:val="auto"/>
                <w:spacing w:val="-7"/>
                <w:lang w:eastAsia="zh-CN"/>
              </w:rPr>
              <w:t>采购人名称：</w:t>
            </w:r>
          </w:p>
          <w:p>
            <w:pPr>
              <w:spacing w:before="9" w:line="46" w:lineRule="exact"/>
              <w:ind w:left="1309"/>
              <w:rPr>
                <w:rFonts w:ascii="Arial" w:hAnsi="Arial" w:eastAsia="Arial" w:cs="Arial"/>
                <w:color w:val="auto"/>
                <w:sz w:val="9"/>
                <w:szCs w:val="9"/>
              </w:rPr>
            </w:pPr>
            <w:r>
              <w:rPr>
                <w:rFonts w:ascii="Arial" w:hAnsi="Arial" w:eastAsia="Arial" w:cs="Arial"/>
                <w:color w:val="auto"/>
                <w:spacing w:val="-3"/>
                <w:position w:val="-3"/>
                <w:sz w:val="9"/>
                <w:szCs w:val="9"/>
              </w:rPr>
              <w:t>-</w:t>
            </w:r>
            <w:r>
              <w:rPr>
                <w:rFonts w:ascii="Arial" w:hAnsi="Arial" w:eastAsia="Arial" w:cs="Arial"/>
                <w:color w:val="auto"/>
                <w:spacing w:val="13"/>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9"/>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9"/>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p>
          <w:p>
            <w:pPr>
              <w:pStyle w:val="20"/>
              <w:spacing w:before="69" w:line="220" w:lineRule="auto"/>
              <w:ind w:left="54"/>
              <w:rPr>
                <w:color w:val="auto"/>
                <w:lang w:eastAsia="zh-CN"/>
              </w:rPr>
            </w:pPr>
            <w:r>
              <w:rPr>
                <w:color w:val="auto"/>
                <w:spacing w:val="-6"/>
                <w:lang w:eastAsia="zh-CN"/>
              </w:rPr>
              <w:t>招标文件获取日期：</w:t>
            </w:r>
          </w:p>
          <w:p>
            <w:pPr>
              <w:spacing w:before="9" w:line="46" w:lineRule="exact"/>
              <w:ind w:left="1940"/>
              <w:rPr>
                <w:rFonts w:ascii="Arial" w:hAnsi="Arial" w:eastAsia="Arial" w:cs="Arial"/>
                <w:color w:val="auto"/>
                <w:sz w:val="9"/>
                <w:szCs w:val="9"/>
              </w:rPr>
            </w:pPr>
            <w:r>
              <w:rPr>
                <w:rFonts w:ascii="Arial" w:hAnsi="Arial" w:eastAsia="Arial" w:cs="Arial"/>
                <w:color w:val="auto"/>
                <w:spacing w:val="-3"/>
                <w:position w:val="-3"/>
                <w:sz w:val="9"/>
                <w:szCs w:val="9"/>
              </w:rPr>
              <w:t>-</w:t>
            </w:r>
            <w:r>
              <w:rPr>
                <w:rFonts w:ascii="Arial" w:hAnsi="Arial" w:eastAsia="Arial" w:cs="Arial"/>
                <w:color w:val="auto"/>
                <w:spacing w:val="13"/>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p>
          <w:p>
            <w:pPr>
              <w:pStyle w:val="20"/>
              <w:spacing w:before="280" w:line="220" w:lineRule="auto"/>
              <w:ind w:left="53"/>
              <w:rPr>
                <w:color w:val="auto"/>
                <w:lang w:eastAsia="zh-CN"/>
              </w:rPr>
            </w:pPr>
            <w:r>
              <w:rPr>
                <w:color w:val="auto"/>
                <w:spacing w:val="-1"/>
                <w:lang w:eastAsia="zh-CN"/>
              </w:rPr>
              <w:t>三、质疑事项具体内容</w:t>
            </w:r>
          </w:p>
          <w:p>
            <w:pPr>
              <w:pStyle w:val="20"/>
              <w:spacing w:before="261" w:line="174" w:lineRule="auto"/>
              <w:ind w:left="54"/>
              <w:rPr>
                <w:rFonts w:ascii="Arial" w:hAnsi="Arial" w:eastAsia="Arial" w:cs="Arial"/>
                <w:color w:val="auto"/>
                <w:sz w:val="10"/>
                <w:szCs w:val="10"/>
                <w:lang w:eastAsia="zh-CN"/>
              </w:rPr>
            </w:pPr>
            <w:r>
              <w:rPr>
                <w:color w:val="auto"/>
                <w:spacing w:val="2"/>
                <w:lang w:eastAsia="zh-CN"/>
              </w:rPr>
              <w:t>质疑事项</w:t>
            </w:r>
            <w:r>
              <w:rPr>
                <w:color w:val="auto"/>
                <w:spacing w:val="23"/>
                <w:lang w:eastAsia="zh-CN"/>
              </w:rPr>
              <w:t xml:space="preserve"> </w:t>
            </w:r>
            <w:r>
              <w:rPr>
                <w:color w:val="auto"/>
                <w:spacing w:val="2"/>
                <w:lang w:eastAsia="zh-CN"/>
              </w:rPr>
              <w:t>1：</w:t>
            </w:r>
            <w:r>
              <w:rPr>
                <w:rFonts w:ascii="Arial" w:hAnsi="Arial" w:eastAsia="Arial" w:cs="Arial"/>
                <w:color w:val="auto"/>
                <w:spacing w:val="2"/>
                <w:position w:val="-10"/>
                <w:sz w:val="10"/>
                <w:szCs w:val="10"/>
                <w:lang w:eastAsia="zh-CN"/>
              </w:rPr>
              <w:t>·</w:t>
            </w:r>
          </w:p>
          <w:p>
            <w:pPr>
              <w:spacing w:line="47" w:lineRule="exact"/>
              <w:ind w:left="1339"/>
              <w:rPr>
                <w:rFonts w:ascii="Arial" w:hAnsi="Arial" w:eastAsia="Arial" w:cs="Arial"/>
                <w:color w:val="auto"/>
                <w:sz w:val="9"/>
                <w:szCs w:val="9"/>
              </w:rPr>
            </w:pPr>
            <w:r>
              <w:rPr>
                <w:rFonts w:ascii="Arial" w:hAnsi="Arial" w:eastAsia="Arial" w:cs="Arial"/>
                <w:color w:val="auto"/>
                <w:spacing w:val="-3"/>
                <w:position w:val="-3"/>
                <w:sz w:val="9"/>
                <w:szCs w:val="9"/>
              </w:rPr>
              <w:t>-</w:t>
            </w:r>
            <w:r>
              <w:rPr>
                <w:rFonts w:ascii="Arial" w:hAnsi="Arial" w:eastAsia="Arial" w:cs="Arial"/>
                <w:color w:val="auto"/>
                <w:spacing w:val="13"/>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p>
          <w:p>
            <w:pPr>
              <w:pStyle w:val="20"/>
              <w:spacing w:before="69" w:line="219" w:lineRule="auto"/>
              <w:ind w:left="53"/>
              <w:rPr>
                <w:color w:val="auto"/>
                <w:lang w:eastAsia="zh-CN"/>
              </w:rPr>
            </w:pPr>
            <w:r>
              <w:rPr>
                <w:color w:val="auto"/>
                <w:spacing w:val="-9"/>
                <w:lang w:eastAsia="zh-CN"/>
              </w:rPr>
              <w:t>事实依据：</w:t>
            </w:r>
          </w:p>
          <w:p>
            <w:pPr>
              <w:spacing w:before="9" w:line="47" w:lineRule="exact"/>
              <w:ind w:left="1204"/>
              <w:rPr>
                <w:rFonts w:ascii="Arial" w:hAnsi="Arial" w:eastAsia="Arial" w:cs="Arial"/>
                <w:color w:val="auto"/>
                <w:sz w:val="9"/>
                <w:szCs w:val="9"/>
              </w:rPr>
            </w:pPr>
            <w:r>
              <w:rPr>
                <w:rFonts w:ascii="Arial" w:hAnsi="Arial" w:eastAsia="Arial" w:cs="Arial"/>
                <w:color w:val="auto"/>
                <w:spacing w:val="-3"/>
                <w:position w:val="-3"/>
                <w:sz w:val="9"/>
                <w:szCs w:val="9"/>
              </w:rPr>
              <w:t>-</w:t>
            </w:r>
            <w:r>
              <w:rPr>
                <w:rFonts w:ascii="Arial" w:hAnsi="Arial" w:eastAsia="Arial" w:cs="Arial"/>
                <w:color w:val="auto"/>
                <w:spacing w:val="13"/>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p>
          <w:p>
            <w:pPr>
              <w:pStyle w:val="20"/>
              <w:spacing w:before="69" w:line="219" w:lineRule="auto"/>
              <w:ind w:left="54"/>
              <w:rPr>
                <w:color w:val="auto"/>
                <w:lang w:eastAsia="zh-CN"/>
              </w:rPr>
            </w:pPr>
            <w:r>
              <w:rPr>
                <w:color w:val="auto"/>
                <w:spacing w:val="-9"/>
                <w:lang w:eastAsia="zh-CN"/>
              </w:rPr>
              <w:t>法律依据：</w:t>
            </w:r>
          </w:p>
          <w:p>
            <w:pPr>
              <w:spacing w:before="9" w:line="46" w:lineRule="exact"/>
              <w:ind w:left="1204"/>
              <w:rPr>
                <w:rFonts w:ascii="Arial" w:hAnsi="Arial" w:eastAsia="Arial" w:cs="Arial"/>
                <w:color w:val="auto"/>
                <w:sz w:val="9"/>
                <w:szCs w:val="9"/>
              </w:rPr>
            </w:pPr>
            <w:r>
              <w:rPr>
                <w:rFonts w:ascii="Arial" w:hAnsi="Arial" w:eastAsia="Arial" w:cs="Arial"/>
                <w:color w:val="auto"/>
                <w:spacing w:val="-3"/>
                <w:position w:val="-3"/>
                <w:sz w:val="9"/>
                <w:szCs w:val="9"/>
              </w:rPr>
              <w:t>-</w:t>
            </w:r>
            <w:r>
              <w:rPr>
                <w:rFonts w:ascii="Arial" w:hAnsi="Arial" w:eastAsia="Arial" w:cs="Arial"/>
                <w:color w:val="auto"/>
                <w:spacing w:val="13"/>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p>
          <w:p>
            <w:pPr>
              <w:pStyle w:val="20"/>
              <w:spacing w:before="69" w:line="220" w:lineRule="auto"/>
              <w:ind w:left="54"/>
              <w:rPr>
                <w:color w:val="auto"/>
                <w:lang w:eastAsia="zh-CN"/>
              </w:rPr>
            </w:pPr>
            <w:r>
              <w:rPr>
                <w:color w:val="auto"/>
                <w:spacing w:val="-4"/>
                <w:lang w:eastAsia="zh-CN"/>
              </w:rPr>
              <w:t>质疑事项</w:t>
            </w:r>
            <w:r>
              <w:rPr>
                <w:color w:val="auto"/>
                <w:spacing w:val="14"/>
                <w:lang w:eastAsia="zh-CN"/>
              </w:rPr>
              <w:t xml:space="preserve"> </w:t>
            </w:r>
            <w:r>
              <w:rPr>
                <w:color w:val="auto"/>
                <w:spacing w:val="-4"/>
                <w:lang w:eastAsia="zh-CN"/>
              </w:rPr>
              <w:t>2：</w:t>
            </w:r>
          </w:p>
          <w:p>
            <w:pPr>
              <w:spacing w:before="8" w:line="46" w:lineRule="exact"/>
              <w:ind w:left="1309"/>
              <w:rPr>
                <w:rFonts w:ascii="Arial" w:hAnsi="Arial" w:eastAsia="Arial" w:cs="Arial"/>
                <w:color w:val="auto"/>
                <w:sz w:val="9"/>
                <w:szCs w:val="9"/>
              </w:rPr>
            </w:pPr>
            <w:r>
              <w:rPr>
                <w:rFonts w:ascii="Arial" w:hAnsi="Arial" w:eastAsia="Arial" w:cs="Arial"/>
                <w:color w:val="auto"/>
                <w:spacing w:val="-3"/>
                <w:position w:val="-3"/>
                <w:sz w:val="9"/>
                <w:szCs w:val="9"/>
              </w:rPr>
              <w:t>-</w:t>
            </w:r>
            <w:r>
              <w:rPr>
                <w:rFonts w:ascii="Arial" w:hAnsi="Arial" w:eastAsia="Arial" w:cs="Arial"/>
                <w:color w:val="auto"/>
                <w:spacing w:val="13"/>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9"/>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9"/>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p>
          <w:p>
            <w:pPr>
              <w:pStyle w:val="20"/>
              <w:spacing w:before="266" w:line="331" w:lineRule="exact"/>
              <w:ind w:left="66"/>
              <w:rPr>
                <w:color w:val="auto"/>
                <w:lang w:eastAsia="zh-CN"/>
              </w:rPr>
            </w:pPr>
            <w:r>
              <w:rPr>
                <w:color w:val="auto"/>
                <w:spacing w:val="-6"/>
                <w:position w:val="2"/>
                <w:lang w:eastAsia="zh-CN"/>
              </w:rPr>
              <w:t>……</w:t>
            </w:r>
          </w:p>
          <w:p>
            <w:pPr>
              <w:pStyle w:val="20"/>
              <w:spacing w:before="135" w:line="220" w:lineRule="auto"/>
              <w:ind w:left="87"/>
              <w:rPr>
                <w:color w:val="auto"/>
                <w:lang w:eastAsia="zh-CN"/>
              </w:rPr>
            </w:pPr>
            <w:r>
              <w:rPr>
                <w:color w:val="auto"/>
                <w:spacing w:val="-2"/>
                <w:lang w:eastAsia="zh-CN"/>
              </w:rPr>
              <w:t>四、与质疑事项相关的质疑请求</w:t>
            </w:r>
          </w:p>
          <w:p>
            <w:pPr>
              <w:pStyle w:val="20"/>
              <w:spacing w:before="275" w:line="220" w:lineRule="auto"/>
              <w:ind w:left="36"/>
              <w:rPr>
                <w:color w:val="auto"/>
                <w:lang w:eastAsia="zh-CN"/>
              </w:rPr>
            </w:pPr>
            <w:r>
              <w:rPr>
                <w:color w:val="auto"/>
                <w:spacing w:val="-12"/>
                <w:lang w:eastAsia="zh-CN"/>
              </w:rPr>
              <w:t>请求：</w:t>
            </w:r>
          </w:p>
          <w:p>
            <w:pPr>
              <w:spacing w:before="8" w:line="46" w:lineRule="exact"/>
              <w:ind w:left="768"/>
              <w:rPr>
                <w:rFonts w:ascii="Arial" w:hAnsi="Arial" w:eastAsia="Arial" w:cs="Arial"/>
                <w:color w:val="auto"/>
                <w:sz w:val="9"/>
                <w:szCs w:val="9"/>
              </w:rPr>
            </w:pPr>
            <w:r>
              <w:rPr>
                <w:rFonts w:ascii="Arial" w:hAnsi="Arial" w:eastAsia="Arial" w:cs="Arial"/>
                <w:color w:val="auto"/>
                <w:spacing w:val="-3"/>
                <w:position w:val="-3"/>
                <w:sz w:val="9"/>
                <w:szCs w:val="9"/>
              </w:rPr>
              <w:t>-</w:t>
            </w:r>
            <w:r>
              <w:rPr>
                <w:rFonts w:ascii="Arial" w:hAnsi="Arial" w:eastAsia="Arial" w:cs="Arial"/>
                <w:color w:val="auto"/>
                <w:spacing w:val="13"/>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9"/>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p>
          <w:p>
            <w:pPr>
              <w:pStyle w:val="20"/>
              <w:spacing w:before="266" w:line="219" w:lineRule="auto"/>
              <w:ind w:left="68"/>
              <w:rPr>
                <w:color w:val="auto"/>
                <w:lang w:eastAsia="zh-CN"/>
              </w:rPr>
            </w:pPr>
            <w:r>
              <w:rPr>
                <w:color w:val="auto"/>
                <w:spacing w:val="-6"/>
                <w:lang w:eastAsia="zh-CN"/>
              </w:rPr>
              <w:t>签字（签章</w:t>
            </w:r>
            <w:r>
              <w:rPr>
                <w:color w:val="auto"/>
                <w:lang w:eastAsia="zh-CN"/>
              </w:rPr>
              <w:t xml:space="preserve">）：                   </w:t>
            </w:r>
            <w:r>
              <w:rPr>
                <w:color w:val="auto"/>
                <w:spacing w:val="-6"/>
                <w:lang w:eastAsia="zh-CN"/>
              </w:rPr>
              <w:t>公章：</w:t>
            </w:r>
          </w:p>
          <w:p>
            <w:pPr>
              <w:pStyle w:val="20"/>
              <w:spacing w:before="217" w:line="220" w:lineRule="auto"/>
              <w:ind w:left="104"/>
              <w:rPr>
                <w:color w:val="auto"/>
              </w:rPr>
            </w:pPr>
            <w:r>
              <w:rPr>
                <w:color w:val="auto"/>
                <w:spacing w:val="-21"/>
              </w:rPr>
              <w:t>日期：</w:t>
            </w:r>
          </w:p>
        </w:tc>
      </w:tr>
    </w:tbl>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投标人为自然人的，应当由本人签字；质疑投标人为法人或者其他组织的，应当由法定代表人、主要负责人，或者其授权代表签字或者签章，并加盖公章。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6）投标人提出质疑和投诉应当坚持依法依规、诚实信用原则。投标人质疑应当有明确的请求和必要的证明材料。质疑内容不得含有虚假、恶意成份。依照谁主张谁举证的原则，提出质疑者必须同时提交相关确凿的证据材料和注明事实的确切来源，其证据来源必须合法。对捏造事实、滥用维权扰乱采购秩序的恶意质疑者，将上报政府采购监督管理部门依法处理。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7）质疑答复应当坚持依法依规、权责对等、公平公正、简便高效原则。委托人、采购代理机构有权将质疑函转发质疑事项各关联方，请其作出解释说明。对中标投标人提出质疑时，质疑函及相关质疑内容的举证材料将转递予被质疑者，被质疑者对举证材料须给予书面澄清回复和接受质询，其投标文件可公开的内容须接受任何形式的审查核实。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（8）委托人、采购代理机构在质疑受理之日起七个工作日内书面答复质疑投标人。答复函可以直接领取、传真或邮寄方式均视为有效送达。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 xml:space="preserve">（9）质疑投标人对委托人、采购代理机构的质疑答复不满意，或者委托人、采购代理机构未在规定期限内作出答复的，可以在答复期满后 15 个工作日内向采购人监督管理部门提起投诉。 </w:t>
      </w:r>
    </w:p>
    <w:p>
      <w:pPr>
        <w:widowControl/>
        <w:spacing w:line="360" w:lineRule="auto"/>
        <w:jc w:val="left"/>
        <w:rPr>
          <w:rFonts w:hint="eastAsia" w:ascii="宋体" w:hAnsi="宋体" w:cs="宋体"/>
          <w:color w:val="auto"/>
          <w:szCs w:val="21"/>
          <w:lang w:eastAsia="zh-CN" w:bidi="ar"/>
        </w:rPr>
      </w:pPr>
      <w:r>
        <w:rPr>
          <w:rFonts w:hint="eastAsia" w:ascii="宋体" w:hAnsi="宋体" w:cs="宋体"/>
          <w:color w:val="auto"/>
          <w:szCs w:val="21"/>
          <w:lang w:eastAsia="zh-CN" w:bidi="ar"/>
        </w:rPr>
        <w:t>31.3投诉</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（1）</w:t>
      </w:r>
      <w:r>
        <w:rPr>
          <w:rFonts w:ascii="宋体" w:hAnsi="宋体" w:cs="宋体"/>
          <w:color w:val="auto"/>
          <w:szCs w:val="21"/>
          <w:lang w:eastAsia="zh-CN" w:bidi="ar"/>
        </w:rPr>
        <w:t>投诉人提起投诉时，应当提交投诉书和必要的证明材料，并按照被投诉人和与投诉事项有关的投标人数量提供投诉书副本。</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（2）</w:t>
      </w:r>
      <w:r>
        <w:rPr>
          <w:rFonts w:ascii="宋体" w:hAnsi="宋体" w:cs="宋体"/>
          <w:color w:val="auto"/>
          <w:szCs w:val="21"/>
          <w:lang w:eastAsia="zh-CN" w:bidi="ar"/>
        </w:rPr>
        <w:t>投诉人若委托代理人进行投诉的，投诉书应按照要求列明“授权代表”的有关内容，并在附件中提交由投诉人签署的授权委托书。授权委托书应当载明代理人的姓名或者名称、代理事项、具体权限、期限和相关事项。</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（3）</w:t>
      </w:r>
      <w:r>
        <w:rPr>
          <w:rFonts w:ascii="宋体" w:hAnsi="宋体" w:cs="宋体"/>
          <w:color w:val="auto"/>
          <w:szCs w:val="21"/>
          <w:lang w:eastAsia="zh-CN" w:bidi="ar"/>
        </w:rPr>
        <w:t>投诉人若对项目的某一分包进行投诉，投诉书应列明具体分包号。</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（4）</w:t>
      </w:r>
      <w:r>
        <w:rPr>
          <w:rFonts w:ascii="宋体" w:hAnsi="宋体" w:cs="宋体"/>
          <w:color w:val="auto"/>
          <w:szCs w:val="21"/>
          <w:lang w:eastAsia="zh-CN" w:bidi="ar"/>
        </w:rPr>
        <w:t>投诉书应简要列明质疑事项，质疑函、质疑答复等作为附件材料提供。</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（5）</w:t>
      </w:r>
      <w:r>
        <w:rPr>
          <w:rFonts w:ascii="宋体" w:hAnsi="宋体" w:cs="宋体"/>
          <w:color w:val="auto"/>
          <w:szCs w:val="21"/>
          <w:lang w:eastAsia="zh-CN" w:bidi="ar"/>
        </w:rPr>
        <w:t>投诉书的投诉事项应具体、明确，并有必要的事实依据和法律依据。</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（6）</w:t>
      </w:r>
      <w:r>
        <w:rPr>
          <w:rFonts w:ascii="宋体" w:hAnsi="宋体" w:cs="宋体"/>
          <w:color w:val="auto"/>
          <w:szCs w:val="21"/>
          <w:lang w:eastAsia="zh-CN" w:bidi="ar"/>
        </w:rPr>
        <w:t>投诉书的投诉请求应与投诉事项相关。</w:t>
      </w:r>
    </w:p>
    <w:p>
      <w:pPr>
        <w:widowControl/>
        <w:spacing w:line="360" w:lineRule="auto"/>
        <w:jc w:val="left"/>
        <w:rPr>
          <w:rFonts w:ascii="宋体" w:hAnsi="宋体" w:cs="宋体"/>
          <w:color w:val="auto"/>
          <w:szCs w:val="21"/>
          <w:lang w:eastAsia="zh-CN" w:bidi="ar"/>
        </w:rPr>
      </w:pPr>
      <w:r>
        <w:rPr>
          <w:rFonts w:hint="eastAsia" w:ascii="宋体" w:hAnsi="宋体" w:cs="宋体"/>
          <w:color w:val="auto"/>
          <w:szCs w:val="21"/>
          <w:lang w:eastAsia="zh-CN" w:bidi="ar"/>
        </w:rPr>
        <w:t>（7）</w:t>
      </w:r>
      <w:r>
        <w:rPr>
          <w:rFonts w:ascii="宋体" w:hAnsi="宋体" w:cs="宋体"/>
          <w:color w:val="auto"/>
          <w:szCs w:val="21"/>
          <w:lang w:eastAsia="zh-CN" w:bidi="ar"/>
        </w:rPr>
        <w:t>投诉人为自然人的，投诉书应当由本人签字；投诉人为法人或者其他组织的，投诉书应当由法定代表人、主要负责人，或者其授权代表签字或者盖章，并加盖公章。</w:t>
      </w:r>
    </w:p>
    <w:tbl>
      <w:tblPr>
        <w:tblStyle w:val="13"/>
        <w:tblW w:w="9180" w:type="dxa"/>
        <w:tblInd w:w="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918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23" w:hRule="atLeast"/>
        </w:trPr>
        <w:tc>
          <w:tcPr>
            <w:tcW w:w="9180" w:type="dxa"/>
            <w:noWrap w:val="0"/>
            <w:vAlign w:val="top"/>
          </w:tcPr>
          <w:p>
            <w:pPr>
              <w:pStyle w:val="20"/>
              <w:spacing w:before="44" w:line="219" w:lineRule="auto"/>
              <w:ind w:left="4126"/>
              <w:rPr>
                <w:color w:val="auto"/>
                <w:lang w:eastAsia="zh-CN"/>
              </w:rPr>
            </w:pPr>
            <w:r>
              <w:rPr>
                <w:b/>
                <w:bCs/>
                <w:color w:val="auto"/>
                <w:spacing w:val="8"/>
                <w:lang w:eastAsia="zh-CN"/>
              </w:rPr>
              <w:t>投诉书格式</w:t>
            </w:r>
          </w:p>
          <w:p>
            <w:pPr>
              <w:pStyle w:val="20"/>
              <w:spacing w:line="240" w:lineRule="atLeast"/>
              <w:rPr>
                <w:color w:val="auto"/>
                <w:lang w:eastAsia="zh-CN"/>
              </w:rPr>
            </w:pPr>
            <w:r>
              <w:rPr>
                <w:color w:val="auto"/>
                <w:spacing w:val="-2"/>
                <w:lang w:eastAsia="zh-CN"/>
              </w:rPr>
              <w:t>一、投诉相关主体基本情况</w:t>
            </w:r>
          </w:p>
          <w:p>
            <w:pPr>
              <w:pStyle w:val="20"/>
              <w:spacing w:line="240" w:lineRule="atLeast"/>
              <w:rPr>
                <w:color w:val="auto"/>
                <w:lang w:eastAsia="zh-CN"/>
              </w:rPr>
            </w:pPr>
            <w:r>
              <w:rPr>
                <w:color w:val="auto"/>
                <w:spacing w:val="-11"/>
                <w:lang w:eastAsia="zh-CN"/>
              </w:rPr>
              <w:t>投诉人：</w:t>
            </w:r>
          </w:p>
          <w:p>
            <w:pPr>
              <w:spacing w:line="240" w:lineRule="atLeast"/>
              <w:rPr>
                <w:rFonts w:ascii="Arial" w:hAnsi="Arial" w:eastAsia="Arial" w:cs="Arial"/>
                <w:color w:val="auto"/>
                <w:sz w:val="9"/>
                <w:szCs w:val="9"/>
              </w:rPr>
            </w:pPr>
            <w:r>
              <w:rPr>
                <w:rFonts w:ascii="Arial" w:hAnsi="Arial" w:eastAsia="Arial" w:cs="Arial"/>
                <w:color w:val="auto"/>
                <w:spacing w:val="-3"/>
                <w:position w:val="-3"/>
                <w:sz w:val="9"/>
                <w:szCs w:val="9"/>
              </w:rPr>
              <w:t>-</w:t>
            </w:r>
            <w:r>
              <w:rPr>
                <w:rFonts w:ascii="Arial" w:hAnsi="Arial" w:eastAsia="Arial" w:cs="Arial"/>
                <w:color w:val="auto"/>
                <w:spacing w:val="13"/>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9"/>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p>
          <w:p>
            <w:pPr>
              <w:pStyle w:val="20"/>
              <w:spacing w:line="240" w:lineRule="atLeast"/>
              <w:rPr>
                <w:color w:val="auto"/>
                <w:lang w:eastAsia="zh-CN"/>
              </w:rPr>
            </w:pPr>
            <w:r>
              <w:rPr>
                <w:color w:val="auto"/>
                <w:spacing w:val="-6"/>
                <w:lang w:eastAsia="zh-CN"/>
              </w:rPr>
              <w:t>地</w:t>
            </w:r>
            <w:r>
              <w:rPr>
                <w:color w:val="auto"/>
                <w:spacing w:val="2"/>
                <w:lang w:eastAsia="zh-CN"/>
              </w:rPr>
              <w:t xml:space="preserve">       </w:t>
            </w:r>
            <w:r>
              <w:rPr>
                <w:color w:val="auto"/>
                <w:spacing w:val="-6"/>
                <w:lang w:eastAsia="zh-CN"/>
              </w:rPr>
              <w:t>址：                   邮编：</w:t>
            </w:r>
          </w:p>
          <w:p>
            <w:pPr>
              <w:spacing w:line="240" w:lineRule="atLeast"/>
              <w:rPr>
                <w:rFonts w:ascii="Arial" w:hAnsi="Arial" w:eastAsia="Arial" w:cs="Arial"/>
                <w:color w:val="auto"/>
                <w:sz w:val="9"/>
                <w:szCs w:val="9"/>
              </w:rPr>
            </w:pPr>
            <w:r>
              <w:rPr>
                <w:rFonts w:ascii="Arial" w:hAnsi="Arial" w:eastAsia="Arial" w:cs="Arial"/>
                <w:color w:val="auto"/>
                <w:spacing w:val="-2"/>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9"/>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2"/>
                <w:position w:val="-3"/>
                <w:sz w:val="9"/>
                <w:szCs w:val="9"/>
              </w:rPr>
              <w:t xml:space="preserve">-          </w:t>
            </w:r>
            <w:r>
              <w:rPr>
                <w:rFonts w:ascii="Arial" w:hAnsi="Arial" w:eastAsia="Arial" w:cs="Arial"/>
                <w:color w:val="auto"/>
                <w:spacing w:val="-3"/>
                <w:position w:val="-3"/>
                <w:sz w:val="9"/>
                <w:szCs w:val="9"/>
              </w:rPr>
              <w:t xml:space="preserve">                    -</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9"/>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p>
          <w:p>
            <w:pPr>
              <w:pStyle w:val="20"/>
              <w:spacing w:line="240" w:lineRule="atLeast"/>
              <w:rPr>
                <w:color w:val="auto"/>
                <w:lang w:eastAsia="zh-CN"/>
              </w:rPr>
            </w:pPr>
            <w:r>
              <w:rPr>
                <w:color w:val="auto"/>
                <w:spacing w:val="-4"/>
                <w:lang w:eastAsia="zh-CN"/>
              </w:rPr>
              <w:t>法定代表人/主要负责人：</w:t>
            </w:r>
          </w:p>
          <w:p>
            <w:pPr>
              <w:spacing w:line="240" w:lineRule="atLeast"/>
              <w:rPr>
                <w:rFonts w:ascii="Arial" w:hAnsi="Arial" w:eastAsia="Arial" w:cs="Arial"/>
                <w:color w:val="auto"/>
                <w:sz w:val="9"/>
                <w:szCs w:val="9"/>
              </w:rPr>
            </w:pPr>
            <w:r>
              <w:rPr>
                <w:rFonts w:ascii="Arial" w:hAnsi="Arial" w:eastAsia="Arial" w:cs="Arial"/>
                <w:color w:val="auto"/>
                <w:spacing w:val="-3"/>
                <w:position w:val="-3"/>
                <w:sz w:val="9"/>
                <w:szCs w:val="9"/>
              </w:rPr>
              <w:t>-</w:t>
            </w:r>
            <w:r>
              <w:rPr>
                <w:rFonts w:ascii="Arial" w:hAnsi="Arial" w:eastAsia="Arial" w:cs="Arial"/>
                <w:color w:val="auto"/>
                <w:spacing w:val="13"/>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p>
          <w:p>
            <w:pPr>
              <w:pStyle w:val="20"/>
              <w:spacing w:line="240" w:lineRule="atLeast"/>
              <w:rPr>
                <w:color w:val="auto"/>
                <w:lang w:eastAsia="zh-CN"/>
              </w:rPr>
            </w:pPr>
            <w:r>
              <w:rPr>
                <w:color w:val="auto"/>
                <w:spacing w:val="-9"/>
                <w:lang w:eastAsia="zh-CN"/>
              </w:rPr>
              <w:t>联系电话：</w:t>
            </w:r>
          </w:p>
          <w:p>
            <w:pPr>
              <w:spacing w:line="240" w:lineRule="atLeast"/>
              <w:rPr>
                <w:rFonts w:ascii="Arial" w:hAnsi="Arial" w:eastAsia="Arial" w:cs="Arial"/>
                <w:color w:val="auto"/>
                <w:sz w:val="9"/>
                <w:szCs w:val="9"/>
              </w:rPr>
            </w:pPr>
            <w:r>
              <w:rPr>
                <w:rFonts w:ascii="Arial" w:hAnsi="Arial" w:eastAsia="Arial" w:cs="Arial"/>
                <w:color w:val="auto"/>
                <w:spacing w:val="-3"/>
                <w:position w:val="-3"/>
                <w:sz w:val="9"/>
                <w:szCs w:val="9"/>
              </w:rPr>
              <w:t>-</w:t>
            </w:r>
            <w:r>
              <w:rPr>
                <w:rFonts w:ascii="Arial" w:hAnsi="Arial" w:eastAsia="Arial" w:cs="Arial"/>
                <w:color w:val="auto"/>
                <w:spacing w:val="13"/>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9"/>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9"/>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p>
          <w:p>
            <w:pPr>
              <w:pStyle w:val="20"/>
              <w:spacing w:line="240" w:lineRule="atLeast"/>
              <w:rPr>
                <w:color w:val="auto"/>
                <w:lang w:eastAsia="zh-CN"/>
              </w:rPr>
            </w:pPr>
            <w:r>
              <w:rPr>
                <w:color w:val="auto"/>
                <w:spacing w:val="-5"/>
                <w:lang w:eastAsia="zh-CN"/>
              </w:rPr>
              <w:t>授权代表：</w:t>
            </w:r>
            <w:r>
              <w:rPr>
                <w:color w:val="auto"/>
                <w:lang w:eastAsia="zh-CN"/>
              </w:rPr>
              <w:t xml:space="preserve">                  </w:t>
            </w:r>
            <w:r>
              <w:rPr>
                <w:color w:val="auto"/>
                <w:spacing w:val="-5"/>
                <w:lang w:eastAsia="zh-CN"/>
              </w:rPr>
              <w:t>联系电话：</w:t>
            </w:r>
          </w:p>
          <w:p>
            <w:pPr>
              <w:spacing w:line="240" w:lineRule="atLeast"/>
              <w:rPr>
                <w:rFonts w:ascii="Arial" w:hAnsi="Arial" w:eastAsia="Arial" w:cs="Arial"/>
                <w:color w:val="auto"/>
                <w:sz w:val="9"/>
                <w:szCs w:val="9"/>
              </w:rPr>
            </w:pPr>
            <w:r>
              <w:rPr>
                <w:rFonts w:ascii="Arial" w:hAnsi="Arial" w:eastAsia="Arial" w:cs="Arial"/>
                <w:color w:val="auto"/>
                <w:spacing w:val="-3"/>
                <w:position w:val="-3"/>
                <w:sz w:val="9"/>
                <w:szCs w:val="9"/>
              </w:rPr>
              <w:t>-</w:t>
            </w:r>
            <w:r>
              <w:rPr>
                <w:rFonts w:ascii="Arial" w:hAnsi="Arial" w:eastAsia="Arial" w:cs="Arial"/>
                <w:color w:val="auto"/>
                <w:spacing w:val="17"/>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22"/>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9"/>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p>
          <w:p>
            <w:pPr>
              <w:pStyle w:val="20"/>
              <w:spacing w:line="240" w:lineRule="atLeast"/>
              <w:rPr>
                <w:color w:val="auto"/>
                <w:lang w:eastAsia="zh-CN"/>
              </w:rPr>
            </w:pPr>
            <w:r>
              <w:rPr>
                <w:color w:val="auto"/>
                <w:spacing w:val="-6"/>
                <w:lang w:eastAsia="zh-CN"/>
              </w:rPr>
              <w:t>地</w:t>
            </w:r>
            <w:r>
              <w:rPr>
                <w:color w:val="auto"/>
                <w:spacing w:val="2"/>
                <w:lang w:eastAsia="zh-CN"/>
              </w:rPr>
              <w:t xml:space="preserve">        </w:t>
            </w:r>
            <w:r>
              <w:rPr>
                <w:color w:val="auto"/>
                <w:spacing w:val="-6"/>
                <w:lang w:eastAsia="zh-CN"/>
              </w:rPr>
              <w:t>址：                   邮编：</w:t>
            </w:r>
          </w:p>
          <w:p>
            <w:pPr>
              <w:spacing w:line="240" w:lineRule="atLeast"/>
              <w:rPr>
                <w:rFonts w:ascii="Arial" w:hAnsi="Arial" w:eastAsia="Arial" w:cs="Arial"/>
                <w:color w:val="auto"/>
                <w:sz w:val="9"/>
                <w:szCs w:val="9"/>
              </w:rPr>
            </w:pPr>
            <w:r>
              <w:rPr>
                <w:rFonts w:ascii="Arial" w:hAnsi="Arial" w:eastAsia="Arial" w:cs="Arial"/>
                <w:color w:val="auto"/>
                <w:spacing w:val="-2"/>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9"/>
                <w:w w:val="101"/>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 xml:space="preserve">-           </w:t>
            </w:r>
            <w:r>
              <w:rPr>
                <w:rFonts w:ascii="Arial" w:hAnsi="Arial" w:eastAsia="Arial" w:cs="Arial"/>
                <w:color w:val="auto"/>
                <w:spacing w:val="-3"/>
                <w:position w:val="-3"/>
                <w:sz w:val="9"/>
                <w:szCs w:val="9"/>
              </w:rPr>
              <w:t xml:space="preserve">                   -</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p>
          <w:p>
            <w:pPr>
              <w:pStyle w:val="20"/>
              <w:spacing w:line="240" w:lineRule="atLeast"/>
              <w:rPr>
                <w:color w:val="auto"/>
                <w:lang w:eastAsia="zh-CN"/>
              </w:rPr>
            </w:pPr>
            <w:r>
              <w:rPr>
                <w:color w:val="auto"/>
                <w:spacing w:val="-6"/>
                <w:lang w:eastAsia="zh-CN"/>
              </w:rPr>
              <w:t>被投诉人</w:t>
            </w:r>
            <w:r>
              <w:rPr>
                <w:color w:val="auto"/>
                <w:spacing w:val="28"/>
                <w:lang w:eastAsia="zh-CN"/>
              </w:rPr>
              <w:t xml:space="preserve"> </w:t>
            </w:r>
            <w:r>
              <w:rPr>
                <w:color w:val="auto"/>
                <w:spacing w:val="-6"/>
                <w:lang w:eastAsia="zh-CN"/>
              </w:rPr>
              <w:t>1：</w:t>
            </w:r>
          </w:p>
          <w:p>
            <w:pPr>
              <w:spacing w:line="240" w:lineRule="atLeast"/>
              <w:rPr>
                <w:rFonts w:ascii="Arial" w:hAnsi="Arial" w:eastAsia="Arial" w:cs="Arial"/>
                <w:color w:val="auto"/>
                <w:sz w:val="9"/>
                <w:szCs w:val="9"/>
              </w:rPr>
            </w:pPr>
            <w:r>
              <w:rPr>
                <w:rFonts w:ascii="Arial" w:hAnsi="Arial" w:eastAsia="Arial" w:cs="Arial"/>
                <w:color w:val="auto"/>
                <w:spacing w:val="-3"/>
                <w:position w:val="-3"/>
                <w:sz w:val="9"/>
                <w:szCs w:val="9"/>
              </w:rPr>
              <w:t>-</w:t>
            </w:r>
            <w:r>
              <w:rPr>
                <w:rFonts w:ascii="Arial" w:hAnsi="Arial" w:eastAsia="Arial" w:cs="Arial"/>
                <w:color w:val="auto"/>
                <w:spacing w:val="13"/>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p>
          <w:p>
            <w:pPr>
              <w:pStyle w:val="20"/>
              <w:spacing w:line="240" w:lineRule="atLeast"/>
              <w:rPr>
                <w:color w:val="auto"/>
                <w:lang w:eastAsia="zh-CN"/>
              </w:rPr>
            </w:pPr>
            <w:r>
              <w:rPr>
                <w:color w:val="auto"/>
                <w:spacing w:val="-6"/>
                <w:lang w:eastAsia="zh-CN"/>
              </w:rPr>
              <w:t>地</w:t>
            </w:r>
            <w:r>
              <w:rPr>
                <w:color w:val="auto"/>
                <w:spacing w:val="3"/>
                <w:lang w:eastAsia="zh-CN"/>
              </w:rPr>
              <w:t xml:space="preserve">     </w:t>
            </w:r>
            <w:r>
              <w:rPr>
                <w:color w:val="auto"/>
                <w:spacing w:val="-6"/>
                <w:lang w:eastAsia="zh-CN"/>
              </w:rPr>
              <w:t>址：                   邮编：</w:t>
            </w:r>
          </w:p>
          <w:p>
            <w:pPr>
              <w:spacing w:line="240" w:lineRule="atLeast"/>
              <w:rPr>
                <w:rFonts w:ascii="Arial" w:hAnsi="Arial" w:eastAsia="Arial" w:cs="Arial"/>
                <w:color w:val="auto"/>
                <w:sz w:val="9"/>
                <w:szCs w:val="9"/>
              </w:rPr>
            </w:pPr>
            <w:r>
              <w:rPr>
                <w:rFonts w:ascii="Arial" w:hAnsi="Arial" w:eastAsia="Arial" w:cs="Arial"/>
                <w:color w:val="auto"/>
                <w:spacing w:val="-2"/>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2"/>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3"/>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2"/>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2"/>
                <w:position w:val="-3"/>
                <w:sz w:val="9"/>
                <w:szCs w:val="9"/>
              </w:rPr>
              <w:t xml:space="preserve">-           </w:t>
            </w:r>
            <w:r>
              <w:rPr>
                <w:rFonts w:ascii="Arial" w:hAnsi="Arial" w:eastAsia="Arial" w:cs="Arial"/>
                <w:color w:val="auto"/>
                <w:spacing w:val="-3"/>
                <w:position w:val="-3"/>
                <w:sz w:val="9"/>
                <w:szCs w:val="9"/>
              </w:rPr>
              <w:t xml:space="preserve">                   -</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2"/>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w w:val="101"/>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8"/>
                <w:position w:val="-3"/>
                <w:sz w:val="9"/>
                <w:szCs w:val="9"/>
              </w:rPr>
              <w:t xml:space="preserve"> </w:t>
            </w:r>
            <w:r>
              <w:rPr>
                <w:rFonts w:ascii="Arial" w:hAnsi="Arial" w:eastAsia="Arial" w:cs="Arial"/>
                <w:color w:val="auto"/>
                <w:spacing w:val="-3"/>
                <w:position w:val="-3"/>
                <w:sz w:val="9"/>
                <w:szCs w:val="9"/>
              </w:rPr>
              <w:t>-</w:t>
            </w:r>
            <w:r>
              <w:rPr>
                <w:rFonts w:ascii="Arial" w:hAnsi="Arial" w:eastAsia="Arial" w:cs="Arial"/>
                <w:color w:val="auto"/>
                <w:spacing w:val="7"/>
                <w:w w:val="103"/>
                <w:position w:val="-3"/>
                <w:sz w:val="9"/>
                <w:szCs w:val="9"/>
              </w:rPr>
              <w:t xml:space="preserve"> </w:t>
            </w:r>
            <w:r>
              <w:rPr>
                <w:rFonts w:ascii="Arial" w:hAnsi="Arial" w:eastAsia="Arial" w:cs="Arial"/>
                <w:color w:val="auto"/>
                <w:spacing w:val="-3"/>
                <w:position w:val="-3"/>
                <w:sz w:val="9"/>
                <w:szCs w:val="9"/>
              </w:rPr>
              <w:t>-</w:t>
            </w:r>
          </w:p>
          <w:p>
            <w:pPr>
              <w:pStyle w:val="20"/>
              <w:spacing w:line="240" w:lineRule="atLeast"/>
              <w:rPr>
                <w:rFonts w:ascii="Arial" w:hAnsi="Arial" w:eastAsia="Arial" w:cs="Arial"/>
                <w:color w:val="auto"/>
                <w:sz w:val="9"/>
                <w:szCs w:val="9"/>
                <w:lang w:eastAsia="zh-CN"/>
              </w:rPr>
            </w:pPr>
            <w:r>
              <w:rPr>
                <w:color w:val="auto"/>
                <w:spacing w:val="-2"/>
                <w:lang w:eastAsia="zh-CN"/>
              </w:rPr>
              <w:t xml:space="preserve">联系人： </w:t>
            </w:r>
            <w:r>
              <w:rPr>
                <w:rFonts w:ascii="Arial" w:hAnsi="Arial" w:eastAsia="Arial" w:cs="Arial"/>
                <w:color w:val="auto"/>
                <w:spacing w:val="-2"/>
                <w:sz w:val="9"/>
                <w:szCs w:val="9"/>
                <w:lang w:eastAsia="zh-CN"/>
              </w:rPr>
              <w:t>-</w:t>
            </w:r>
            <w:r>
              <w:rPr>
                <w:rFonts w:ascii="Arial" w:hAnsi="Arial" w:eastAsia="Arial" w:cs="Arial"/>
                <w:color w:val="auto"/>
                <w:spacing w:val="8"/>
                <w:w w:val="102"/>
                <w:sz w:val="9"/>
                <w:szCs w:val="9"/>
                <w:lang w:eastAsia="zh-CN"/>
              </w:rPr>
              <w:t xml:space="preserve"> </w:t>
            </w:r>
            <w:r>
              <w:rPr>
                <w:rFonts w:ascii="Arial" w:hAnsi="Arial" w:eastAsia="Arial" w:cs="Arial"/>
                <w:color w:val="auto"/>
                <w:spacing w:val="-2"/>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2"/>
                <w:sz w:val="9"/>
                <w:szCs w:val="9"/>
                <w:lang w:eastAsia="zh-CN"/>
              </w:rPr>
              <w:t>-</w:t>
            </w:r>
            <w:r>
              <w:rPr>
                <w:rFonts w:ascii="Arial" w:hAnsi="Arial" w:eastAsia="Arial" w:cs="Arial"/>
                <w:color w:val="auto"/>
                <w:spacing w:val="7"/>
                <w:w w:val="103"/>
                <w:sz w:val="9"/>
                <w:szCs w:val="9"/>
                <w:lang w:eastAsia="zh-CN"/>
              </w:rPr>
              <w:t xml:space="preserve"> </w:t>
            </w:r>
            <w:r>
              <w:rPr>
                <w:rFonts w:ascii="Arial" w:hAnsi="Arial" w:eastAsia="Arial" w:cs="Arial"/>
                <w:color w:val="auto"/>
                <w:spacing w:val="-2"/>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2"/>
                <w:sz w:val="9"/>
                <w:szCs w:val="9"/>
                <w:lang w:eastAsia="zh-CN"/>
              </w:rPr>
              <w:t>-</w:t>
            </w:r>
            <w:r>
              <w:rPr>
                <w:rFonts w:ascii="Arial" w:hAnsi="Arial" w:eastAsia="Arial" w:cs="Arial"/>
                <w:color w:val="auto"/>
                <w:spacing w:val="8"/>
                <w:w w:val="102"/>
                <w:sz w:val="9"/>
                <w:szCs w:val="9"/>
                <w:lang w:eastAsia="zh-CN"/>
              </w:rPr>
              <w:t xml:space="preserve"> </w:t>
            </w:r>
            <w:r>
              <w:rPr>
                <w:rFonts w:ascii="Arial" w:hAnsi="Arial" w:eastAsia="Arial" w:cs="Arial"/>
                <w:color w:val="auto"/>
                <w:spacing w:val="-2"/>
                <w:sz w:val="9"/>
                <w:szCs w:val="9"/>
                <w:lang w:eastAsia="zh-CN"/>
              </w:rPr>
              <w:t>-</w:t>
            </w:r>
            <w:r>
              <w:rPr>
                <w:rFonts w:ascii="Arial" w:hAnsi="Arial" w:eastAsia="Arial" w:cs="Arial"/>
                <w:color w:val="auto"/>
                <w:spacing w:val="7"/>
                <w:w w:val="103"/>
                <w:sz w:val="9"/>
                <w:szCs w:val="9"/>
                <w:lang w:eastAsia="zh-CN"/>
              </w:rPr>
              <w:t xml:space="preserve"> </w:t>
            </w:r>
            <w:r>
              <w:rPr>
                <w:rFonts w:ascii="Arial" w:hAnsi="Arial" w:eastAsia="Arial" w:cs="Arial"/>
                <w:color w:val="auto"/>
                <w:spacing w:val="-2"/>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2"/>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2"/>
                <w:sz w:val="9"/>
                <w:szCs w:val="9"/>
                <w:lang w:eastAsia="zh-CN"/>
              </w:rPr>
              <w:t>-</w:t>
            </w:r>
            <w:r>
              <w:rPr>
                <w:rFonts w:ascii="Arial" w:hAnsi="Arial" w:eastAsia="Arial" w:cs="Arial"/>
                <w:color w:val="auto"/>
                <w:spacing w:val="7"/>
                <w:w w:val="103"/>
                <w:sz w:val="9"/>
                <w:szCs w:val="9"/>
                <w:lang w:eastAsia="zh-CN"/>
              </w:rPr>
              <w:t xml:space="preserve"> </w:t>
            </w:r>
            <w:r>
              <w:rPr>
                <w:rFonts w:ascii="Arial" w:hAnsi="Arial" w:eastAsia="Arial" w:cs="Arial"/>
                <w:color w:val="auto"/>
                <w:spacing w:val="-2"/>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2"/>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2"/>
                <w:sz w:val="9"/>
                <w:szCs w:val="9"/>
                <w:lang w:eastAsia="zh-CN"/>
              </w:rPr>
              <w:t>-</w:t>
            </w:r>
            <w:r>
              <w:rPr>
                <w:rFonts w:ascii="Arial" w:hAnsi="Arial" w:eastAsia="Arial" w:cs="Arial"/>
                <w:color w:val="auto"/>
                <w:spacing w:val="9"/>
                <w:w w:val="101"/>
                <w:sz w:val="9"/>
                <w:szCs w:val="9"/>
                <w:lang w:eastAsia="zh-CN"/>
              </w:rPr>
              <w:t xml:space="preserve"> </w:t>
            </w:r>
            <w:r>
              <w:rPr>
                <w:rFonts w:ascii="Arial" w:hAnsi="Arial" w:eastAsia="Arial" w:cs="Arial"/>
                <w:color w:val="auto"/>
                <w:spacing w:val="-2"/>
                <w:sz w:val="9"/>
                <w:szCs w:val="9"/>
                <w:lang w:eastAsia="zh-CN"/>
              </w:rPr>
              <w:t>-</w:t>
            </w:r>
            <w:r>
              <w:rPr>
                <w:rFonts w:ascii="Arial" w:hAnsi="Arial" w:eastAsia="Arial" w:cs="Arial"/>
                <w:color w:val="auto"/>
                <w:spacing w:val="7"/>
                <w:w w:val="103"/>
                <w:sz w:val="9"/>
                <w:szCs w:val="9"/>
                <w:lang w:eastAsia="zh-CN"/>
              </w:rPr>
              <w:t xml:space="preserve"> </w:t>
            </w:r>
            <w:r>
              <w:rPr>
                <w:rFonts w:ascii="Arial" w:hAnsi="Arial" w:eastAsia="Arial" w:cs="Arial"/>
                <w:color w:val="auto"/>
                <w:spacing w:val="-2"/>
                <w:sz w:val="9"/>
                <w:szCs w:val="9"/>
                <w:lang w:eastAsia="zh-CN"/>
              </w:rPr>
              <w:t>-</w:t>
            </w:r>
            <w:r>
              <w:rPr>
                <w:rFonts w:ascii="Arial" w:hAnsi="Arial" w:eastAsia="Arial" w:cs="Arial"/>
                <w:color w:val="auto"/>
                <w:spacing w:val="-7"/>
                <w:sz w:val="9"/>
                <w:szCs w:val="9"/>
                <w:lang w:eastAsia="zh-CN"/>
              </w:rPr>
              <w:t xml:space="preserve"> </w:t>
            </w:r>
            <w:r>
              <w:rPr>
                <w:rFonts w:ascii="Arial" w:hAnsi="Arial" w:eastAsia="Arial" w:cs="Arial"/>
                <w:color w:val="auto"/>
                <w:spacing w:val="-2"/>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2"/>
                <w:sz w:val="9"/>
                <w:szCs w:val="9"/>
                <w:lang w:eastAsia="zh-CN"/>
              </w:rPr>
              <w:t>-</w:t>
            </w:r>
            <w:r>
              <w:rPr>
                <w:rFonts w:ascii="Arial" w:hAnsi="Arial" w:eastAsia="Arial" w:cs="Arial"/>
                <w:color w:val="auto"/>
                <w:spacing w:val="7"/>
                <w:w w:val="103"/>
                <w:sz w:val="9"/>
                <w:szCs w:val="9"/>
                <w:lang w:eastAsia="zh-CN"/>
              </w:rPr>
              <w:t xml:space="preserve"> </w:t>
            </w:r>
            <w:r>
              <w:rPr>
                <w:rFonts w:ascii="Arial" w:hAnsi="Arial" w:eastAsia="Arial" w:cs="Arial"/>
                <w:color w:val="auto"/>
                <w:spacing w:val="-2"/>
                <w:sz w:val="9"/>
                <w:szCs w:val="9"/>
                <w:lang w:eastAsia="zh-CN"/>
              </w:rPr>
              <w:t>-</w:t>
            </w:r>
            <w:r>
              <w:rPr>
                <w:rFonts w:ascii="Arial" w:hAnsi="Arial" w:eastAsia="Arial" w:cs="Arial"/>
                <w:color w:val="auto"/>
                <w:spacing w:val="-7"/>
                <w:sz w:val="9"/>
                <w:szCs w:val="9"/>
                <w:lang w:eastAsia="zh-CN"/>
              </w:rPr>
              <w:t xml:space="preserve"> </w:t>
            </w:r>
            <w:r>
              <w:rPr>
                <w:rFonts w:ascii="Arial" w:hAnsi="Arial" w:eastAsia="Arial" w:cs="Arial"/>
                <w:color w:val="auto"/>
                <w:spacing w:val="-2"/>
                <w:sz w:val="9"/>
                <w:szCs w:val="9"/>
                <w:lang w:eastAsia="zh-CN"/>
              </w:rPr>
              <w:t>-</w:t>
            </w:r>
            <w:r>
              <w:rPr>
                <w:rFonts w:ascii="Arial" w:hAnsi="Arial" w:eastAsia="Arial" w:cs="Arial"/>
                <w:color w:val="auto"/>
                <w:spacing w:val="7"/>
                <w:w w:val="103"/>
                <w:sz w:val="9"/>
                <w:szCs w:val="9"/>
                <w:lang w:eastAsia="zh-CN"/>
              </w:rPr>
              <w:t xml:space="preserve"> </w:t>
            </w:r>
            <w:r>
              <w:rPr>
                <w:rFonts w:ascii="Arial" w:hAnsi="Arial" w:eastAsia="Arial" w:cs="Arial"/>
                <w:color w:val="auto"/>
                <w:spacing w:val="-2"/>
                <w:sz w:val="9"/>
                <w:szCs w:val="9"/>
                <w:lang w:eastAsia="zh-CN"/>
              </w:rPr>
              <w:t>-</w:t>
            </w:r>
            <w:r>
              <w:rPr>
                <w:rFonts w:ascii="Arial" w:hAnsi="Arial" w:eastAsia="Arial" w:cs="Arial"/>
                <w:color w:val="auto"/>
                <w:spacing w:val="8"/>
                <w:w w:val="102"/>
                <w:sz w:val="9"/>
                <w:szCs w:val="9"/>
                <w:lang w:eastAsia="zh-CN"/>
              </w:rPr>
              <w:t xml:space="preserve"> </w:t>
            </w:r>
            <w:r>
              <w:rPr>
                <w:rFonts w:ascii="Arial" w:hAnsi="Arial" w:eastAsia="Arial" w:cs="Arial"/>
                <w:color w:val="auto"/>
                <w:spacing w:val="-2"/>
                <w:sz w:val="9"/>
                <w:szCs w:val="9"/>
                <w:lang w:eastAsia="zh-CN"/>
              </w:rPr>
              <w:t>-</w:t>
            </w:r>
            <w:r>
              <w:rPr>
                <w:rFonts w:ascii="Arial" w:hAnsi="Arial" w:eastAsia="Arial" w:cs="Arial"/>
                <w:color w:val="auto"/>
                <w:spacing w:val="-7"/>
                <w:sz w:val="9"/>
                <w:szCs w:val="9"/>
                <w:lang w:eastAsia="zh-CN"/>
              </w:rPr>
              <w:t xml:space="preserve"> </w:t>
            </w:r>
            <w:r>
              <w:rPr>
                <w:rFonts w:ascii="Arial" w:hAnsi="Arial" w:eastAsia="Arial" w:cs="Arial"/>
                <w:color w:val="auto"/>
                <w:spacing w:val="-2"/>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2"/>
                <w:sz w:val="9"/>
                <w:szCs w:val="9"/>
                <w:lang w:eastAsia="zh-CN"/>
              </w:rPr>
              <w:t>-</w:t>
            </w:r>
            <w:r>
              <w:rPr>
                <w:rFonts w:ascii="Arial" w:hAnsi="Arial" w:eastAsia="Arial" w:cs="Arial"/>
                <w:color w:val="auto"/>
                <w:spacing w:val="7"/>
                <w:w w:val="103"/>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9"/>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7"/>
                <w:w w:val="103"/>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7"/>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w w:val="101"/>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w w:val="103"/>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14"/>
                <w:sz w:val="9"/>
                <w:szCs w:val="9"/>
                <w:lang w:eastAsia="zh-CN"/>
              </w:rPr>
              <w:t xml:space="preserve"> </w:t>
            </w:r>
            <w:r>
              <w:rPr>
                <w:color w:val="auto"/>
                <w:spacing w:val="-3"/>
                <w:lang w:eastAsia="zh-CN"/>
              </w:rPr>
              <w:t>联系电话：</w:t>
            </w:r>
            <w:r>
              <w:rPr>
                <w:color w:val="auto"/>
                <w:spacing w:val="-28"/>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w w:val="101"/>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w w:val="101"/>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7"/>
                <w:w w:val="103"/>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7"/>
                <w:w w:val="103"/>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w w:val="102"/>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w w:val="103"/>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w w:val="103"/>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7"/>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w w:val="103"/>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7"/>
                <w:w w:val="103"/>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7"/>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w w:val="102"/>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7"/>
                <w:w w:val="103"/>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7"/>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7"/>
                <w:w w:val="103"/>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w w:val="101"/>
                <w:sz w:val="9"/>
                <w:szCs w:val="9"/>
                <w:lang w:eastAsia="zh-CN"/>
              </w:rPr>
              <w:t xml:space="preserve"> </w:t>
            </w:r>
            <w:r>
              <w:rPr>
                <w:rFonts w:ascii="Arial" w:hAnsi="Arial" w:eastAsia="Arial" w:cs="Arial"/>
                <w:color w:val="auto"/>
                <w:spacing w:val="-3"/>
                <w:sz w:val="9"/>
                <w:szCs w:val="9"/>
                <w:lang w:eastAsia="zh-CN"/>
              </w:rPr>
              <w:t>-</w:t>
            </w:r>
            <w:r>
              <w:rPr>
                <w:rFonts w:ascii="Arial" w:hAnsi="Arial" w:eastAsia="Arial" w:cs="Arial"/>
                <w:color w:val="auto"/>
                <w:spacing w:val="-8"/>
                <w:sz w:val="9"/>
                <w:szCs w:val="9"/>
                <w:lang w:eastAsia="zh-CN"/>
              </w:rPr>
              <w:t xml:space="preserve"> </w:t>
            </w:r>
            <w:r>
              <w:rPr>
                <w:rFonts w:ascii="Arial" w:hAnsi="Arial" w:eastAsia="Arial" w:cs="Arial"/>
                <w:color w:val="auto"/>
                <w:spacing w:val="-3"/>
                <w:sz w:val="9"/>
                <w:szCs w:val="9"/>
                <w:lang w:eastAsia="zh-CN"/>
              </w:rPr>
              <w:t>-</w:t>
            </w:r>
          </w:p>
        </w:tc>
      </w:tr>
    </w:tbl>
    <w:p>
      <w:pPr>
        <w:widowControl/>
        <w:spacing w:line="360" w:lineRule="auto"/>
        <w:jc w:val="left"/>
        <w:rPr>
          <w:rFonts w:ascii="宋体" w:hAnsi="宋体" w:cs="宋体"/>
          <w:color w:val="auto"/>
          <w:szCs w:val="21"/>
          <w:lang w:eastAsia="zh-CN" w:bidi="ar"/>
        </w:rPr>
      </w:pPr>
    </w:p>
    <w:p>
      <w:pPr>
        <w:pageBreakBefore/>
        <w:rPr>
          <w:rFonts w:hint="eastAsia" w:ascii="宋体" w:hAnsi="宋体" w:cs="宋体"/>
          <w:color w:val="auto"/>
          <w:szCs w:val="20"/>
        </w:rPr>
      </w:pPr>
    </w:p>
    <w:p>
      <w:pPr>
        <w:rPr>
          <w:rFonts w:hint="eastAsia" w:ascii="宋体" w:hAnsi="宋体" w:cs="宋体"/>
          <w:color w:val="auto"/>
          <w:szCs w:val="20"/>
        </w:rPr>
      </w:pPr>
    </w:p>
    <w:p>
      <w:pPr>
        <w:rPr>
          <w:rFonts w:hint="eastAsia" w:ascii="宋体" w:hAnsi="宋体" w:cs="宋体"/>
          <w:color w:val="auto"/>
          <w:szCs w:val="20"/>
        </w:rPr>
      </w:pPr>
    </w:p>
    <w:p>
      <w:pPr>
        <w:rPr>
          <w:rFonts w:hint="eastAsia" w:ascii="宋体" w:hAnsi="宋体" w:cs="宋体"/>
          <w:color w:val="auto"/>
          <w:szCs w:val="20"/>
        </w:rPr>
      </w:pPr>
    </w:p>
    <w:p>
      <w:pPr>
        <w:rPr>
          <w:rFonts w:hint="eastAsia" w:ascii="宋体" w:hAnsi="宋体" w:cs="宋体"/>
          <w:color w:val="auto"/>
          <w:szCs w:val="20"/>
        </w:rPr>
      </w:pPr>
    </w:p>
    <w:p>
      <w:pPr>
        <w:rPr>
          <w:rFonts w:hint="eastAsia" w:ascii="宋体" w:hAnsi="宋体" w:cs="宋体"/>
          <w:color w:val="auto"/>
          <w:szCs w:val="20"/>
        </w:rPr>
      </w:pPr>
    </w:p>
    <w:p>
      <w:pPr>
        <w:rPr>
          <w:rFonts w:hint="eastAsia" w:ascii="宋体" w:hAnsi="宋体" w:cs="宋体"/>
          <w:color w:val="auto"/>
          <w:szCs w:val="20"/>
        </w:rPr>
      </w:pPr>
    </w:p>
    <w:p>
      <w:pPr>
        <w:pStyle w:val="19"/>
        <w:rPr>
          <w:rFonts w:hint="eastAsia"/>
          <w:color w:val="auto"/>
        </w:rPr>
      </w:pPr>
    </w:p>
    <w:p>
      <w:pPr>
        <w:pStyle w:val="2"/>
        <w:jc w:val="center"/>
        <w:rPr>
          <w:rFonts w:hint="eastAsia" w:cs="Times New Roman"/>
          <w:color w:val="auto"/>
          <w:lang w:eastAsia="zh-CN"/>
        </w:rPr>
      </w:pPr>
      <w:bookmarkStart w:id="17" w:name="__RefHeading___Toc4568"/>
      <w:bookmarkEnd w:id="17"/>
      <w:bookmarkStart w:id="18" w:name="_Toc1255"/>
      <w:bookmarkStart w:id="19" w:name="_Toc5947"/>
      <w:bookmarkStart w:id="20" w:name="_Toc1879"/>
      <w:r>
        <w:rPr>
          <w:rFonts w:hint="eastAsia" w:cs="Times New Roman"/>
          <w:color w:val="auto"/>
          <w:lang w:eastAsia="zh-CN"/>
        </w:rPr>
        <w:t>第四部分</w:t>
      </w:r>
      <w:r>
        <w:rPr>
          <w:rFonts w:hint="eastAsia" w:cs="Times New Roman"/>
          <w:color w:val="auto"/>
        </w:rPr>
        <w:t xml:space="preserve">  </w:t>
      </w:r>
      <w:r>
        <w:rPr>
          <w:rFonts w:hint="eastAsia" w:cs="Times New Roman"/>
          <w:color w:val="auto"/>
          <w:lang w:eastAsia="zh-CN"/>
        </w:rPr>
        <w:t>合同书范本</w:t>
      </w:r>
      <w:bookmarkEnd w:id="18"/>
      <w:bookmarkEnd w:id="19"/>
      <w:bookmarkEnd w:id="20"/>
    </w:p>
    <w:p>
      <w:pPr>
        <w:rPr>
          <w:rFonts w:hint="eastAsia"/>
          <w:color w:val="auto"/>
          <w:lang w:eastAsia="zh-CN"/>
        </w:rPr>
      </w:pPr>
      <w:r>
        <w:rPr>
          <w:rFonts w:hint="eastAsia"/>
          <w:color w:val="auto"/>
          <w:lang w:eastAsia="zh-CN"/>
        </w:rPr>
        <w:br w:type="page"/>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ind w:right="0"/>
        <w:jc w:val="center"/>
        <w:textAlignment w:val="baseline"/>
        <w:rPr>
          <w:rStyle w:val="16"/>
          <w:rFonts w:hint="eastAsia" w:ascii="宋体" w:hAnsi="宋体" w:eastAsia="宋体" w:cs="宋体"/>
          <w:b/>
          <w:i w:val="0"/>
          <w:caps w:val="0"/>
          <w:color w:val="auto"/>
          <w:spacing w:val="0"/>
          <w:kern w:val="0"/>
          <w:sz w:val="44"/>
          <w:szCs w:val="44"/>
          <w:highlight w:val="none"/>
          <w:shd w:val="clear" w:fill="FFFFFF"/>
          <w:vertAlign w:val="baseline"/>
          <w:lang w:val="en-US" w:eastAsia="zh-CN" w:bidi="ar"/>
        </w:rPr>
      </w:pPr>
      <w:r>
        <w:rPr>
          <w:rStyle w:val="16"/>
          <w:rFonts w:hint="eastAsia" w:ascii="宋体" w:hAnsi="宋体" w:eastAsia="宋体" w:cs="宋体"/>
          <w:b/>
          <w:i w:val="0"/>
          <w:caps w:val="0"/>
          <w:color w:val="auto"/>
          <w:spacing w:val="0"/>
          <w:kern w:val="0"/>
          <w:sz w:val="44"/>
          <w:szCs w:val="44"/>
          <w:highlight w:val="none"/>
          <w:shd w:val="clear" w:fill="FFFFFF"/>
          <w:vertAlign w:val="baseline"/>
          <w:lang w:val="en-US" w:eastAsia="zh-CN" w:bidi="ar"/>
        </w:rPr>
        <w:t>物业管理服务合同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ind w:left="0" w:right="0" w:firstLine="0"/>
        <w:jc w:val="left"/>
        <w:textAlignment w:val="baseline"/>
        <w:rPr>
          <w:rFonts w:hint="eastAsia" w:ascii="宋体" w:hAnsi="宋体" w:eastAsia="宋体" w:cs="宋体"/>
          <w:i w:val="0"/>
          <w:caps w:val="0"/>
          <w:color w:val="auto"/>
          <w:spacing w:val="0"/>
          <w:sz w:val="24"/>
          <w:szCs w:val="24"/>
          <w:highlight w:val="none"/>
        </w:rPr>
      </w:pPr>
      <w:r>
        <w:rPr>
          <w:rStyle w:val="16"/>
          <w:rFonts w:hint="eastAsia" w:ascii="宋体" w:hAnsi="宋体" w:eastAsia="宋体" w:cs="宋体"/>
          <w:b/>
          <w:i w:val="0"/>
          <w:caps w:val="0"/>
          <w:color w:val="auto"/>
          <w:spacing w:val="0"/>
          <w:kern w:val="0"/>
          <w:sz w:val="24"/>
          <w:szCs w:val="24"/>
          <w:highlight w:val="none"/>
          <w:shd w:val="clear" w:fill="FFFFFF"/>
          <w:vertAlign w:val="baseline"/>
          <w:lang w:val="en-US" w:eastAsia="zh-CN" w:bidi="ar"/>
        </w:rPr>
        <w:t>甲方（委托方）：</w:t>
      </w: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br w:type="textWrapping"/>
      </w: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t>法定代表人：</w:t>
      </w: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br w:type="textWrapping"/>
      </w: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t>地址：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ind w:left="0" w:right="0" w:firstLine="0"/>
        <w:jc w:val="left"/>
        <w:textAlignment w:val="baseline"/>
        <w:rPr>
          <w:rFonts w:hint="eastAsia" w:ascii="宋体" w:hAnsi="宋体" w:eastAsia="宋体" w:cs="宋体"/>
          <w:i w:val="0"/>
          <w:caps w:val="0"/>
          <w:color w:val="auto"/>
          <w:spacing w:val="0"/>
          <w:sz w:val="24"/>
          <w:szCs w:val="24"/>
          <w:highlight w:val="none"/>
        </w:rPr>
      </w:pPr>
      <w:r>
        <w:rPr>
          <w:rStyle w:val="16"/>
          <w:rFonts w:hint="eastAsia" w:ascii="宋体" w:hAnsi="宋体" w:eastAsia="宋体" w:cs="宋体"/>
          <w:b/>
          <w:i w:val="0"/>
          <w:caps w:val="0"/>
          <w:color w:val="auto"/>
          <w:spacing w:val="0"/>
          <w:kern w:val="0"/>
          <w:sz w:val="24"/>
          <w:szCs w:val="24"/>
          <w:highlight w:val="none"/>
          <w:shd w:val="clear" w:fill="FFFFFF"/>
          <w:vertAlign w:val="baseline"/>
          <w:lang w:val="en-US" w:eastAsia="zh-CN" w:bidi="ar"/>
        </w:rPr>
        <w:t>乙方（服务方）：</w:t>
      </w: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br w:type="textWrapping"/>
      </w: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t>法定代表人：</w:t>
      </w: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br w:type="textWrapping"/>
      </w: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t>地址：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00" w:lineRule="exact"/>
        <w:ind w:left="0" w:leftChars="0" w:right="0" w:firstLine="480" w:firstLineChars="200"/>
        <w:jc w:val="left"/>
        <w:textAlignment w:val="baseline"/>
        <w:rPr>
          <w:rFonts w:hint="eastAsia" w:ascii="宋体" w:hAnsi="宋体" w:eastAsia="宋体" w:cs="宋体"/>
          <w:i w:val="0"/>
          <w:caps w:val="0"/>
          <w:color w:val="auto"/>
          <w:spacing w:val="8"/>
          <w:sz w:val="24"/>
          <w:szCs w:val="24"/>
          <w:highlight w:val="none"/>
        </w:rPr>
      </w:pP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t>根据《中华人民共和国民法典》及相关法律法规，甲乙双方本着平等互利、诚实信用原则，就【三水文化中心】物业管理服务事宜，经协商一致订立本合同。</w:t>
      </w:r>
    </w:p>
    <w:p>
      <w:pPr>
        <w:pStyle w:val="4"/>
        <w:keepNext w:val="0"/>
        <w:keepLines w:val="0"/>
        <w:pageBreakBefore w:val="0"/>
        <w:widowControl/>
        <w:numPr>
          <w:ilvl w:val="0"/>
          <w:numId w:val="29"/>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leftChars="0" w:right="0" w:firstLine="482" w:firstLineChars="200"/>
        <w:textAlignment w:val="baseline"/>
        <w:rPr>
          <w:rStyle w:val="16"/>
          <w:rFonts w:hint="eastAsia" w:ascii="宋体" w:hAnsi="宋体" w:eastAsia="宋体" w:cs="宋体"/>
          <w:b/>
          <w:bCs w:val="0"/>
          <w:i w:val="0"/>
          <w:caps w:val="0"/>
          <w:color w:val="auto"/>
          <w:spacing w:val="0"/>
          <w:sz w:val="24"/>
          <w:szCs w:val="24"/>
          <w:highlight w:val="none"/>
          <w:shd w:val="clear" w:fill="FFFFFF"/>
          <w:vertAlign w:val="baseline"/>
        </w:rPr>
      </w:pPr>
      <w:bookmarkStart w:id="21" w:name="OLE_LINK30"/>
      <w:r>
        <w:rPr>
          <w:rStyle w:val="16"/>
          <w:rFonts w:hint="eastAsia" w:ascii="宋体" w:hAnsi="宋体" w:eastAsia="宋体" w:cs="宋体"/>
          <w:b/>
          <w:bCs w:val="0"/>
          <w:i w:val="0"/>
          <w:caps w:val="0"/>
          <w:color w:val="auto"/>
          <w:spacing w:val="0"/>
          <w:sz w:val="24"/>
          <w:szCs w:val="24"/>
          <w:highlight w:val="none"/>
          <w:shd w:val="clear" w:fill="FFFFFF"/>
          <w:vertAlign w:val="baseline"/>
        </w:rPr>
        <w:t>项目概况</w:t>
      </w:r>
    </w:p>
    <w:bookmarkEnd w:id="21"/>
    <w:p>
      <w:pPr>
        <w:keepNext w:val="0"/>
        <w:keepLines w:val="0"/>
        <w:pageBreakBefore w:val="0"/>
        <w:widowControl w:val="0"/>
        <w:numPr>
          <w:ilvl w:val="0"/>
          <w:numId w:val="30"/>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400" w:lineRule="exact"/>
        <w:ind w:left="0" w:leftChars="0" w:right="0" w:firstLine="480" w:firstLineChars="200"/>
        <w:jc w:val="left"/>
        <w:textAlignment w:val="auto"/>
        <w:rPr>
          <w:rFonts w:hint="eastAsia" w:ascii="宋体" w:hAnsi="宋体" w:eastAsia="宋体" w:cs="宋体"/>
          <w:b w:val="0"/>
          <w:i w:val="0"/>
          <w:caps w:val="0"/>
          <w:color w:val="auto"/>
          <w:spacing w:val="0"/>
          <w:kern w:val="2"/>
          <w:sz w:val="24"/>
          <w:szCs w:val="24"/>
          <w:highlight w:val="none"/>
          <w:shd w:val="clear"/>
          <w:vertAlign w:val="baseline"/>
          <w:lang w:val="en-US" w:eastAsia="zh-CN" w:bidi="ar"/>
        </w:rPr>
      </w:pPr>
      <w:bookmarkStart w:id="22" w:name="OLE_LINK31"/>
      <w:bookmarkStart w:id="23" w:name="OLE_LINK3"/>
      <w:bookmarkStart w:id="24" w:name="OLE_LINK7"/>
      <w:bookmarkStart w:id="25" w:name="OLE_LINK22"/>
      <w:r>
        <w:rPr>
          <w:rFonts w:hint="eastAsia" w:ascii="宋体" w:hAnsi="宋体" w:eastAsia="宋体" w:cs="宋体"/>
          <w:b w:val="0"/>
          <w:i w:val="0"/>
          <w:caps w:val="0"/>
          <w:color w:val="auto"/>
          <w:spacing w:val="0"/>
          <w:kern w:val="2"/>
          <w:sz w:val="24"/>
          <w:szCs w:val="24"/>
          <w:highlight w:val="none"/>
          <w:shd w:val="clear"/>
          <w:vertAlign w:val="baseline"/>
          <w:lang w:val="en-US" w:eastAsia="zh-CN" w:bidi="ar"/>
        </w:rPr>
        <w:t>物业基本信息</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spacing w:line="40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i w:val="0"/>
          <w:caps w:val="0"/>
          <w:color w:val="auto"/>
          <w:spacing w:val="0"/>
          <w:kern w:val="2"/>
          <w:sz w:val="24"/>
          <w:szCs w:val="24"/>
          <w:highlight w:val="none"/>
          <w:shd w:val="clear"/>
          <w:vertAlign w:val="baseline"/>
          <w:lang w:val="en-US" w:eastAsia="zh-CN" w:bidi="ar"/>
        </w:rPr>
        <w:t>本项目位于佛山市三水区云东海街道荷湖南路1号，物业类型为文化商业综合体，总建筑面积暂定为193535.47㎡，其中1-6座建筑面积暂定为104406.61㎡，地下停车场面积暂定为30895.08㎡，户外广场面积暂定为58232.78㎡（含绿化面积10126㎡）</w:t>
      </w:r>
      <w:r>
        <w:rPr>
          <w:rFonts w:hint="eastAsia" w:ascii="宋体" w:hAnsi="宋体" w:eastAsia="宋体" w:cs="宋体"/>
          <w:color w:val="auto"/>
          <w:sz w:val="24"/>
          <w:szCs w:val="24"/>
          <w:highlight w:val="none"/>
          <w:lang w:val="en-US" w:eastAsia="zh-CN"/>
        </w:rPr>
        <w:t>。</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spacing w:line="40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前述面积数据为暂定测算值，最终产权登记面积或实测面积无论较暂定数据发生增减变化，本合同项下物业服务总价款均不作任何调整。乙方已在投标前完成现场踏勘，充分了解项目实际状况，自行承担面积误差带来的相关风险，不得以此为由提出调价、索赔等诉求。</w:t>
      </w:r>
    </w:p>
    <w:p>
      <w:pPr>
        <w:keepNext w:val="0"/>
        <w:keepLines w:val="0"/>
        <w:pageBreakBefore w:val="0"/>
        <w:widowControl w:val="0"/>
        <w:numPr>
          <w:ilvl w:val="0"/>
          <w:numId w:val="30"/>
        </w:numPr>
        <w:pBdr>
          <w:top w:val="none" w:color="auto" w:sz="0" w:space="0"/>
          <w:left w:val="none" w:color="auto" w:sz="0" w:space="0"/>
          <w:bottom w:val="none" w:color="auto" w:sz="0" w:space="0"/>
          <w:right w:val="none" w:color="auto" w:sz="0" w:space="0"/>
        </w:pBdr>
        <w:tabs>
          <w:tab w:val="left" w:pos="540"/>
        </w:tabs>
        <w:kinsoku/>
        <w:wordWrap/>
        <w:overflowPunct/>
        <w:topLinePunct w:val="0"/>
        <w:autoSpaceDE/>
        <w:autoSpaceDN/>
        <w:bidi w:val="0"/>
        <w:adjustRightInd w:val="0"/>
        <w:snapToGrid/>
        <w:spacing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物业服务边界范围</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spacing w:line="40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本项目物业服务覆盖红线范围内全部公共区域及共用设施设备（不含商户、入驻单位的专有区域），具体服务边界包括但不限于以下内容：</w:t>
      </w:r>
    </w:p>
    <w:p>
      <w:pPr>
        <w:keepNext w:val="0"/>
        <w:keepLines w:val="0"/>
        <w:pageBreakBefore w:val="0"/>
        <w:widowControl w:val="0"/>
        <w:numPr>
          <w:ilvl w:val="1"/>
          <w:numId w:val="31"/>
        </w:numPr>
        <w:pBdr>
          <w:top w:val="none" w:color="auto" w:sz="0" w:space="0"/>
          <w:left w:val="none" w:color="auto" w:sz="0" w:space="0"/>
          <w:bottom w:val="none" w:color="auto" w:sz="0" w:space="0"/>
          <w:right w:val="none" w:color="auto" w:sz="0" w:space="0"/>
        </w:pBdr>
        <w:tabs>
          <w:tab w:val="left" w:pos="540"/>
        </w:tabs>
        <w:kinsoku/>
        <w:wordWrap/>
        <w:overflowPunct/>
        <w:topLinePunct w:val="0"/>
        <w:autoSpaceDE/>
        <w:autoSpaceDN/>
        <w:bidi w:val="0"/>
        <w:adjustRightInd w:val="0"/>
        <w:snapToGrid/>
        <w:spacing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建筑物共用部位：房屋承重结构（基础、承重墙体、柱、梁、楼板、屋顶）、抗震结构、户外墙面、门厅、楼梯间、走廊通道、电梯厅、连廊、架空层、设备层、管道井、电缆井、垃圾收集站房、公共卫生间、消防疏散楼梯及前室、屋顶平台、设备机房建筑本体（含配电房、水泵房、空调机房、消防泵房、电梯机房等机房的墙体、地面、门窗、照明、通风等建筑配套部分）。</w:t>
      </w:r>
    </w:p>
    <w:p>
      <w:pPr>
        <w:keepNext w:val="0"/>
        <w:keepLines w:val="0"/>
        <w:pageBreakBefore w:val="0"/>
        <w:widowControl w:val="0"/>
        <w:numPr>
          <w:ilvl w:val="1"/>
          <w:numId w:val="31"/>
        </w:numPr>
        <w:pBdr>
          <w:top w:val="none" w:color="auto" w:sz="0" w:space="0"/>
          <w:left w:val="none" w:color="auto" w:sz="0" w:space="0"/>
          <w:bottom w:val="none" w:color="auto" w:sz="0" w:space="0"/>
          <w:right w:val="none" w:color="auto" w:sz="0" w:space="0"/>
        </w:pBdr>
        <w:tabs>
          <w:tab w:val="left" w:pos="540"/>
        </w:tabs>
        <w:kinsoku/>
        <w:wordWrap/>
        <w:overflowPunct/>
        <w:topLinePunct w:val="0"/>
        <w:autoSpaceDE/>
        <w:autoSpaceDN/>
        <w:bidi w:val="0"/>
        <w:adjustRightInd w:val="0"/>
        <w:snapToGrid/>
        <w:spacing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共用设施设备系统：供配电系统（变配电所高压柜、低压柜、电容柜、变压器、备用发电机组及其配套设备、公共照明系统含路灯、景观灯、应急照明、楼层配电箱、供电主干线路、电缆桥架）；给排水系统（生活水泵房、消防水泵房、水箱/水池、给排水主干管网、雨水系统、污水系统、化粪池、隔油池、中水系统&lt;如有&gt;、集水井及排水泵）；中央空调系统（制冷主机、冷却塔、循环水泵、空调末端设备含风机盘管、新风机组、空调风管、空调水系统管网、温控系统）；消防系统（火灾自动报警系统、消防联动控制设备、消火栓系统、自动喷水灭火系统、防排烟系统、消防广播及通讯系统、气体灭火系统、应急照明及疏散指示、灭火器、消防水池/水箱）；电梯系统（客梯、货梯、扶梯及其附属安全装置、五方对讲系统）；其他设施（避雷设施、通风系统、燃气系统&lt;如有&gt;、通信管线及共用天线、背景音乐及紧急广播系统）；安防系统&lt;如有&gt;（视频监控系统含摄像机、录像机、存储设备、入侵报警系统、门禁系统、电子巡更系统、停车场管理系统）。</w:t>
      </w:r>
    </w:p>
    <w:p>
      <w:pPr>
        <w:keepNext w:val="0"/>
        <w:keepLines w:val="0"/>
        <w:pageBreakBefore w:val="0"/>
        <w:widowControl w:val="0"/>
        <w:numPr>
          <w:ilvl w:val="1"/>
          <w:numId w:val="31"/>
        </w:numPr>
        <w:pBdr>
          <w:top w:val="none" w:color="auto" w:sz="0" w:space="0"/>
          <w:left w:val="none" w:color="auto" w:sz="0" w:space="0"/>
          <w:bottom w:val="none" w:color="auto" w:sz="0" w:space="0"/>
          <w:right w:val="none" w:color="auto" w:sz="0" w:space="0"/>
        </w:pBdr>
        <w:tabs>
          <w:tab w:val="left" w:pos="540"/>
        </w:tabs>
        <w:kinsoku/>
        <w:wordWrap/>
        <w:overflowPunct/>
        <w:topLinePunct w:val="0"/>
        <w:autoSpaceDE/>
        <w:autoSpaceDN/>
        <w:bidi w:val="0"/>
        <w:adjustRightInd w:val="0"/>
        <w:snapToGrid/>
        <w:spacing w:line="400" w:lineRule="exact"/>
        <w:ind w:left="0" w:leftChars="0" w:firstLine="480" w:firstLineChars="200"/>
        <w:jc w:val="left"/>
        <w:textAlignment w:val="auto"/>
        <w:rPr>
          <w:rFonts w:hint="eastAsia" w:ascii="宋体" w:hAnsi="宋体" w:eastAsia="宋体" w:cs="宋体"/>
          <w:b w:val="0"/>
          <w:color w:val="auto"/>
          <w:sz w:val="24"/>
          <w:szCs w:val="24"/>
          <w:highlight w:val="none"/>
          <w:lang w:bidi="ar"/>
        </w:rPr>
      </w:pPr>
      <w:r>
        <w:rPr>
          <w:rFonts w:hint="eastAsia" w:ascii="宋体" w:hAnsi="宋体" w:eastAsia="宋体" w:cs="宋体"/>
          <w:color w:val="auto"/>
          <w:sz w:val="24"/>
          <w:szCs w:val="24"/>
          <w:highlight w:val="none"/>
          <w:lang w:val="en-US" w:eastAsia="zh-CN" w:bidi="ar"/>
        </w:rPr>
        <w:t>公共区域：园区道路、广场、停车场、地下车库、绿化用地、景观水体、围墙、大门、岗亭、运动场地、公共休闲设施。</w:t>
      </w:r>
    </w:p>
    <w:p>
      <w:pPr>
        <w:keepNext w:val="0"/>
        <w:keepLines w:val="0"/>
        <w:pageBreakBefore w:val="0"/>
        <w:widowControl w:val="0"/>
        <w:numPr>
          <w:ilvl w:val="0"/>
          <w:numId w:val="32"/>
        </w:numPr>
        <w:kinsoku/>
        <w:wordWrap/>
        <w:overflowPunct/>
        <w:topLinePunct w:val="0"/>
        <w:autoSpaceDE/>
        <w:autoSpaceDN/>
        <w:bidi w:val="0"/>
        <w:adjustRightInd/>
        <w:snapToGrid/>
        <w:spacing w:line="400" w:lineRule="exact"/>
        <w:ind w:left="0" w:leftChars="0" w:firstLine="482" w:firstLineChars="200"/>
        <w:textAlignment w:val="auto"/>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pPr>
      <w:r>
        <w:rPr>
          <w:rStyle w:val="16"/>
          <w:rFonts w:hint="eastAsia" w:ascii="宋体" w:hAnsi="宋体" w:eastAsia="宋体" w:cs="宋体"/>
          <w:b/>
          <w:bCs/>
          <w:i w:val="0"/>
          <w:caps w:val="0"/>
          <w:color w:val="auto"/>
          <w:spacing w:val="0"/>
          <w:kern w:val="0"/>
          <w:sz w:val="24"/>
          <w:szCs w:val="24"/>
          <w:highlight w:val="none"/>
          <w:shd w:val="clear" w:fill="FFFFFF"/>
          <w:vertAlign w:val="baseline"/>
          <w:lang w:val="en-US" w:eastAsia="zh-CN" w:bidi="ar"/>
        </w:rPr>
        <w:t>服务期限和费用</w:t>
      </w:r>
      <w:bookmarkStart w:id="26" w:name="OLE_LINK6"/>
      <w:r>
        <w:rPr>
          <w:rStyle w:val="16"/>
          <w:rFonts w:hint="eastAsia" w:ascii="宋体" w:hAnsi="宋体" w:eastAsia="宋体" w:cs="宋体"/>
          <w:b/>
          <w:bCs/>
          <w:i w:val="0"/>
          <w:caps w:val="0"/>
          <w:color w:val="auto"/>
          <w:spacing w:val="0"/>
          <w:kern w:val="0"/>
          <w:sz w:val="24"/>
          <w:szCs w:val="24"/>
          <w:highlight w:val="none"/>
          <w:shd w:val="clear" w:fill="FFFFFF"/>
          <w:vertAlign w:val="baseline"/>
          <w:lang w:val="en-US" w:eastAsia="zh-CN" w:bidi="ar"/>
        </w:rPr>
        <w:br w:type="textWrapping"/>
      </w: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t>本合同项下物业服务费为固定总价，不因园区入驻率变化、人员成本波动、材料价格涨跌等因素</w:t>
      </w:r>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调整。服务期限内每月包干费用为人民币【】元（大写：【】元整），自【】年【】月【】日起至【】年【】月【】日止，合同期内总价款合计人民币【】元（大写：【】元整）。</w:t>
      </w:r>
    </w:p>
    <w:p>
      <w:pPr>
        <w:keepNext w:val="0"/>
        <w:keepLines w:val="0"/>
        <w:pageBreakBefore w:val="0"/>
        <w:widowControl w:val="0"/>
        <w:numPr>
          <w:ilvl w:val="0"/>
          <w:numId w:val="32"/>
        </w:numPr>
        <w:kinsoku/>
        <w:wordWrap/>
        <w:overflowPunct/>
        <w:topLinePunct w:val="0"/>
        <w:autoSpaceDE/>
        <w:autoSpaceDN/>
        <w:bidi w:val="0"/>
        <w:adjustRightInd/>
        <w:snapToGrid/>
        <w:spacing w:line="400" w:lineRule="exact"/>
        <w:ind w:left="0" w:leftChars="0" w:firstLine="482" w:firstLineChars="200"/>
        <w:textAlignment w:val="auto"/>
        <w:rPr>
          <w:rStyle w:val="16"/>
          <w:rFonts w:hint="eastAsia" w:ascii="宋体" w:hAnsi="宋体" w:eastAsia="宋体" w:cs="宋体"/>
          <w:b/>
          <w:bCs/>
          <w:i w:val="0"/>
          <w:caps w:val="0"/>
          <w:color w:val="auto"/>
          <w:spacing w:val="0"/>
          <w:kern w:val="0"/>
          <w:sz w:val="24"/>
          <w:szCs w:val="24"/>
          <w:highlight w:val="none"/>
          <w:shd w:val="clear" w:fill="FFFFFF"/>
          <w:vertAlign w:val="baseline"/>
          <w:lang w:val="en-US" w:eastAsia="zh-CN" w:bidi="ar"/>
        </w:rPr>
      </w:pPr>
      <w:bookmarkStart w:id="27" w:name="OLE_LINK13"/>
      <w:bookmarkStart w:id="28" w:name="OLE_LINK23"/>
      <w:r>
        <w:rPr>
          <w:rStyle w:val="16"/>
          <w:rFonts w:hint="eastAsia" w:ascii="宋体" w:hAnsi="宋体" w:eastAsia="宋体" w:cs="宋体"/>
          <w:b/>
          <w:bCs/>
          <w:i w:val="0"/>
          <w:caps w:val="0"/>
          <w:color w:val="auto"/>
          <w:spacing w:val="0"/>
          <w:kern w:val="0"/>
          <w:sz w:val="24"/>
          <w:szCs w:val="24"/>
          <w:highlight w:val="none"/>
          <w:shd w:val="clear" w:fill="FFFFFF"/>
          <w:vertAlign w:val="baseline"/>
          <w:lang w:val="en-US" w:eastAsia="zh-CN" w:bidi="ar"/>
        </w:rPr>
        <w:t>费用说明</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00" w:lineRule="exact"/>
        <w:ind w:left="0" w:leftChars="0" w:right="0" w:rightChars="0" w:firstLine="480" w:firstLineChars="200"/>
        <w:jc w:val="left"/>
        <w:textAlignment w:val="baseline"/>
        <w:rPr>
          <w:rFonts w:hint="eastAsia" w:ascii="宋体" w:hAnsi="宋体" w:eastAsia="宋体" w:cs="宋体"/>
          <w:b w:val="0"/>
          <w:bCs w:val="0"/>
          <w:color w:val="auto"/>
          <w:sz w:val="24"/>
          <w:szCs w:val="24"/>
          <w:highlight w:val="none"/>
        </w:rPr>
      </w:pPr>
      <w:bookmarkStart w:id="29" w:name="OLE_LINK21"/>
      <w:bookmarkStart w:id="30" w:name="OLE_LINK16"/>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包干费用包括但不限于以下项目：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00" w:lineRule="exact"/>
        <w:ind w:left="0" w:leftChars="0" w:right="0" w:firstLine="480" w:firstLineChars="200"/>
        <w:jc w:val="left"/>
        <w:textAlignment w:val="baseline"/>
        <w:rPr>
          <w:rFonts w:hint="eastAsia" w:ascii="宋体" w:hAnsi="宋体" w:eastAsia="宋体" w:cs="宋体"/>
          <w:b w:val="0"/>
          <w:bCs w:val="0"/>
          <w:i w:val="0"/>
          <w:caps w:val="0"/>
          <w:color w:val="auto"/>
          <w:spacing w:val="0"/>
          <w:sz w:val="24"/>
          <w:szCs w:val="24"/>
          <w:highlight w:val="none"/>
        </w:rPr>
      </w:pPr>
      <w:r>
        <w:rPr>
          <w:rStyle w:val="16"/>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1.人员成本：</w:t>
      </w:r>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全部服务人员（含项目经理、安保、客服、工程、环境等）的薪酬、福利、法定社保、公积金、加班费、高温补贴、工服、劳保用品及培训费用。</w:t>
      </w:r>
      <w:r>
        <w:rPr>
          <w:rStyle w:val="16"/>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注：本项费用已包含日常维保、零星维修及紧急抢险的全部人工费用，甲方不再另行支付。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00" w:lineRule="exact"/>
        <w:ind w:left="0" w:leftChars="0" w:right="0" w:firstLine="480" w:firstLineChars="200"/>
        <w:jc w:val="left"/>
        <w:textAlignment w:val="baseline"/>
        <w:rPr>
          <w:rFonts w:hint="eastAsia" w:ascii="宋体" w:hAnsi="宋体" w:eastAsia="宋体" w:cs="宋体"/>
          <w:b w:val="0"/>
          <w:bCs w:val="0"/>
          <w:i w:val="0"/>
          <w:caps w:val="0"/>
          <w:color w:val="auto"/>
          <w:spacing w:val="0"/>
          <w:sz w:val="24"/>
          <w:szCs w:val="24"/>
          <w:highlight w:val="none"/>
        </w:rPr>
      </w:pPr>
      <w:r>
        <w:rPr>
          <w:rStyle w:val="16"/>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2.行政办公费用：</w:t>
      </w:r>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物业管理处日常办公、档案管理、通讯、软件使用、客户服务耗材等费用。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00" w:lineRule="exact"/>
        <w:ind w:left="0" w:leftChars="0" w:right="0" w:firstLine="480" w:firstLineChars="200"/>
        <w:jc w:val="left"/>
        <w:textAlignment w:val="baseline"/>
        <w:rPr>
          <w:rFonts w:hint="eastAsia" w:ascii="宋体" w:hAnsi="宋体" w:eastAsia="宋体" w:cs="宋体"/>
          <w:b w:val="0"/>
          <w:bCs w:val="0"/>
          <w:color w:val="auto"/>
          <w:sz w:val="24"/>
          <w:szCs w:val="24"/>
          <w:highlight w:val="none"/>
          <w:lang w:val="en-US" w:eastAsia="zh-CN"/>
        </w:rPr>
      </w:pPr>
      <w:bookmarkStart w:id="31" w:name="OLE_LINK19"/>
      <w:r>
        <w:rPr>
          <w:rStyle w:val="16"/>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3.共用部位及设施设备运行维护材料费：</w:t>
      </w:r>
      <w:bookmarkEnd w:id="31"/>
      <w:r>
        <w:rPr>
          <w:rFonts w:hint="eastAsia" w:ascii="宋体" w:hAnsi="宋体" w:eastAsia="宋体" w:cs="宋体"/>
          <w:b w:val="0"/>
          <w:bCs w:val="0"/>
          <w:i w:val="0"/>
          <w:caps w:val="0"/>
          <w:color w:val="auto"/>
          <w:spacing w:val="0"/>
          <w:sz w:val="24"/>
          <w:szCs w:val="24"/>
          <w:highlight w:val="none"/>
          <w:shd w:val="clear" w:fill="FFFFFF"/>
        </w:rPr>
        <w:t>日常巡检、清洁用品</w:t>
      </w:r>
      <w:r>
        <w:rPr>
          <w:rFonts w:hint="eastAsia" w:ascii="宋体" w:hAnsi="宋体" w:eastAsia="宋体" w:cs="宋体"/>
          <w:b w:val="0"/>
          <w:bCs w:val="0"/>
          <w:i w:val="0"/>
          <w:caps w:val="0"/>
          <w:color w:val="auto"/>
          <w:spacing w:val="0"/>
          <w:sz w:val="24"/>
          <w:szCs w:val="24"/>
          <w:highlight w:val="none"/>
          <w:shd w:val="clear" w:fill="FFFFFF"/>
          <w:lang w:eastAsia="zh-CN"/>
        </w:rPr>
        <w:t>；</w:t>
      </w:r>
      <w:r>
        <w:rPr>
          <w:rFonts w:hint="eastAsia" w:ascii="宋体" w:hAnsi="宋体" w:eastAsia="宋体" w:cs="宋体"/>
          <w:b w:val="0"/>
          <w:bCs w:val="0"/>
          <w:i w:val="0"/>
          <w:caps w:val="0"/>
          <w:color w:val="auto"/>
          <w:spacing w:val="0"/>
          <w:sz w:val="24"/>
          <w:szCs w:val="24"/>
          <w:highlight w:val="none"/>
          <w:shd w:val="clear" w:fill="FFFFFF"/>
        </w:rPr>
        <w:t>零星维修（单项材料费≤200元）年度材料费总额10万元已含在包干费内，乙方必须先行使用；每季度末向甲方提交《季度材料费使用台账》（含物料名称、数量、单价、使用地点、照片），年度10万元额度内未实际使用的金额，甲方有权在合同年度最后一个月服务费中等额扣回，乙方不得以此为由降低服务标准或拒绝维修。额度用尽后，超出部分须事前报甲方审批，甲方另行核定费用。</w:t>
      </w:r>
      <w:r>
        <w:rPr>
          <w:rFonts w:hint="eastAsia" w:ascii="宋体" w:hAnsi="宋体" w:eastAsia="宋体" w:cs="宋体"/>
          <w:b w:val="0"/>
          <w:bCs w:val="0"/>
          <w:i w:val="0"/>
          <w:caps w:val="0"/>
          <w:color w:val="auto"/>
          <w:spacing w:val="0"/>
          <w:sz w:val="24"/>
          <w:szCs w:val="24"/>
          <w:highlight w:val="none"/>
          <w:shd w:val="clear" w:fill="FFFFFF"/>
          <w:lang w:val="en-US" w:eastAsia="zh-CN"/>
        </w:rPr>
        <w:t>乙方应当合理使用</w:t>
      </w:r>
      <w:r>
        <w:rPr>
          <w:rFonts w:hint="eastAsia" w:ascii="宋体" w:hAnsi="宋体" w:eastAsia="宋体" w:cs="宋体"/>
          <w:b w:val="0"/>
          <w:bCs w:val="0"/>
          <w:i w:val="0"/>
          <w:caps w:val="0"/>
          <w:color w:val="auto"/>
          <w:spacing w:val="0"/>
          <w:sz w:val="24"/>
          <w:szCs w:val="24"/>
          <w:highlight w:val="none"/>
          <w:shd w:val="clear" w:fill="FFFFFF"/>
        </w:rPr>
        <w:t>零星维修</w:t>
      </w:r>
      <w:r>
        <w:rPr>
          <w:rFonts w:hint="eastAsia" w:ascii="宋体" w:hAnsi="宋体" w:eastAsia="宋体" w:cs="宋体"/>
          <w:b w:val="0"/>
          <w:bCs w:val="0"/>
          <w:i w:val="0"/>
          <w:caps w:val="0"/>
          <w:color w:val="auto"/>
          <w:spacing w:val="0"/>
          <w:sz w:val="24"/>
          <w:szCs w:val="24"/>
          <w:highlight w:val="none"/>
          <w:shd w:val="clear" w:fill="FFFFFF"/>
          <w:lang w:val="en-US" w:eastAsia="zh-CN"/>
        </w:rPr>
        <w:t>材料费额度，采购材料价格应当合理，不过分超出市场价，数量恰当、不浪费，如发现乙方存在弄虚作假、恶意消耗额度等情形的，甲方有权追回相关材料费用，并有权按所涉金额的2倍扣除乙方服务费。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00" w:lineRule="exact"/>
        <w:ind w:left="0" w:leftChars="0" w:right="0" w:firstLine="480" w:firstLineChars="200"/>
        <w:jc w:val="left"/>
        <w:textAlignment w:val="baseline"/>
        <w:rPr>
          <w:rFonts w:hint="eastAsia" w:ascii="宋体" w:hAnsi="宋体" w:eastAsia="宋体" w:cs="宋体"/>
          <w:b w:val="0"/>
          <w:bCs w:val="0"/>
          <w:i w:val="0"/>
          <w:caps w:val="0"/>
          <w:color w:val="auto"/>
          <w:spacing w:val="0"/>
          <w:sz w:val="24"/>
          <w:szCs w:val="24"/>
          <w:highlight w:val="none"/>
        </w:rPr>
      </w:pPr>
      <w:r>
        <w:rPr>
          <w:rStyle w:val="16"/>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4.专业设备维保费用：</w:t>
      </w:r>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电梯、消防系统、</w:t>
      </w:r>
      <w:r>
        <w:rPr>
          <w:rFonts w:hint="eastAsia" w:ascii="宋体" w:hAnsi="宋体" w:eastAsia="宋体" w:cs="宋体"/>
          <w:b w:val="0"/>
          <w:bCs w:val="0"/>
          <w:color w:val="auto"/>
          <w:sz w:val="24"/>
          <w:szCs w:val="24"/>
          <w:highlight w:val="none"/>
          <w:lang w:val="en-US" w:eastAsia="zh-CN"/>
        </w:rPr>
        <w:t>变配电所（高压柜、低压柜、电容柜、变压器）、备用发电机组及其配套设备</w:t>
      </w:r>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等依法须由专业机构实施的维保、检测、校验费用，</w:t>
      </w:r>
      <w:r>
        <w:rPr>
          <w:rStyle w:val="16"/>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包含在本合同包干费中</w:t>
      </w:r>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。由乙方负责选聘具备法定资质的专业机构实施，并进行日常管理、协调及验收，确保维保质量达标。相关维保合同、记录须报甲方备案。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00" w:lineRule="exact"/>
        <w:ind w:left="0" w:leftChars="0" w:right="0" w:firstLine="480" w:firstLineChars="200"/>
        <w:jc w:val="left"/>
        <w:textAlignment w:val="baseline"/>
        <w:rPr>
          <w:rFonts w:hint="eastAsia" w:ascii="宋体" w:hAnsi="宋体" w:eastAsia="宋体" w:cs="宋体"/>
          <w:b w:val="0"/>
          <w:bCs w:val="0"/>
          <w:i w:val="0"/>
          <w:caps w:val="0"/>
          <w:color w:val="auto"/>
          <w:spacing w:val="0"/>
          <w:sz w:val="24"/>
          <w:szCs w:val="24"/>
          <w:highlight w:val="none"/>
        </w:rPr>
      </w:pPr>
      <w:r>
        <w:rPr>
          <w:rStyle w:val="16"/>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5.紧急抢险费用：</w:t>
      </w:r>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危及人身财产安全或严重影响项目运营的突发故障（详见本条说明），所产生材料费据实报销（不计入10万元额度）。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00" w:lineRule="exact"/>
        <w:ind w:left="0" w:leftChars="0" w:right="0" w:firstLine="480" w:firstLineChars="200"/>
        <w:jc w:val="left"/>
        <w:textAlignment w:val="baseline"/>
        <w:rPr>
          <w:rFonts w:hint="eastAsia" w:ascii="宋体" w:hAnsi="宋体" w:eastAsia="宋体" w:cs="宋体"/>
          <w:b w:val="0"/>
          <w:bCs w:val="0"/>
          <w:i w:val="0"/>
          <w:caps w:val="0"/>
          <w:color w:val="auto"/>
          <w:spacing w:val="0"/>
          <w:sz w:val="24"/>
          <w:szCs w:val="24"/>
          <w:highlight w:val="none"/>
        </w:rPr>
      </w:pPr>
      <w:r>
        <w:rPr>
          <w:rStyle w:val="16"/>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6.清洁绿化费用：</w:t>
      </w:r>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保洁耗材、垃圾清运、化粪池清掏、</w:t>
      </w:r>
      <w:bookmarkStart w:id="32" w:name="OLE_LINK29"/>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石材养护（面积约4500</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w:t>
      </w:r>
      <w:bookmarkEnd w:id="32"/>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、有害生物防治（四害消杀、白蚁防治）、绿化养护（修剪、施肥、补植、病虫害防治）。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00" w:lineRule="exact"/>
        <w:ind w:left="0" w:leftChars="0" w:right="0" w:firstLine="480" w:firstLineChars="200"/>
        <w:jc w:val="left"/>
        <w:textAlignment w:val="baseline"/>
        <w:rPr>
          <w:rFonts w:hint="eastAsia" w:ascii="宋体" w:hAnsi="宋体" w:eastAsia="宋体" w:cs="宋体"/>
          <w:b w:val="0"/>
          <w:bCs w:val="0"/>
          <w:i w:val="0"/>
          <w:caps w:val="0"/>
          <w:color w:val="auto"/>
          <w:spacing w:val="0"/>
          <w:sz w:val="24"/>
          <w:szCs w:val="24"/>
          <w:highlight w:val="none"/>
          <w:shd w:val="clear" w:fill="FFFFFF"/>
        </w:rPr>
      </w:pPr>
      <w:bookmarkStart w:id="33" w:name="OLE_LINK18"/>
      <w:r>
        <w:rPr>
          <w:rStyle w:val="16"/>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7.秩序维护费用：</w:t>
      </w:r>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安保器材、交通设施、应急演练物资；</w:t>
      </w:r>
      <w:bookmarkEnd w:id="33"/>
      <w:r>
        <w:rPr>
          <w:rFonts w:hint="eastAsia" w:ascii="宋体" w:hAnsi="宋体" w:eastAsia="宋体" w:cs="宋体"/>
          <w:b w:val="0"/>
          <w:bCs w:val="0"/>
          <w:i w:val="0"/>
          <w:caps w:val="0"/>
          <w:color w:val="auto"/>
          <w:spacing w:val="0"/>
          <w:sz w:val="24"/>
          <w:szCs w:val="24"/>
          <w:highlight w:val="none"/>
          <w:shd w:val="clear" w:fill="FFFFFF"/>
        </w:rPr>
        <w:t>原有消防器材的充装、更换（包括灭火剂、灭火器、应急灯等）由甲方自行委托具备资质的单位实施并直接支付费用，乙方仅负责日常检查登记并提前向甲方书面报告需充装/更换的器材清单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00" w:lineRule="exact"/>
        <w:ind w:left="0" w:leftChars="0" w:right="0" w:firstLine="480" w:firstLineChars="200"/>
        <w:jc w:val="left"/>
        <w:textAlignment w:val="baseline"/>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pPr>
      <w:r>
        <w:rPr>
          <w:rStyle w:val="16"/>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8.保险费用：场地的</w:t>
      </w:r>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公众责任险（保额≥300万元）。乙方须为本合同服务范围投保足额的公众责任险，投保范围须能够覆盖全部服务场地范围，且保险期限须覆盖本合同约定的服务期限。乙方投保后，应将相关的保单等保险资料提交至甲方审核备案，如乙方未按约完成投保的，甲方有权不予支付服务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00" w:lineRule="exact"/>
        <w:ind w:left="0" w:leftChars="0" w:right="0" w:firstLine="480" w:firstLineChars="200"/>
        <w:jc w:val="left"/>
        <w:textAlignment w:val="baseline"/>
        <w:rPr>
          <w:rFonts w:hint="eastAsia" w:ascii="宋体" w:hAnsi="宋体" w:eastAsia="宋体" w:cs="宋体"/>
          <w:b w:val="0"/>
          <w:bCs w:val="0"/>
          <w:i w:val="0"/>
          <w:caps w:val="0"/>
          <w:color w:val="auto"/>
          <w:spacing w:val="0"/>
          <w:sz w:val="24"/>
          <w:szCs w:val="24"/>
          <w:highlight w:val="none"/>
          <w:shd w:val="clear" w:fill="FFFFFF"/>
          <w:lang w:val="en-US" w:eastAsia="zh-CN"/>
        </w:rPr>
      </w:pPr>
      <w:r>
        <w:rPr>
          <w:rFonts w:hint="eastAsia" w:ascii="宋体" w:hAnsi="宋体" w:eastAsia="宋体" w:cs="宋体"/>
          <w:b w:val="0"/>
          <w:bCs w:val="0"/>
          <w:i w:val="0"/>
          <w:caps w:val="0"/>
          <w:color w:val="auto"/>
          <w:spacing w:val="0"/>
          <w:sz w:val="24"/>
          <w:szCs w:val="24"/>
          <w:highlight w:val="none"/>
          <w:shd w:val="clear" w:fill="FFFFFF"/>
          <w:lang w:val="en-US" w:eastAsia="zh-CN"/>
        </w:rPr>
        <w:t>9</w:t>
      </w:r>
      <w:r>
        <w:rPr>
          <w:rFonts w:hint="eastAsia" w:ascii="宋体" w:hAnsi="宋体" w:eastAsia="宋体" w:cs="宋体"/>
          <w:b w:val="0"/>
          <w:bCs w:val="0"/>
          <w:i w:val="0"/>
          <w:caps w:val="0"/>
          <w:color w:val="auto"/>
          <w:spacing w:val="0"/>
          <w:sz w:val="24"/>
          <w:szCs w:val="24"/>
          <w:highlight w:val="none"/>
          <w:shd w:val="clear" w:fill="FFFFFF"/>
        </w:rPr>
        <w:t>.中央空调输配管网及末端设备维保接口</w:t>
      </w:r>
      <w:r>
        <w:rPr>
          <w:rFonts w:hint="eastAsia" w:ascii="宋体" w:hAnsi="宋体" w:eastAsia="宋体" w:cs="宋体"/>
          <w:b w:val="0"/>
          <w:bCs w:val="0"/>
          <w:i w:val="0"/>
          <w:caps w:val="0"/>
          <w:color w:val="auto"/>
          <w:spacing w:val="0"/>
          <w:sz w:val="24"/>
          <w:szCs w:val="24"/>
          <w:highlight w:val="none"/>
          <w:shd w:val="clear" w:fill="FFFFFF"/>
          <w:lang w:eastAsia="zh-CN"/>
        </w:rPr>
        <w:t>：</w:t>
      </w:r>
      <w:r>
        <w:rPr>
          <w:rFonts w:hint="eastAsia" w:ascii="宋体" w:hAnsi="宋体" w:eastAsia="宋体" w:cs="宋体"/>
          <w:b w:val="0"/>
          <w:bCs w:val="0"/>
          <w:i w:val="0"/>
          <w:caps w:val="0"/>
          <w:color w:val="auto"/>
          <w:spacing w:val="0"/>
          <w:sz w:val="24"/>
          <w:szCs w:val="24"/>
          <w:highlight w:val="none"/>
          <w:shd w:val="clear" w:fill="FFFFFF"/>
        </w:rPr>
        <w:t>乙方须指定专人对接甲方书面指定的中央空调输配管网及末端设备维保单位，负责：日常巡检问题汇总与移交；</w:t>
      </w:r>
      <w:bookmarkStart w:id="34" w:name="OLE_LINK24"/>
      <w:r>
        <w:rPr>
          <w:rFonts w:hint="eastAsia" w:ascii="宋体" w:hAnsi="宋体" w:eastAsia="宋体" w:cs="宋体"/>
          <w:b w:val="0"/>
          <w:bCs w:val="0"/>
          <w:i w:val="0"/>
          <w:caps w:val="0"/>
          <w:color w:val="auto"/>
          <w:spacing w:val="0"/>
          <w:sz w:val="24"/>
          <w:szCs w:val="24"/>
          <w:highlight w:val="none"/>
          <w:shd w:val="clear" w:fill="FFFFFF"/>
        </w:rPr>
        <w:t>现场旁站、</w:t>
      </w:r>
      <w:bookmarkEnd w:id="34"/>
      <w:r>
        <w:rPr>
          <w:rFonts w:hint="eastAsia" w:ascii="宋体" w:hAnsi="宋体" w:eastAsia="宋体" w:cs="宋体"/>
          <w:b w:val="0"/>
          <w:bCs w:val="0"/>
          <w:i w:val="0"/>
          <w:caps w:val="0"/>
          <w:color w:val="auto"/>
          <w:spacing w:val="0"/>
          <w:sz w:val="24"/>
          <w:szCs w:val="24"/>
          <w:highlight w:val="none"/>
          <w:shd w:val="clear" w:fill="FFFFFF"/>
        </w:rPr>
        <w:t>验收并签字确</w:t>
      </w:r>
      <w:r>
        <w:rPr>
          <w:rFonts w:hint="eastAsia" w:ascii="宋体" w:hAnsi="宋体" w:eastAsia="宋体" w:cs="宋体"/>
          <w:b w:val="0"/>
          <w:bCs w:val="0"/>
          <w:i w:val="0"/>
          <w:caps w:val="0"/>
          <w:color w:val="auto"/>
          <w:spacing w:val="0"/>
          <w:sz w:val="24"/>
          <w:szCs w:val="24"/>
          <w:highlight w:val="none"/>
          <w:shd w:val="clear" w:fill="FFFFFF"/>
          <w:lang w:val="en-US" w:eastAsia="zh-CN"/>
        </w:rPr>
        <w:t>认。</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baseline"/>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pPr>
      <w:r>
        <w:rPr>
          <w:rFonts w:hint="eastAsia" w:ascii="宋体" w:hAnsi="宋体" w:eastAsia="宋体" w:cs="宋体"/>
          <w:b w:val="0"/>
          <w:bCs w:val="0"/>
          <w:i w:val="0"/>
          <w:caps w:val="0"/>
          <w:color w:val="auto"/>
          <w:spacing w:val="0"/>
          <w:sz w:val="24"/>
          <w:szCs w:val="24"/>
          <w:highlight w:val="none"/>
          <w:shd w:val="clear" w:fill="FFFFFF"/>
          <w:lang w:val="en-US" w:eastAsia="zh-CN"/>
        </w:rPr>
        <w:t>10.</w:t>
      </w:r>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大中修协助：乙方在日常巡检中发现建筑物或共用设施设备存在中修、大修、更新改造需求时，应于48小时内向甲方提交书面报告（含照片、初步原因分析及修复建议方案），并负责技术对接、进度督促、</w:t>
      </w:r>
      <w:r>
        <w:rPr>
          <w:rFonts w:hint="eastAsia" w:ascii="宋体" w:hAnsi="宋体" w:eastAsia="宋体" w:cs="宋体"/>
          <w:b w:val="0"/>
          <w:bCs w:val="0"/>
          <w:i w:val="0"/>
          <w:caps w:val="0"/>
          <w:color w:val="auto"/>
          <w:spacing w:val="0"/>
          <w:sz w:val="24"/>
          <w:szCs w:val="24"/>
          <w:highlight w:val="none"/>
          <w:shd w:val="clear" w:fill="FFFFFF"/>
        </w:rPr>
        <w:t>现场旁站</w:t>
      </w:r>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；甲方自行委托具备资质的单位实施并直接支付费用。</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baseline"/>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pPr>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11.旁站服务：对于不含在包干费内的中央空调输配管网及末端设备、剧院舞台设备、建（构）筑物及共用设施的中修、大修、更新改造等工程，乙方须按甲方要求提供现场旁站、进度督促、联合甲方验收，所需人工已包含在本合同包干费中，甲方不再另行支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00" w:lineRule="exact"/>
        <w:ind w:left="0" w:leftChars="0" w:right="0" w:firstLine="480" w:firstLineChars="200"/>
        <w:jc w:val="left"/>
        <w:textAlignment w:val="baseline"/>
        <w:rPr>
          <w:rFonts w:hint="eastAsia" w:ascii="宋体" w:hAnsi="宋体" w:eastAsia="宋体" w:cs="宋体"/>
          <w:b w:val="0"/>
          <w:bCs w:val="0"/>
          <w:i w:val="0"/>
          <w:caps w:val="0"/>
          <w:color w:val="auto"/>
          <w:spacing w:val="0"/>
          <w:sz w:val="24"/>
          <w:szCs w:val="24"/>
          <w:highlight w:val="none"/>
          <w:shd w:val="clear" w:fill="FFFFFF"/>
          <w:lang w:val="en-US" w:eastAsia="zh-CN"/>
        </w:rPr>
      </w:pPr>
      <w:r>
        <w:rPr>
          <w:rFonts w:hint="eastAsia" w:ascii="宋体" w:hAnsi="宋体" w:eastAsia="宋体" w:cs="宋体"/>
          <w:b w:val="0"/>
          <w:bCs w:val="0"/>
          <w:i w:val="0"/>
          <w:caps w:val="0"/>
          <w:color w:val="auto"/>
          <w:spacing w:val="0"/>
          <w:sz w:val="24"/>
          <w:szCs w:val="24"/>
          <w:highlight w:val="none"/>
          <w:shd w:val="clear" w:fill="FFFFFF"/>
          <w:lang w:val="en-US" w:eastAsia="zh-CN"/>
        </w:rPr>
        <w:t>12.</w:t>
      </w:r>
      <w:r>
        <w:rPr>
          <w:rFonts w:hint="eastAsia" w:ascii="宋体" w:hAnsi="宋体" w:eastAsia="宋体" w:cs="宋体"/>
          <w:b w:val="0"/>
          <w:bCs w:val="0"/>
          <w:i w:val="0"/>
          <w:caps w:val="0"/>
          <w:color w:val="auto"/>
          <w:spacing w:val="0"/>
          <w:sz w:val="24"/>
          <w:szCs w:val="24"/>
          <w:highlight w:val="none"/>
          <w:shd w:val="clear" w:fill="FFFFFF"/>
        </w:rPr>
        <w:t>临时任务：</w:t>
      </w:r>
      <w:bookmarkStart w:id="35" w:name="OLE_LINK17"/>
      <w:r>
        <w:rPr>
          <w:rFonts w:hint="eastAsia" w:ascii="宋体" w:hAnsi="宋体" w:eastAsia="宋体" w:cs="宋体"/>
          <w:b w:val="0"/>
          <w:bCs w:val="0"/>
          <w:i w:val="0"/>
          <w:caps w:val="0"/>
          <w:color w:val="auto"/>
          <w:spacing w:val="0"/>
          <w:sz w:val="24"/>
          <w:szCs w:val="24"/>
          <w:highlight w:val="none"/>
          <w:shd w:val="clear" w:fill="FFFFFF"/>
        </w:rPr>
        <w:t>项目内日常家具、设备、展板等大件物品场内搬运及项目内举办活动、演出等增援，由乙方在现有在岗人员范围内调配（含项目经理、客服现场增援）</w:t>
      </w:r>
      <w:r>
        <w:rPr>
          <w:rFonts w:hint="eastAsia" w:ascii="宋体" w:hAnsi="宋体" w:eastAsia="宋体" w:cs="宋体"/>
          <w:b w:val="0"/>
          <w:bCs w:val="0"/>
          <w:i w:val="0"/>
          <w:caps w:val="0"/>
          <w:color w:val="auto"/>
          <w:spacing w:val="0"/>
          <w:sz w:val="24"/>
          <w:szCs w:val="24"/>
          <w:highlight w:val="none"/>
          <w:shd w:val="clear" w:fill="FFFFFF"/>
          <w:lang w:eastAsia="zh-CN"/>
        </w:rPr>
        <w:t>。</w:t>
      </w:r>
    </w:p>
    <w:bookmarkEnd w:id="35"/>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00" w:lineRule="exact"/>
        <w:ind w:left="0" w:leftChars="0" w:right="0" w:firstLine="480" w:firstLineChars="200"/>
        <w:jc w:val="left"/>
        <w:textAlignment w:val="baseline"/>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pPr>
      <w:r>
        <w:rPr>
          <w:rStyle w:val="16"/>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13.企业管理费、合理利润及法定税费：</w:t>
      </w:r>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包含增值税6%及附加税。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00" w:lineRule="exact"/>
        <w:ind w:left="0" w:leftChars="0" w:right="0" w:firstLine="480" w:firstLineChars="200"/>
        <w:jc w:val="left"/>
        <w:textAlignment w:val="baseline"/>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pPr>
      <w:r>
        <w:rPr>
          <w:rStyle w:val="16"/>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14.其他费用：</w:t>
      </w:r>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服装费、不可预见费等完成本合同所需的一切费用。</w:t>
      </w:r>
    </w:p>
    <w:bookmarkEnd w:id="29"/>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00" w:lineRule="exact"/>
        <w:ind w:left="0" w:leftChars="0" w:right="0" w:firstLine="480" w:firstLineChars="200"/>
        <w:jc w:val="left"/>
        <w:textAlignment w:val="baseline"/>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pPr>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00" w:lineRule="exact"/>
        <w:ind w:left="0" w:leftChars="0" w:right="0" w:firstLine="480" w:firstLineChars="200"/>
        <w:jc w:val="left"/>
        <w:textAlignment w:val="baseline"/>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pPr>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①零星维修耗材：指单项材料采购价≤200元日常小修所需备品、备件、辅材，包括但不限于：给排水：DN≤50mm的阀门、软管、生料带、小规格角阀；强弱电：≤10A空开、LED灯板、面板开关、插座；门窗五金：合页、锁芯、闭门器弹簧、密封条；土建装饰：单块≤0.5㎡墙地砖、批荡砂浆、玻璃胶、油漆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00" w:lineRule="exact"/>
        <w:ind w:left="0" w:leftChars="0" w:right="0" w:firstLine="480" w:firstLineChars="200"/>
        <w:jc w:val="left"/>
        <w:textAlignment w:val="baseline"/>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pPr>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②紧急抢险：指突然发生、已或即将造成人身伤害、财产损失、园区运营中断，必须立即处置的故障，具体范围包括但不限于：电梯困人、消防管网爆裂、主配电房跳闸失电、大面积跑水、燃气泄漏、高空坠物、暴雨倒灌、极端天气导致的外围设施损毁。抢险所需材料费凭影像记录及甲方代表签字，由甲方据实结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00" w:lineRule="exact"/>
        <w:ind w:left="0" w:leftChars="0" w:right="0" w:firstLine="480" w:firstLineChars="200"/>
        <w:jc w:val="left"/>
        <w:textAlignment w:val="baseline"/>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pPr>
      <w:r>
        <w:rPr>
          <w:rStyle w:val="16"/>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③不含在总费用中的项目：</w:t>
      </w:r>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整个项目的能耗费用（水、电、燃气、空调供能费等）；中央空调输配管网及末端设备的维保维修、剧院舞台设备设施维保维修；建筑物及共用设施设备的中修、大修、更新改造</w:t>
      </w:r>
      <w:bookmarkEnd w:id="22"/>
      <w:r>
        <w:rPr>
          <w:rFonts w:hint="eastAsia" w:ascii="宋体" w:hAnsi="宋体" w:eastAsia="宋体" w:cs="宋体"/>
          <w:b w:val="0"/>
          <w:bCs w:val="0"/>
          <w:i w:val="0"/>
          <w:caps w:val="0"/>
          <w:color w:val="auto"/>
          <w:spacing w:val="0"/>
          <w:kern w:val="0"/>
          <w:sz w:val="24"/>
          <w:szCs w:val="24"/>
          <w:highlight w:val="none"/>
          <w:shd w:val="clear" w:fill="FFFFFF"/>
          <w:vertAlign w:val="baseline"/>
          <w:lang w:val="en-US" w:eastAsia="zh-CN" w:bidi="ar"/>
        </w:rPr>
        <w:t>。</w:t>
      </w:r>
    </w:p>
    <w:p>
      <w:pPr>
        <w:keepNext w:val="0"/>
        <w:keepLines w:val="0"/>
        <w:pageBreakBefore w:val="0"/>
        <w:widowControl w:val="0"/>
        <w:numPr>
          <w:ilvl w:val="0"/>
          <w:numId w:val="32"/>
        </w:numPr>
        <w:kinsoku/>
        <w:wordWrap/>
        <w:overflowPunct/>
        <w:topLinePunct w:val="0"/>
        <w:autoSpaceDE/>
        <w:autoSpaceDN/>
        <w:bidi w:val="0"/>
        <w:adjustRightInd/>
        <w:snapToGrid/>
        <w:spacing w:line="40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支付方式</w:t>
      </w:r>
    </w:p>
    <w:bookmarkEnd w:id="23"/>
    <w:bookmarkEnd w:id="26"/>
    <w:bookmarkEnd w:id="27"/>
    <w:bookmarkEnd w:id="30"/>
    <w:p>
      <w:pPr>
        <w:keepNext w:val="0"/>
        <w:keepLines w:val="0"/>
        <w:pageBreakBefore w:val="0"/>
        <w:widowControl w:val="0"/>
        <w:numPr>
          <w:ilvl w:val="0"/>
          <w:numId w:val="33"/>
        </w:numPr>
        <w:tabs>
          <w:tab w:val="left" w:pos="0"/>
        </w:tabs>
        <w:kinsoku/>
        <w:wordWrap/>
        <w:overflowPunct/>
        <w:topLinePunct w:val="0"/>
        <w:autoSpaceDE/>
        <w:autoSpaceDN/>
        <w:bidi w:val="0"/>
        <w:adjustRightInd w:val="0"/>
        <w:snapToGrid/>
        <w:spacing w:line="312" w:lineRule="auto"/>
        <w:ind w:left="5" w:leftChars="0" w:firstLine="415" w:firstLineChars="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本项目物业服务费用按月度支付。乙方提供物业服务的当月费用，甲方于次月以银行转账方式支付。</w:t>
      </w:r>
    </w:p>
    <w:p>
      <w:pPr>
        <w:keepNext w:val="0"/>
        <w:keepLines w:val="0"/>
        <w:pageBreakBefore w:val="0"/>
        <w:widowControl w:val="0"/>
        <w:numPr>
          <w:ilvl w:val="0"/>
          <w:numId w:val="33"/>
        </w:numPr>
        <w:tabs>
          <w:tab w:val="left" w:pos="0"/>
        </w:tabs>
        <w:kinsoku/>
        <w:wordWrap/>
        <w:overflowPunct/>
        <w:topLinePunct w:val="0"/>
        <w:autoSpaceDE/>
        <w:autoSpaceDN/>
        <w:bidi w:val="0"/>
        <w:adjustRightInd w:val="0"/>
        <w:snapToGrid/>
        <w:spacing w:line="312" w:lineRule="auto"/>
        <w:ind w:left="5" w:leftChars="0" w:firstLine="415" w:firstLineChars="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甲方于每月【10】日前完成对乙方上月服务的考核，并向乙方出具经双方确认的《月度考核评分表》及《服务结算单》。</w:t>
      </w:r>
    </w:p>
    <w:p>
      <w:pPr>
        <w:keepNext w:val="0"/>
        <w:keepLines w:val="0"/>
        <w:pageBreakBefore w:val="0"/>
        <w:widowControl w:val="0"/>
        <w:numPr>
          <w:ilvl w:val="0"/>
          <w:numId w:val="33"/>
        </w:numPr>
        <w:tabs>
          <w:tab w:val="left" w:pos="0"/>
        </w:tabs>
        <w:kinsoku/>
        <w:wordWrap/>
        <w:overflowPunct/>
        <w:topLinePunct w:val="0"/>
        <w:autoSpaceDE/>
        <w:autoSpaceDN/>
        <w:bidi w:val="0"/>
        <w:adjustRightInd w:val="0"/>
        <w:snapToGrid/>
        <w:spacing w:line="312" w:lineRule="auto"/>
        <w:ind w:left="5" w:leftChars="0" w:firstLine="415" w:firstLineChars="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乙方应于收到前述结算文件后【5】个工作日内，向甲方提交合法有效的增值税专用发票（税率6%）、付款申请书及考核材料等完整请款资料。甲方在收到全部合规请款材料后 20 个自然日内，向乙方支付对应服务费。</w:t>
      </w:r>
    </w:p>
    <w:p>
      <w:pPr>
        <w:keepNext w:val="0"/>
        <w:keepLines w:val="0"/>
        <w:pageBreakBefore w:val="0"/>
        <w:widowControl w:val="0"/>
        <w:numPr>
          <w:ilvl w:val="0"/>
          <w:numId w:val="33"/>
        </w:numPr>
        <w:tabs>
          <w:tab w:val="left" w:pos="0"/>
        </w:tabs>
        <w:kinsoku/>
        <w:wordWrap/>
        <w:overflowPunct/>
        <w:topLinePunct w:val="0"/>
        <w:autoSpaceDE/>
        <w:autoSpaceDN/>
        <w:bidi w:val="0"/>
        <w:adjustRightInd w:val="0"/>
        <w:snapToGrid/>
        <w:spacing w:line="312" w:lineRule="auto"/>
        <w:ind w:left="5" w:leftChars="0" w:firstLine="415"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应付月度服务费用=结合每月的</w:t>
      </w:r>
      <w:r>
        <w:rPr>
          <w:rFonts w:hint="eastAsia" w:ascii="宋体" w:hAnsi="宋体" w:eastAsia="宋体" w:cs="宋体"/>
          <w:b w:val="0"/>
          <w:bCs w:val="0"/>
          <w:color w:val="auto"/>
          <w:sz w:val="24"/>
          <w:szCs w:val="24"/>
          <w:highlight w:val="none"/>
        </w:rPr>
        <w:t>《月度考核评分表》</w:t>
      </w:r>
      <w:r>
        <w:rPr>
          <w:rFonts w:hint="eastAsia" w:ascii="宋体" w:hAnsi="宋体" w:eastAsia="宋体" w:cs="宋体"/>
          <w:bCs/>
          <w:color w:val="auto"/>
          <w:sz w:val="24"/>
          <w:szCs w:val="24"/>
          <w:highlight w:val="none"/>
        </w:rPr>
        <w:t>（如有扣罚对应扣除费用再进行支付）。</w:t>
      </w:r>
    </w:p>
    <w:p>
      <w:pPr>
        <w:keepNext w:val="0"/>
        <w:keepLines w:val="0"/>
        <w:pageBreakBefore w:val="0"/>
        <w:widowControl w:val="0"/>
        <w:numPr>
          <w:ilvl w:val="0"/>
          <w:numId w:val="0"/>
        </w:numPr>
        <w:tabs>
          <w:tab w:val="left" w:pos="2340"/>
        </w:tabs>
        <w:kinsoku/>
        <w:wordWrap/>
        <w:overflowPunct/>
        <w:topLinePunct w:val="0"/>
        <w:autoSpaceDE/>
        <w:autoSpaceDN/>
        <w:bidi w:val="0"/>
        <w:adjustRightInd w:val="0"/>
        <w:snapToGrid/>
        <w:spacing w:line="312" w:lineRule="auto"/>
        <w:ind w:left="420" w:lef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乙方</w:t>
      </w:r>
      <w:r>
        <w:rPr>
          <w:rFonts w:hint="eastAsia" w:ascii="宋体" w:hAnsi="宋体" w:eastAsia="宋体" w:cs="宋体"/>
          <w:bCs/>
          <w:color w:val="auto"/>
          <w:sz w:val="24"/>
          <w:szCs w:val="24"/>
          <w:highlight w:val="none"/>
        </w:rPr>
        <w:t>凭以下有效文件与</w:t>
      </w:r>
      <w:r>
        <w:rPr>
          <w:rFonts w:hint="eastAsia" w:ascii="宋体" w:hAnsi="宋体" w:eastAsia="宋体" w:cs="宋体"/>
          <w:bCs/>
          <w:color w:val="auto"/>
          <w:sz w:val="24"/>
          <w:szCs w:val="24"/>
          <w:highlight w:val="none"/>
          <w:lang w:eastAsia="zh-CN"/>
        </w:rPr>
        <w:t>甲方</w:t>
      </w:r>
      <w:r>
        <w:rPr>
          <w:rFonts w:hint="eastAsia" w:ascii="宋体" w:hAnsi="宋体" w:eastAsia="宋体" w:cs="宋体"/>
          <w:bCs/>
          <w:color w:val="auto"/>
          <w:sz w:val="24"/>
          <w:szCs w:val="24"/>
          <w:highlight w:val="none"/>
        </w:rPr>
        <w:t>结算：</w:t>
      </w:r>
    </w:p>
    <w:p>
      <w:pPr>
        <w:keepNext w:val="0"/>
        <w:keepLines w:val="0"/>
        <w:pageBreakBefore w:val="0"/>
        <w:widowControl w:val="0"/>
        <w:numPr>
          <w:ilvl w:val="0"/>
          <w:numId w:val="34"/>
        </w:numPr>
        <w:tabs>
          <w:tab w:val="left" w:pos="0"/>
        </w:tabs>
        <w:kinsoku/>
        <w:wordWrap/>
        <w:overflowPunct/>
        <w:topLinePunct w:val="0"/>
        <w:autoSpaceDE/>
        <w:autoSpaceDN/>
        <w:bidi w:val="0"/>
        <w:adjustRightInd w:val="0"/>
        <w:snapToGrid/>
        <w:spacing w:line="312" w:lineRule="auto"/>
        <w:ind w:left="5" w:leftChars="0" w:firstLine="415"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合同；</w:t>
      </w:r>
    </w:p>
    <w:p>
      <w:pPr>
        <w:keepNext w:val="0"/>
        <w:keepLines w:val="0"/>
        <w:pageBreakBefore w:val="0"/>
        <w:widowControl w:val="0"/>
        <w:numPr>
          <w:ilvl w:val="0"/>
          <w:numId w:val="34"/>
        </w:numPr>
        <w:tabs>
          <w:tab w:val="left" w:pos="0"/>
        </w:tabs>
        <w:kinsoku/>
        <w:wordWrap/>
        <w:overflowPunct/>
        <w:topLinePunct w:val="0"/>
        <w:autoSpaceDE/>
        <w:autoSpaceDN/>
        <w:bidi w:val="0"/>
        <w:adjustRightInd w:val="0"/>
        <w:snapToGrid/>
        <w:spacing w:line="312" w:lineRule="auto"/>
        <w:ind w:left="5" w:leftChars="0" w:firstLine="415"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乙方</w:t>
      </w:r>
      <w:r>
        <w:rPr>
          <w:rFonts w:hint="eastAsia" w:ascii="宋体" w:hAnsi="宋体" w:eastAsia="宋体" w:cs="宋体"/>
          <w:bCs/>
          <w:color w:val="auto"/>
          <w:sz w:val="24"/>
          <w:szCs w:val="24"/>
          <w:highlight w:val="none"/>
        </w:rPr>
        <w:t>开具的正式发票；</w:t>
      </w:r>
    </w:p>
    <w:p>
      <w:pPr>
        <w:keepNext w:val="0"/>
        <w:keepLines w:val="0"/>
        <w:pageBreakBefore w:val="0"/>
        <w:widowControl w:val="0"/>
        <w:numPr>
          <w:ilvl w:val="0"/>
          <w:numId w:val="34"/>
        </w:numPr>
        <w:tabs>
          <w:tab w:val="left" w:pos="0"/>
        </w:tabs>
        <w:kinsoku/>
        <w:wordWrap/>
        <w:overflowPunct/>
        <w:topLinePunct w:val="0"/>
        <w:autoSpaceDE/>
        <w:autoSpaceDN/>
        <w:bidi w:val="0"/>
        <w:adjustRightInd w:val="0"/>
        <w:snapToGrid/>
        <w:spacing w:line="312" w:lineRule="auto"/>
        <w:ind w:left="5" w:leftChars="0" w:firstLine="415"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付款申请书</w:t>
      </w:r>
      <w:r>
        <w:rPr>
          <w:rFonts w:hint="eastAsia" w:ascii="宋体" w:hAnsi="宋体" w:eastAsia="宋体" w:cs="宋体"/>
          <w:bCs/>
          <w:color w:val="auto"/>
          <w:sz w:val="24"/>
          <w:szCs w:val="24"/>
          <w:highlight w:val="none"/>
        </w:rPr>
        <w:t>（加盖</w:t>
      </w:r>
      <w:r>
        <w:rPr>
          <w:rFonts w:hint="eastAsia" w:ascii="宋体" w:hAnsi="宋体" w:eastAsia="宋体" w:cs="宋体"/>
          <w:bCs/>
          <w:color w:val="auto"/>
          <w:sz w:val="24"/>
          <w:szCs w:val="24"/>
          <w:highlight w:val="none"/>
          <w:lang w:val="en-US" w:eastAsia="zh-CN"/>
        </w:rPr>
        <w:t>乙方</w:t>
      </w:r>
      <w:r>
        <w:rPr>
          <w:rFonts w:hint="eastAsia" w:ascii="宋体" w:hAnsi="宋体" w:eastAsia="宋体" w:cs="宋体"/>
          <w:bCs/>
          <w:color w:val="auto"/>
          <w:sz w:val="24"/>
          <w:szCs w:val="24"/>
          <w:highlight w:val="none"/>
        </w:rPr>
        <w:t>公章）；</w:t>
      </w:r>
    </w:p>
    <w:p>
      <w:pPr>
        <w:keepNext w:val="0"/>
        <w:keepLines w:val="0"/>
        <w:pageBreakBefore w:val="0"/>
        <w:widowControl w:val="0"/>
        <w:numPr>
          <w:ilvl w:val="0"/>
          <w:numId w:val="34"/>
        </w:numPr>
        <w:tabs>
          <w:tab w:val="left" w:pos="0"/>
        </w:tabs>
        <w:kinsoku/>
        <w:wordWrap/>
        <w:overflowPunct/>
        <w:topLinePunct w:val="0"/>
        <w:autoSpaceDE/>
        <w:autoSpaceDN/>
        <w:bidi w:val="0"/>
        <w:adjustRightInd w:val="0"/>
        <w:snapToGrid/>
        <w:spacing w:line="312" w:lineRule="auto"/>
        <w:ind w:left="5" w:leftChars="0" w:firstLine="415"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中标通知书；</w:t>
      </w:r>
    </w:p>
    <w:p>
      <w:pPr>
        <w:keepNext w:val="0"/>
        <w:keepLines w:val="0"/>
        <w:pageBreakBefore w:val="0"/>
        <w:widowControl w:val="0"/>
        <w:numPr>
          <w:ilvl w:val="0"/>
          <w:numId w:val="34"/>
        </w:numPr>
        <w:tabs>
          <w:tab w:val="left" w:pos="0"/>
        </w:tabs>
        <w:kinsoku/>
        <w:wordWrap/>
        <w:overflowPunct/>
        <w:topLinePunct w:val="0"/>
        <w:autoSpaceDE/>
        <w:autoSpaceDN/>
        <w:bidi w:val="0"/>
        <w:adjustRightInd w:val="0"/>
        <w:snapToGrid/>
        <w:spacing w:line="312" w:lineRule="auto"/>
        <w:ind w:left="5" w:leftChars="0" w:firstLine="415"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《月度考核评分表》</w:t>
      </w:r>
      <w:r>
        <w:rPr>
          <w:rFonts w:hint="eastAsia" w:ascii="宋体" w:hAnsi="宋体" w:eastAsia="宋体" w:cs="宋体"/>
          <w:bCs/>
          <w:color w:val="auto"/>
          <w:sz w:val="24"/>
          <w:szCs w:val="24"/>
          <w:highlight w:val="none"/>
          <w:lang w:eastAsia="zh-CN"/>
        </w:rPr>
        <w:t>；</w:t>
      </w:r>
    </w:p>
    <w:p>
      <w:pPr>
        <w:keepNext w:val="0"/>
        <w:keepLines w:val="0"/>
        <w:pageBreakBefore w:val="0"/>
        <w:widowControl w:val="0"/>
        <w:numPr>
          <w:ilvl w:val="0"/>
          <w:numId w:val="34"/>
        </w:numPr>
        <w:tabs>
          <w:tab w:val="left" w:pos="0"/>
        </w:tabs>
        <w:kinsoku/>
        <w:wordWrap/>
        <w:overflowPunct/>
        <w:topLinePunct w:val="0"/>
        <w:autoSpaceDE/>
        <w:autoSpaceDN/>
        <w:bidi w:val="0"/>
        <w:adjustRightInd w:val="0"/>
        <w:snapToGrid/>
        <w:spacing w:line="312" w:lineRule="auto"/>
        <w:ind w:left="5" w:leftChars="0" w:firstLine="415" w:firstLineChars="0"/>
        <w:textAlignment w:val="auto"/>
        <w:rPr>
          <w:rFonts w:hint="eastAsia" w:ascii="宋体" w:hAnsi="宋体" w:eastAsia="宋体" w:cs="宋体"/>
          <w:bCs/>
          <w:color w:val="auto"/>
          <w:sz w:val="24"/>
          <w:szCs w:val="24"/>
          <w:highlight w:val="none"/>
        </w:rPr>
      </w:pPr>
      <w:bookmarkStart w:id="36" w:name="OLE_LINK2"/>
      <w:r>
        <w:rPr>
          <w:rFonts w:hint="eastAsia" w:ascii="宋体" w:hAnsi="宋体" w:eastAsia="宋体" w:cs="宋体"/>
          <w:bCs/>
          <w:color w:val="auto"/>
          <w:sz w:val="24"/>
          <w:szCs w:val="24"/>
          <w:highlight w:val="none"/>
          <w:lang w:eastAsia="zh-CN"/>
        </w:rPr>
        <w:t>双方确认的服务结算单</w:t>
      </w:r>
      <w:bookmarkEnd w:id="36"/>
      <w:r>
        <w:rPr>
          <w:rFonts w:hint="eastAsia" w:ascii="宋体" w:hAnsi="宋体" w:eastAsia="宋体" w:cs="宋体"/>
          <w:bCs/>
          <w:color w:val="auto"/>
          <w:sz w:val="24"/>
          <w:szCs w:val="24"/>
          <w:highlight w:val="none"/>
          <w:lang w:eastAsia="zh-CN"/>
        </w:rPr>
        <w:t>。</w:t>
      </w:r>
    </w:p>
    <w:p>
      <w:pPr>
        <w:keepNext w:val="0"/>
        <w:keepLines w:val="0"/>
        <w:pageBreakBefore w:val="0"/>
        <w:widowControl/>
        <w:suppressLineNumbers w:val="0"/>
        <w:pBdr>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after="0" w:afterAutospacing="0" w:line="400" w:lineRule="exact"/>
        <w:ind w:left="0" w:leftChars="0" w:firstLine="480" w:firstLineChars="200"/>
        <w:rPr>
          <w:rFonts w:hint="eastAsia" w:ascii="宋体" w:hAnsi="宋体" w:eastAsia="宋体" w:cs="宋体"/>
          <w:i w:val="0"/>
          <w:caps w:val="0"/>
          <w:color w:val="auto"/>
          <w:spacing w:val="8"/>
          <w:sz w:val="24"/>
          <w:szCs w:val="24"/>
          <w:highlight w:val="none"/>
        </w:rPr>
      </w:pPr>
      <w:r>
        <w:rPr>
          <w:rFonts w:hint="eastAsia" w:ascii="宋体" w:hAnsi="宋体" w:eastAsia="宋体" w:cs="宋体"/>
          <w:bCs/>
          <w:color w:val="auto"/>
          <w:sz w:val="24"/>
          <w:szCs w:val="24"/>
          <w:highlight w:val="none"/>
          <w:lang w:val="zh-CN"/>
        </w:rPr>
        <w:t>收款方、出具发票方、合同乙方均必须与乙方名称一致。</w:t>
      </w:r>
    </w:p>
    <w:bookmarkEnd w:id="24"/>
    <w:p>
      <w:pPr>
        <w:keepNext w:val="0"/>
        <w:keepLines w:val="0"/>
        <w:pageBreakBefore w:val="0"/>
        <w:widowControl w:val="0"/>
        <w:numPr>
          <w:ilvl w:val="0"/>
          <w:numId w:val="32"/>
        </w:numPr>
        <w:kinsoku/>
        <w:wordWrap/>
        <w:overflowPunct/>
        <w:topLinePunct w:val="0"/>
        <w:autoSpaceDE/>
        <w:autoSpaceDN/>
        <w:bidi w:val="0"/>
        <w:adjustRightInd/>
        <w:snapToGrid/>
        <w:spacing w:line="40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bookmarkStart w:id="37" w:name="OLE_LINK5"/>
      <w:r>
        <w:rPr>
          <w:rFonts w:hint="eastAsia" w:ascii="宋体" w:hAnsi="宋体" w:eastAsia="宋体" w:cs="宋体"/>
          <w:b/>
          <w:bCs/>
          <w:color w:val="auto"/>
          <w:sz w:val="24"/>
          <w:szCs w:val="24"/>
          <w:highlight w:val="none"/>
          <w:lang w:val="en-US" w:eastAsia="zh-CN"/>
        </w:rPr>
        <w:t>岗位人员配置要求</w:t>
      </w:r>
    </w:p>
    <w:bookmarkEnd w:id="37"/>
    <w:p>
      <w:pPr>
        <w:keepNext w:val="0"/>
        <w:keepLines w:val="0"/>
        <w:pageBreakBefore w:val="0"/>
        <w:widowControl w:val="0"/>
        <w:numPr>
          <w:ilvl w:val="0"/>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项目组织架构</w:t>
      </w:r>
    </w:p>
    <w:p>
      <w:pPr>
        <w:keepNext w:val="0"/>
        <w:keepLines w:val="0"/>
        <w:pageBreakBefore w:val="0"/>
        <w:widowControl w:val="0"/>
        <w:numPr>
          <w:ilvl w:val="-1"/>
          <w:numId w:val="0"/>
        </w:numPr>
        <w:tabs>
          <w:tab w:val="left" w:pos="540"/>
        </w:tabs>
        <w:kinsoku/>
        <w:wordWrap/>
        <w:overflowPunct/>
        <w:topLinePunct w:val="0"/>
        <w:autoSpaceDE/>
        <w:autoSpaceDN/>
        <w:bidi w:val="0"/>
        <w:adjustRightInd w:val="0"/>
        <w:snapToGrid/>
        <w:spacing w:line="312"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须搭建适配本项目全周期服务的完整组织架构，设置项目经理1名统筹项目全流程管理；配置专职客服人员1名，负责前台接待、咨询报修、投诉登记跟踪、每日服务台账录入；下设客服部、安保部、工程部、环境部四个职能部门，各部门权责清晰、人员配置满足服务标准要求。</w:t>
      </w:r>
    </w:p>
    <w:p>
      <w:pPr>
        <w:keepNext w:val="0"/>
        <w:keepLines w:val="0"/>
        <w:pageBreakBefore w:val="0"/>
        <w:widowControl w:val="0"/>
        <w:numPr>
          <w:ilvl w:val="0"/>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核心岗位人员配置标准</w:t>
      </w:r>
    </w:p>
    <w:p>
      <w:pPr>
        <w:keepNext w:val="0"/>
        <w:keepLines w:val="0"/>
        <w:pageBreakBefore w:val="0"/>
        <w:widowControl w:val="0"/>
        <w:numPr>
          <w:ilvl w:val="1"/>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项目经理</w:t>
      </w:r>
    </w:p>
    <w:p>
      <w:pPr>
        <w:keepNext w:val="0"/>
        <w:keepLines w:val="0"/>
        <w:pageBreakBefore w:val="0"/>
        <w:widowControl w:val="0"/>
        <w:numPr>
          <w:ilvl w:val="-1"/>
          <w:numId w:val="0"/>
        </w:numPr>
        <w:tabs>
          <w:tab w:val="left" w:pos="540"/>
        </w:tabs>
        <w:kinsoku/>
        <w:wordWrap/>
        <w:overflowPunct/>
        <w:topLinePunct w:val="0"/>
        <w:autoSpaceDE/>
        <w:autoSpaceDN/>
        <w:bidi w:val="0"/>
        <w:adjustRightInd w:val="0"/>
        <w:snapToGrid/>
        <w:spacing w:line="312" w:lineRule="auto"/>
        <w:ind w:left="42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本岗位配置全职在岗人员1名，不得同时兼任其他任何项目的管理职务，同时满足以下条件：</w:t>
      </w:r>
    </w:p>
    <w:p>
      <w:pPr>
        <w:keepNext w:val="0"/>
        <w:keepLines w:val="0"/>
        <w:pageBreakBefore w:val="0"/>
        <w:widowControl w:val="0"/>
        <w:numPr>
          <w:ilvl w:val="2"/>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资历要求：具备5年以上同类物业管理经验，且有独立管控建筑面积≥10万㎡（不含户外广场面积）商业物业项目的工作经历；大专及以上学历，年龄55周岁以下，身体健康能够胜任全时段现场管理工作；</w:t>
      </w:r>
    </w:p>
    <w:p>
      <w:pPr>
        <w:keepNext w:val="0"/>
        <w:keepLines w:val="0"/>
        <w:pageBreakBefore w:val="0"/>
        <w:widowControl w:val="0"/>
        <w:numPr>
          <w:ilvl w:val="2"/>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驻场要求：每周至少保证5个工作日在项目现场办公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具体时间段由甲方确认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，非现场时段须保持通讯24小时畅通；发生重大突发事件时须在30分钟内抵达现场，2小时内提交初步事件处理报告；</w:t>
      </w:r>
    </w:p>
    <w:p>
      <w:pPr>
        <w:keepNext w:val="0"/>
        <w:keepLines w:val="0"/>
        <w:pageBreakBefore w:val="0"/>
        <w:widowControl w:val="0"/>
        <w:numPr>
          <w:ilvl w:val="2"/>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工作报送要求：每周一12:00前向</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提交《项目服务简报》，内容涵盖上周工作总结、本周工作计划、重点事项推进情况等；</w:t>
      </w:r>
    </w:p>
    <w:p>
      <w:pPr>
        <w:keepNext w:val="0"/>
        <w:keepLines w:val="0"/>
        <w:pageBreakBefore w:val="0"/>
        <w:widowControl w:val="0"/>
        <w:numPr>
          <w:ilvl w:val="2"/>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人员更换要求：项目经理岗位调整须提前15日向</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提交书面申请，接替人员的资历、能力标准不得低于本岗位原配置要求，经</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审核同意后方可完成更换。</w:t>
      </w:r>
    </w:p>
    <w:p>
      <w:pPr>
        <w:keepNext w:val="0"/>
        <w:keepLines w:val="0"/>
        <w:pageBreakBefore w:val="0"/>
        <w:widowControl w:val="0"/>
        <w:numPr>
          <w:ilvl w:val="1"/>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专职客服</w:t>
      </w:r>
    </w:p>
    <w:p>
      <w:pPr>
        <w:keepNext w:val="0"/>
        <w:keepLines w:val="0"/>
        <w:pageBreakBefore w:val="0"/>
        <w:widowControl w:val="0"/>
        <w:numPr>
          <w:ilvl w:val="-1"/>
          <w:numId w:val="0"/>
        </w:numPr>
        <w:tabs>
          <w:tab w:val="left" w:pos="540"/>
        </w:tabs>
        <w:kinsoku/>
        <w:wordWrap/>
        <w:overflowPunct/>
        <w:topLinePunct w:val="0"/>
        <w:autoSpaceDE/>
        <w:autoSpaceDN/>
        <w:bidi w:val="0"/>
        <w:adjustRightInd w:val="0"/>
        <w:snapToGrid/>
        <w:spacing w:line="312"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本岗位配置全职在岗人员1名，不得同时兼任其他任何项目的客服职务，同时满足以下条件：</w:t>
      </w:r>
    </w:p>
    <w:p>
      <w:pPr>
        <w:keepNext w:val="0"/>
        <w:keepLines w:val="0"/>
        <w:pageBreakBefore w:val="0"/>
        <w:widowControl w:val="0"/>
        <w:numPr>
          <w:ilvl w:val="-1"/>
          <w:numId w:val="0"/>
        </w:numPr>
        <w:tabs>
          <w:tab w:val="left" w:pos="540"/>
        </w:tabs>
        <w:kinsoku/>
        <w:wordWrap/>
        <w:overflowPunct/>
        <w:topLinePunct w:val="0"/>
        <w:autoSpaceDE/>
        <w:autoSpaceDN/>
        <w:bidi w:val="0"/>
        <w:adjustRightInd w:val="0"/>
        <w:snapToGrid/>
        <w:spacing w:line="312"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（1）经验要求：具备1年以上同类物业客服工作经历，普通话标准，熟练操作常用办公软件及物业台账系统；</w:t>
      </w:r>
    </w:p>
    <w:p>
      <w:pPr>
        <w:keepNext w:val="0"/>
        <w:keepLines w:val="0"/>
        <w:pageBreakBefore w:val="0"/>
        <w:widowControl w:val="0"/>
        <w:numPr>
          <w:ilvl w:val="-1"/>
          <w:numId w:val="0"/>
        </w:numPr>
        <w:tabs>
          <w:tab w:val="left" w:pos="540"/>
        </w:tabs>
        <w:kinsoku/>
        <w:wordWrap/>
        <w:overflowPunct/>
        <w:topLinePunct w:val="0"/>
        <w:autoSpaceDE/>
        <w:autoSpaceDN/>
        <w:bidi w:val="0"/>
        <w:adjustRightInd w:val="0"/>
        <w:snapToGrid/>
        <w:spacing w:line="312"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（2）在岗要求：每周至少保证5个工作日在项目现场办公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具体时间段由甲方确认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，非现场时段须保持通讯24小时畅通；休假期间由项目经理顶岗值守，确保岗位不空岗、服务不中断；</w:t>
      </w:r>
    </w:p>
    <w:p>
      <w:pPr>
        <w:keepNext w:val="0"/>
        <w:keepLines w:val="0"/>
        <w:pageBreakBefore w:val="0"/>
        <w:widowControl w:val="0"/>
        <w:numPr>
          <w:ilvl w:val="-1"/>
          <w:numId w:val="0"/>
        </w:numPr>
        <w:tabs>
          <w:tab w:val="left" w:pos="540"/>
        </w:tabs>
        <w:kinsoku/>
        <w:wordWrap/>
        <w:overflowPunct/>
        <w:topLinePunct w:val="0"/>
        <w:autoSpaceDE/>
        <w:autoSpaceDN/>
        <w:bidi w:val="0"/>
        <w:adjustRightInd w:val="0"/>
        <w:snapToGrid/>
        <w:spacing w:line="312"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（3）投诉处理要求：物业常规类投诉由</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当日完成闭环处置，特殊复杂情况须第一时间向</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报备；属于</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产权范围内的设施设备、建筑结构维修类投诉，客服人员须在1小时内移交项目经理，项目经理须在48小时内出具初步处理方案并同步报送</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；每周一12:00前客服人员提交《客服周报》，汇总上周服务数据、未结案事项及推进计划；</w:t>
      </w:r>
    </w:p>
    <w:p>
      <w:pPr>
        <w:keepNext w:val="0"/>
        <w:keepLines w:val="0"/>
        <w:pageBreakBefore w:val="0"/>
        <w:widowControl w:val="0"/>
        <w:numPr>
          <w:ilvl w:val="-1"/>
          <w:numId w:val="0"/>
        </w:numPr>
        <w:tabs>
          <w:tab w:val="left" w:pos="540"/>
        </w:tabs>
        <w:kinsoku/>
        <w:wordWrap/>
        <w:overflowPunct/>
        <w:topLinePunct w:val="0"/>
        <w:autoSpaceDE/>
        <w:autoSpaceDN/>
        <w:bidi w:val="0"/>
        <w:adjustRightInd w:val="0"/>
        <w:snapToGrid/>
        <w:spacing w:line="312"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（4）人员更换要求：客服人员岗位调整须提前7日向</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提交书面申请，接替人员的资历、能力标准不得低于本岗位原配置要求，经</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审核同意后方可完成更换。</w:t>
      </w:r>
    </w:p>
    <w:p>
      <w:pPr>
        <w:keepNext w:val="0"/>
        <w:keepLines w:val="0"/>
        <w:pageBreakBefore w:val="0"/>
        <w:widowControl w:val="0"/>
        <w:numPr>
          <w:ilvl w:val="-1"/>
          <w:numId w:val="0"/>
        </w:numPr>
        <w:tabs>
          <w:tab w:val="left" w:pos="540"/>
        </w:tabs>
        <w:kinsoku/>
        <w:wordWrap/>
        <w:overflowPunct/>
        <w:topLinePunct w:val="0"/>
        <w:autoSpaceDE/>
        <w:autoSpaceDN/>
        <w:bidi w:val="0"/>
        <w:adjustRightInd w:val="0"/>
        <w:snapToGrid/>
        <w:spacing w:line="312"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注：</w:t>
      </w:r>
      <w:r>
        <w:rPr>
          <w:rFonts w:hint="eastAsia" w:ascii="宋体" w:hAnsi="宋体" w:eastAsia="宋体" w:cs="宋体"/>
          <w:color w:val="auto"/>
          <w:sz w:val="24"/>
          <w:szCs w:val="24"/>
          <w:highlight w:val="none"/>
        </w:rPr>
        <w:t>项目经理与客服人员须严格按照合同约定的当班时段在项目管理范围内履职，确需临时离开项目或调整班次的，须提前征得</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书面同意，同时做好工作无缝衔接；未履行请假或衔接手续擅自离岗的，直接按合同缺岗相关条款进行考核处理</w:t>
      </w:r>
      <w:r>
        <w:rPr>
          <w:rFonts w:hint="eastAsia" w:ascii="宋体" w:hAnsi="宋体" w:eastAsia="宋体" w:cs="宋体"/>
          <w:color w:val="auto"/>
          <w:sz w:val="24"/>
          <w:szCs w:val="24"/>
          <w:highlight w:val="none"/>
          <w:lang w:eastAsia="zh-CN"/>
        </w:rPr>
        <w:t>。</w:t>
      </w:r>
    </w:p>
    <w:p>
      <w:pPr>
        <w:keepNext w:val="0"/>
        <w:keepLines w:val="0"/>
        <w:pageBreakBefore w:val="0"/>
        <w:widowControl w:val="0"/>
        <w:numPr>
          <w:ilvl w:val="0"/>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各职能部门岗位配置要求</w:t>
      </w:r>
    </w:p>
    <w:p>
      <w:pPr>
        <w:keepNext w:val="0"/>
        <w:keepLines w:val="0"/>
        <w:pageBreakBefore w:val="0"/>
        <w:widowControl w:val="0"/>
        <w:numPr>
          <w:ilvl w:val="1"/>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安保部</w:t>
      </w:r>
    </w:p>
    <w:p>
      <w:pPr>
        <w:keepNext w:val="0"/>
        <w:keepLines w:val="0"/>
        <w:pageBreakBefore w:val="0"/>
        <w:widowControl w:val="0"/>
        <w:numPr>
          <w:ilvl w:val="2"/>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主管：专职1</w:t>
      </w:r>
      <w:r>
        <w:rPr>
          <w:rFonts w:hint="eastAsia" w:ascii="宋体" w:hAnsi="宋体" w:eastAsia="宋体" w:cs="宋体"/>
          <w:color w:val="auto"/>
          <w:sz w:val="24"/>
          <w:szCs w:val="24"/>
          <w:highlight w:val="none"/>
          <w:lang w:val="en-US" w:eastAsia="zh-CN"/>
        </w:rPr>
        <w:t>名</w:t>
      </w:r>
      <w:r>
        <w:rPr>
          <w:rFonts w:hint="eastAsia" w:ascii="宋体" w:hAnsi="宋体" w:eastAsia="宋体" w:cs="宋体"/>
          <w:color w:val="auto"/>
          <w:sz w:val="24"/>
          <w:szCs w:val="24"/>
          <w:highlight w:val="none"/>
        </w:rPr>
        <w:t>（不得兼管其他项目），</w:t>
      </w:r>
      <w:r>
        <w:rPr>
          <w:rFonts w:hint="eastAsia" w:ascii="宋体" w:hAnsi="宋体" w:eastAsia="宋体" w:cs="宋体"/>
          <w:color w:val="auto"/>
          <w:sz w:val="24"/>
          <w:szCs w:val="24"/>
          <w:highlight w:val="none"/>
          <w:lang w:val="en-US" w:eastAsia="zh-CN"/>
        </w:rPr>
        <w:t>负责</w:t>
      </w:r>
      <w:r>
        <w:rPr>
          <w:rFonts w:hint="eastAsia" w:ascii="宋体" w:hAnsi="宋体" w:eastAsia="宋体" w:cs="宋体"/>
          <w:color w:val="auto"/>
          <w:sz w:val="24"/>
          <w:szCs w:val="24"/>
          <w:highlight w:val="none"/>
        </w:rPr>
        <w:t>统筹秩序维护、人员培训、消防管理、对接</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日常工作。</w:t>
      </w:r>
    </w:p>
    <w:p>
      <w:pPr>
        <w:keepNext w:val="0"/>
        <w:keepLines w:val="0"/>
        <w:pageBreakBefore w:val="0"/>
        <w:widowControl w:val="0"/>
        <w:numPr>
          <w:ilvl w:val="2"/>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领班/班长：</w:t>
      </w:r>
      <w:r>
        <w:rPr>
          <w:rFonts w:hint="eastAsia" w:ascii="宋体" w:hAnsi="宋体" w:eastAsia="宋体" w:cs="宋体"/>
          <w:color w:val="auto"/>
          <w:sz w:val="24"/>
          <w:szCs w:val="24"/>
          <w:highlight w:val="none"/>
          <w:lang w:val="en-US" w:eastAsia="zh-CN"/>
        </w:rPr>
        <w:t>不少于2名</w:t>
      </w:r>
      <w:r>
        <w:rPr>
          <w:rFonts w:hint="eastAsia" w:ascii="宋体" w:hAnsi="宋体" w:eastAsia="宋体" w:cs="宋体"/>
          <w:color w:val="auto"/>
          <w:sz w:val="24"/>
          <w:szCs w:val="24"/>
          <w:highlight w:val="none"/>
        </w:rPr>
        <w:t>，负责日常岗位监督、交接班管理、岗位工作检查。</w:t>
      </w:r>
    </w:p>
    <w:p>
      <w:pPr>
        <w:keepNext w:val="0"/>
        <w:keepLines w:val="0"/>
        <w:pageBreakBefore w:val="0"/>
        <w:widowControl w:val="0"/>
        <w:numPr>
          <w:ilvl w:val="2"/>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门岗人员：文化中心1座、2座、3座、4座、5座主出入口以及东侧、西侧车辆出入口，每班次不少于1名，</w:t>
      </w:r>
      <w:r>
        <w:rPr>
          <w:rFonts w:hint="eastAsia" w:ascii="宋体" w:hAnsi="宋体" w:eastAsia="宋体" w:cs="宋体"/>
          <w:color w:val="auto"/>
          <w:sz w:val="24"/>
          <w:szCs w:val="24"/>
          <w:highlight w:val="none"/>
          <w:lang w:val="en-US" w:eastAsia="zh-CN"/>
        </w:rPr>
        <w:t>负责</w:t>
      </w:r>
      <w:r>
        <w:rPr>
          <w:rFonts w:hint="eastAsia" w:ascii="宋体" w:hAnsi="宋体" w:eastAsia="宋体" w:cs="宋体"/>
          <w:color w:val="auto"/>
          <w:sz w:val="24"/>
          <w:szCs w:val="24"/>
          <w:highlight w:val="none"/>
        </w:rPr>
        <w:t>人员/车辆登记、物品检查，</w:t>
      </w:r>
      <w:r>
        <w:rPr>
          <w:rFonts w:hint="eastAsia" w:ascii="宋体" w:hAnsi="宋体" w:eastAsia="宋体" w:cs="宋体"/>
          <w:color w:val="auto"/>
          <w:sz w:val="24"/>
          <w:szCs w:val="24"/>
          <w:highlight w:val="none"/>
          <w:lang w:val="en-US" w:eastAsia="zh-CN"/>
        </w:rPr>
        <w:t>需要</w:t>
      </w:r>
      <w:r>
        <w:rPr>
          <w:rFonts w:hint="eastAsia" w:ascii="宋体" w:hAnsi="宋体" w:eastAsia="宋体" w:cs="宋体"/>
          <w:color w:val="auto"/>
          <w:sz w:val="24"/>
          <w:szCs w:val="24"/>
          <w:highlight w:val="none"/>
        </w:rPr>
        <w:t>24小时值守。</w:t>
      </w:r>
    </w:p>
    <w:p>
      <w:pPr>
        <w:keepNext w:val="0"/>
        <w:keepLines w:val="0"/>
        <w:pageBreakBefore w:val="0"/>
        <w:widowControl w:val="0"/>
        <w:numPr>
          <w:ilvl w:val="2"/>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广场和地下停车场驻场岗</w:t>
      </w:r>
      <w:r>
        <w:rPr>
          <w:rFonts w:hint="eastAsia" w:ascii="宋体" w:hAnsi="宋体" w:eastAsia="宋体" w:cs="宋体"/>
          <w:color w:val="auto"/>
          <w:sz w:val="24"/>
          <w:szCs w:val="24"/>
          <w:highlight w:val="none"/>
          <w:lang w:val="en-US" w:eastAsia="zh-CN"/>
        </w:rPr>
        <w:t>人员</w:t>
      </w:r>
      <w:r>
        <w:rPr>
          <w:rFonts w:hint="eastAsia" w:ascii="宋体" w:hAnsi="宋体" w:eastAsia="宋体" w:cs="宋体"/>
          <w:color w:val="auto"/>
          <w:sz w:val="24"/>
          <w:szCs w:val="24"/>
          <w:highlight w:val="none"/>
        </w:rPr>
        <w:t>：每班次</w:t>
      </w:r>
      <w:r>
        <w:rPr>
          <w:rFonts w:hint="eastAsia" w:ascii="宋体" w:hAnsi="宋体" w:eastAsia="宋体" w:cs="宋体"/>
          <w:color w:val="auto"/>
          <w:sz w:val="24"/>
          <w:szCs w:val="24"/>
          <w:highlight w:val="none"/>
          <w:lang w:val="en-US" w:eastAsia="zh-CN"/>
        </w:rPr>
        <w:t>不少</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名</w:t>
      </w:r>
      <w:r>
        <w:rPr>
          <w:rFonts w:hint="eastAsia" w:ascii="宋体" w:hAnsi="宋体" w:eastAsia="宋体" w:cs="宋体"/>
          <w:color w:val="auto"/>
          <w:sz w:val="24"/>
          <w:szCs w:val="24"/>
          <w:highlight w:val="none"/>
        </w:rPr>
        <w:t>，24小时负责区域内秩序维护、大型活动人流疏导、日常巡查。</w:t>
      </w:r>
    </w:p>
    <w:p>
      <w:pPr>
        <w:keepNext w:val="0"/>
        <w:keepLines w:val="0"/>
        <w:pageBreakBefore w:val="0"/>
        <w:widowControl w:val="0"/>
        <w:numPr>
          <w:ilvl w:val="2"/>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巡逻岗：每班次</w:t>
      </w:r>
      <w:r>
        <w:rPr>
          <w:rFonts w:hint="eastAsia" w:ascii="宋体" w:hAnsi="宋体" w:eastAsia="宋体" w:cs="宋体"/>
          <w:color w:val="auto"/>
          <w:sz w:val="24"/>
          <w:szCs w:val="24"/>
          <w:highlight w:val="none"/>
          <w:lang w:val="en-US" w:eastAsia="zh-CN"/>
        </w:rPr>
        <w:t>不少于</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名</w:t>
      </w:r>
      <w:r>
        <w:rPr>
          <w:rFonts w:hint="eastAsia" w:ascii="宋体" w:hAnsi="宋体" w:eastAsia="宋体" w:cs="宋体"/>
          <w:color w:val="auto"/>
          <w:sz w:val="24"/>
          <w:szCs w:val="24"/>
          <w:highlight w:val="none"/>
        </w:rPr>
        <w:t>，每小时完成一次全区域巡查，24小时覆盖所有公共区域，及时处置各类突发事件。</w:t>
      </w:r>
    </w:p>
    <w:p>
      <w:pPr>
        <w:keepNext w:val="0"/>
        <w:keepLines w:val="0"/>
        <w:pageBreakBefore w:val="0"/>
        <w:widowControl w:val="0"/>
        <w:numPr>
          <w:ilvl w:val="2"/>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监控岗：每班次</w:t>
      </w:r>
      <w:r>
        <w:rPr>
          <w:rFonts w:hint="eastAsia" w:ascii="宋体" w:hAnsi="宋体" w:eastAsia="宋体" w:cs="宋体"/>
          <w:color w:val="auto"/>
          <w:sz w:val="24"/>
          <w:szCs w:val="24"/>
          <w:highlight w:val="none"/>
          <w:lang w:val="en-US" w:eastAsia="zh-CN"/>
        </w:rPr>
        <w:t>不少于</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名，24小时不间断值守监控中心，不得兼任巡逻岗或门岗工作</w:t>
      </w:r>
      <w:r>
        <w:rPr>
          <w:rFonts w:hint="eastAsia" w:ascii="宋体" w:hAnsi="宋体" w:eastAsia="宋体" w:cs="宋体"/>
          <w:color w:val="auto"/>
          <w:sz w:val="24"/>
          <w:szCs w:val="24"/>
          <w:highlight w:val="none"/>
        </w:rPr>
        <w:t>。</w:t>
      </w:r>
    </w:p>
    <w:p>
      <w:pPr>
        <w:numPr>
          <w:ilvl w:val="2"/>
          <w:numId w:val="35"/>
        </w:numPr>
        <w:tabs>
          <w:tab w:val="left" w:pos="540"/>
        </w:tabs>
        <w:adjustRightInd w:val="0"/>
        <w:spacing w:line="312" w:lineRule="auto"/>
        <w:ind w:firstLine="42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所有保安人员均须具有有效的保安员证。</w:t>
      </w:r>
    </w:p>
    <w:p>
      <w:pPr>
        <w:keepNext w:val="0"/>
        <w:keepLines w:val="0"/>
        <w:pageBreakBefore w:val="0"/>
        <w:widowControl w:val="0"/>
        <w:numPr>
          <w:ilvl w:val="1"/>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工程部</w:t>
      </w:r>
    </w:p>
    <w:p>
      <w:pPr>
        <w:keepNext w:val="0"/>
        <w:keepLines w:val="0"/>
        <w:pageBreakBefore w:val="0"/>
        <w:widowControl w:val="0"/>
        <w:numPr>
          <w:ilvl w:val="2"/>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领班/班长：1名</w:t>
      </w:r>
      <w:r>
        <w:rPr>
          <w:rFonts w:hint="eastAsia" w:ascii="宋体" w:hAnsi="宋体" w:eastAsia="宋体" w:cs="宋体"/>
          <w:color w:val="auto"/>
          <w:sz w:val="24"/>
          <w:szCs w:val="24"/>
          <w:highlight w:val="none"/>
          <w:lang w:eastAsia="zh-CN"/>
        </w:rPr>
        <w:t>，统筹设施设备运行管理、年度维修保养计划制定、人员技能培训、跨部门工作协调</w:t>
      </w:r>
      <w:r>
        <w:rPr>
          <w:rFonts w:hint="eastAsia" w:ascii="宋体" w:hAnsi="宋体" w:eastAsia="宋体" w:cs="宋体"/>
          <w:color w:val="auto"/>
          <w:sz w:val="24"/>
          <w:szCs w:val="24"/>
          <w:highlight w:val="none"/>
        </w:rPr>
        <w:t>。</w:t>
      </w:r>
    </w:p>
    <w:p>
      <w:pPr>
        <w:keepNext w:val="0"/>
        <w:keepLines w:val="0"/>
        <w:pageBreakBefore w:val="0"/>
        <w:widowControl w:val="0"/>
        <w:numPr>
          <w:ilvl w:val="2"/>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维修工/电工：</w:t>
      </w:r>
      <w:r>
        <w:rPr>
          <w:rFonts w:hint="eastAsia" w:ascii="宋体" w:hAnsi="宋体" w:eastAsia="宋体" w:cs="宋体"/>
          <w:color w:val="auto"/>
          <w:sz w:val="24"/>
          <w:szCs w:val="24"/>
          <w:highlight w:val="none"/>
          <w:lang w:val="en-US" w:eastAsia="zh-CN"/>
        </w:rPr>
        <w:t>不少于2名，</w:t>
      </w:r>
      <w:r>
        <w:rPr>
          <w:rFonts w:hint="eastAsia" w:ascii="宋体" w:hAnsi="宋体" w:eastAsia="宋体" w:cs="宋体"/>
          <w:color w:val="auto"/>
          <w:sz w:val="24"/>
          <w:szCs w:val="24"/>
          <w:highlight w:val="none"/>
        </w:rPr>
        <w:t>满足日常设备巡检、定期保养、故障应急处置、零星维修、工具保管、安全规范操作的工作需求。</w:t>
      </w:r>
    </w:p>
    <w:p>
      <w:pPr>
        <w:keepNext w:val="0"/>
        <w:keepLines w:val="0"/>
        <w:pageBreakBefore w:val="0"/>
        <w:widowControl w:val="0"/>
        <w:numPr>
          <w:ilvl w:val="1"/>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环境部</w:t>
      </w:r>
    </w:p>
    <w:p>
      <w:pPr>
        <w:keepNext w:val="0"/>
        <w:keepLines w:val="0"/>
        <w:pageBreakBefore w:val="0"/>
        <w:widowControl w:val="0"/>
        <w:numPr>
          <w:ilvl w:val="2"/>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领班/班长：</w:t>
      </w:r>
      <w:r>
        <w:rPr>
          <w:rFonts w:hint="eastAsia" w:ascii="宋体" w:hAnsi="宋体" w:eastAsia="宋体" w:cs="宋体"/>
          <w:color w:val="auto"/>
          <w:sz w:val="24"/>
          <w:szCs w:val="24"/>
          <w:highlight w:val="none"/>
          <w:lang w:val="en-US" w:eastAsia="zh-CN"/>
        </w:rPr>
        <w:t>1名，统筹清洁保洁、绿化养护工作计划制定、日常工作巡查、人员培训、对接甲方沟通需求</w:t>
      </w:r>
      <w:r>
        <w:rPr>
          <w:rFonts w:hint="eastAsia" w:ascii="宋体" w:hAnsi="宋体" w:eastAsia="宋体" w:cs="宋体"/>
          <w:color w:val="auto"/>
          <w:sz w:val="24"/>
          <w:szCs w:val="24"/>
          <w:highlight w:val="none"/>
        </w:rPr>
        <w:t>。</w:t>
      </w:r>
    </w:p>
    <w:p>
      <w:pPr>
        <w:keepNext w:val="0"/>
        <w:keepLines w:val="0"/>
        <w:pageBreakBefore w:val="0"/>
        <w:widowControl w:val="0"/>
        <w:numPr>
          <w:ilvl w:val="2"/>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保洁员：完成全区域标准清洁、垃圾清运工作。</w:t>
      </w:r>
    </w:p>
    <w:p>
      <w:pPr>
        <w:keepNext w:val="0"/>
        <w:keepLines w:val="0"/>
        <w:pageBreakBefore w:val="0"/>
        <w:widowControl w:val="0"/>
        <w:numPr>
          <w:ilvl w:val="2"/>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绿化工：完成植物日常养护、病虫害防治、缺苗补植等工作。</w:t>
      </w:r>
    </w:p>
    <w:p>
      <w:pPr>
        <w:keepNext w:val="0"/>
        <w:keepLines w:val="0"/>
        <w:pageBreakBefore w:val="0"/>
        <w:widowControl w:val="0"/>
        <w:numPr>
          <w:ilvl w:val="-1"/>
          <w:numId w:val="0"/>
        </w:numPr>
        <w:tabs>
          <w:tab w:val="left" w:pos="540"/>
        </w:tabs>
        <w:kinsoku/>
        <w:wordWrap/>
        <w:overflowPunct/>
        <w:topLinePunct w:val="0"/>
        <w:autoSpaceDE/>
        <w:autoSpaceDN/>
        <w:bidi w:val="0"/>
        <w:adjustRightInd w:val="0"/>
        <w:snapToGrid/>
        <w:spacing w:line="312"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可结合本项目实际运行情况自行拟定具体岗位设置及排班方案，排班方案须每年向</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报备一次；遇突发事件或</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提出书面合理调整要求时，</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须无条件配合完成岗位及排班优化</w:t>
      </w:r>
      <w:r>
        <w:rPr>
          <w:rFonts w:hint="eastAsia" w:ascii="宋体" w:hAnsi="宋体" w:eastAsia="宋体" w:cs="宋体"/>
          <w:color w:val="auto"/>
          <w:sz w:val="24"/>
          <w:szCs w:val="24"/>
          <w:highlight w:val="none"/>
          <w:lang w:eastAsia="zh-CN"/>
        </w:rPr>
        <w:t>。</w:t>
      </w:r>
    </w:p>
    <w:p>
      <w:pPr>
        <w:keepNext w:val="0"/>
        <w:keepLines w:val="0"/>
        <w:pageBreakBefore w:val="0"/>
        <w:widowControl w:val="0"/>
        <w:numPr>
          <w:ilvl w:val="1"/>
          <w:numId w:val="35"/>
        </w:numPr>
        <w:tabs>
          <w:tab w:val="left" w:pos="540"/>
        </w:tabs>
        <w:kinsoku/>
        <w:wordWrap/>
        <w:overflowPunct/>
        <w:topLinePunct w:val="0"/>
        <w:autoSpaceDE/>
        <w:autoSpaceDN/>
        <w:bidi w:val="0"/>
        <w:adjustRightInd w:val="0"/>
        <w:snapToGrid/>
        <w:spacing w:line="312" w:lineRule="auto"/>
        <w:ind w:left="0" w:leftChars="0" w:firstLine="42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人员基本要求</w:t>
      </w:r>
    </w:p>
    <w:p>
      <w:pPr>
        <w:keepNext w:val="0"/>
        <w:keepLines w:val="0"/>
        <w:pageBreakBefore w:val="0"/>
        <w:widowControl w:val="0"/>
        <w:numPr>
          <w:ilvl w:val="2"/>
          <w:numId w:val="35"/>
        </w:numPr>
        <w:tabs>
          <w:tab w:val="left" w:pos="540"/>
        </w:tabs>
        <w:kinsoku/>
        <w:wordWrap/>
        <w:overflowPunct/>
        <w:topLinePunct w:val="0"/>
        <w:autoSpaceDE/>
        <w:autoSpaceDN/>
        <w:bidi w:val="0"/>
        <w:adjustRightInd w:val="0"/>
        <w:snapToGrid/>
        <w:spacing w:line="312" w:lineRule="auto"/>
        <w:ind w:left="0" w:leftChars="0" w:firstLine="420" w:firstLineChars="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所有人员身体健康，无犯罪记录，特殊岗位（消防、电工类）100%持证上岗</w:t>
      </w:r>
      <w:r>
        <w:rPr>
          <w:rFonts w:hint="eastAsia" w:ascii="宋体" w:hAnsi="宋体" w:eastAsia="宋体" w:cs="宋体"/>
          <w:color w:val="auto"/>
          <w:sz w:val="24"/>
          <w:szCs w:val="24"/>
          <w:highlight w:val="none"/>
          <w:lang w:eastAsia="zh-CN"/>
        </w:rPr>
        <w:t>。</w:t>
      </w:r>
    </w:p>
    <w:p>
      <w:pPr>
        <w:keepNext w:val="0"/>
        <w:keepLines w:val="0"/>
        <w:pageBreakBefore w:val="0"/>
        <w:widowControl w:val="0"/>
        <w:numPr>
          <w:ilvl w:val="2"/>
          <w:numId w:val="35"/>
        </w:numPr>
        <w:tabs>
          <w:tab w:val="left" w:pos="540"/>
        </w:tabs>
        <w:kinsoku/>
        <w:wordWrap/>
        <w:overflowPunct/>
        <w:topLinePunct w:val="0"/>
        <w:autoSpaceDE/>
        <w:autoSpaceDN/>
        <w:bidi w:val="0"/>
        <w:adjustRightInd w:val="0"/>
        <w:snapToGrid/>
        <w:spacing w:line="312" w:lineRule="auto"/>
        <w:ind w:left="0" w:leftChars="0" w:firstLine="420" w:firstLineChars="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乙方按照甲方实际要求配备的服务人员不得随意更换；如需更换的，则必须征得甲方的同意，经试用符合要求方可更换，且在更换前应保证不少于原有数量的服务人员在岗。</w:t>
      </w:r>
      <w:r>
        <w:rPr>
          <w:rFonts w:hint="eastAsia" w:ascii="宋体" w:hAnsi="宋体" w:eastAsia="宋体" w:cs="宋体"/>
          <w:color w:val="auto"/>
          <w:sz w:val="24"/>
          <w:szCs w:val="24"/>
          <w:highlight w:val="none"/>
        </w:rPr>
        <w:t>乙方更换相关人员时，未按本合同约定履行提前报告甲方的程序或所更换人员资质不符合要求的，甲方有权限期乙方整改，</w:t>
      </w:r>
      <w:r>
        <w:rPr>
          <w:rFonts w:hint="eastAsia" w:ascii="宋体" w:hAnsi="宋体" w:eastAsia="宋体" w:cs="宋体"/>
          <w:color w:val="auto"/>
          <w:sz w:val="24"/>
          <w:szCs w:val="24"/>
          <w:highlight w:val="none"/>
          <w:lang w:eastAsia="zh-CN"/>
        </w:rPr>
        <w:t>并</w:t>
      </w:r>
      <w:r>
        <w:rPr>
          <w:rFonts w:hint="eastAsia" w:ascii="宋体" w:hAnsi="宋体" w:eastAsia="宋体" w:cs="宋体"/>
          <w:color w:val="auto"/>
          <w:sz w:val="24"/>
          <w:szCs w:val="24"/>
          <w:highlight w:val="none"/>
        </w:rPr>
        <w:t>有权扣除当月服务费</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，造成甲方损失的，乙方还须赔偿甲方损失</w:t>
      </w:r>
      <w:r>
        <w:rPr>
          <w:rFonts w:hint="eastAsia" w:ascii="宋体" w:hAnsi="宋体" w:eastAsia="宋体" w:cs="宋体"/>
          <w:color w:val="auto"/>
          <w:sz w:val="24"/>
          <w:szCs w:val="24"/>
          <w:highlight w:val="none"/>
        </w:rPr>
        <w:t>。</w:t>
      </w:r>
    </w:p>
    <w:p>
      <w:pPr>
        <w:keepNext w:val="0"/>
        <w:keepLines w:val="0"/>
        <w:pageBreakBefore w:val="0"/>
        <w:widowControl w:val="0"/>
        <w:numPr>
          <w:ilvl w:val="2"/>
          <w:numId w:val="35"/>
        </w:numPr>
        <w:tabs>
          <w:tab w:val="left" w:pos="540"/>
        </w:tabs>
        <w:kinsoku/>
        <w:wordWrap/>
        <w:overflowPunct/>
        <w:topLinePunct w:val="0"/>
        <w:autoSpaceDE/>
        <w:autoSpaceDN/>
        <w:bidi w:val="0"/>
        <w:adjustRightInd w:val="0"/>
        <w:snapToGrid/>
        <w:spacing w:line="312" w:lineRule="auto"/>
        <w:ind w:left="0" w:leftChars="0" w:firstLine="420" w:firstLineChars="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lang w:eastAsia="zh-CN"/>
        </w:rPr>
        <w:t>在乙方服务过程中，甲方有权要求乙方对服务人员进行岗位调配，对不能胜任或不符合业务要求的服务人员进行更换。因服务人员个人出现违反工作纪律问题及业务过失，遭受投诉且造成不良影响等行为的，甲方有权利要求乙方及时更换服务人员。</w:t>
      </w:r>
    </w:p>
    <w:p>
      <w:pPr>
        <w:keepNext w:val="0"/>
        <w:keepLines w:val="0"/>
        <w:pageBreakBefore w:val="0"/>
        <w:widowControl w:val="0"/>
        <w:numPr>
          <w:ilvl w:val="2"/>
          <w:numId w:val="35"/>
        </w:numPr>
        <w:tabs>
          <w:tab w:val="left" w:pos="540"/>
        </w:tabs>
        <w:kinsoku/>
        <w:wordWrap/>
        <w:overflowPunct/>
        <w:topLinePunct w:val="0"/>
        <w:autoSpaceDE/>
        <w:autoSpaceDN/>
        <w:bidi w:val="0"/>
        <w:adjustRightInd w:val="0"/>
        <w:snapToGrid/>
        <w:spacing w:line="312" w:lineRule="auto"/>
        <w:ind w:left="0" w:leftChars="0" w:firstLine="420" w:firstLineChars="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服务人员须经</w:t>
      </w:r>
      <w:r>
        <w:rPr>
          <w:rFonts w:hint="eastAsia" w:ascii="宋体" w:hAnsi="宋体" w:eastAsia="宋体" w:cs="宋体"/>
          <w:b w:val="0"/>
          <w:bCs w:val="0"/>
          <w:color w:val="auto"/>
          <w:sz w:val="24"/>
          <w:szCs w:val="24"/>
          <w:highlight w:val="none"/>
          <w:lang w:eastAsia="zh-CN"/>
        </w:rPr>
        <w:t>甲方</w:t>
      </w:r>
      <w:r>
        <w:rPr>
          <w:rFonts w:hint="eastAsia" w:ascii="宋体" w:hAnsi="宋体" w:eastAsia="宋体" w:cs="宋体"/>
          <w:b w:val="0"/>
          <w:bCs w:val="0"/>
          <w:color w:val="auto"/>
          <w:sz w:val="24"/>
          <w:szCs w:val="24"/>
          <w:highlight w:val="none"/>
        </w:rPr>
        <w:t>审核确认后方能上岗。未经</w:t>
      </w:r>
      <w:r>
        <w:rPr>
          <w:rFonts w:hint="eastAsia" w:ascii="宋体" w:hAnsi="宋体" w:eastAsia="宋体" w:cs="宋体"/>
          <w:b w:val="0"/>
          <w:bCs w:val="0"/>
          <w:color w:val="auto"/>
          <w:sz w:val="24"/>
          <w:szCs w:val="24"/>
          <w:highlight w:val="none"/>
          <w:lang w:eastAsia="zh-CN"/>
        </w:rPr>
        <w:t>甲方</w:t>
      </w:r>
      <w:r>
        <w:rPr>
          <w:rFonts w:hint="eastAsia" w:ascii="宋体" w:hAnsi="宋体" w:eastAsia="宋体" w:cs="宋体"/>
          <w:b w:val="0"/>
          <w:bCs w:val="0"/>
          <w:color w:val="auto"/>
          <w:sz w:val="24"/>
          <w:szCs w:val="24"/>
          <w:highlight w:val="none"/>
        </w:rPr>
        <w:t>审核确认的人员，</w:t>
      </w:r>
      <w:r>
        <w:rPr>
          <w:rFonts w:hint="eastAsia" w:ascii="宋体" w:hAnsi="宋体" w:eastAsia="宋体" w:cs="宋体"/>
          <w:b w:val="0"/>
          <w:bCs w:val="0"/>
          <w:color w:val="auto"/>
          <w:sz w:val="24"/>
          <w:szCs w:val="24"/>
          <w:highlight w:val="none"/>
          <w:lang w:eastAsia="zh-CN"/>
        </w:rPr>
        <w:t>甲方</w:t>
      </w:r>
      <w:r>
        <w:rPr>
          <w:rFonts w:hint="eastAsia" w:ascii="宋体" w:hAnsi="宋体" w:eastAsia="宋体" w:cs="宋体"/>
          <w:b w:val="0"/>
          <w:bCs w:val="0"/>
          <w:color w:val="auto"/>
          <w:sz w:val="24"/>
          <w:szCs w:val="24"/>
          <w:highlight w:val="none"/>
        </w:rPr>
        <w:t>可以不予接纳，</w:t>
      </w:r>
      <w:r>
        <w:rPr>
          <w:rFonts w:hint="eastAsia" w:ascii="宋体" w:hAnsi="宋体" w:eastAsia="宋体" w:cs="宋体"/>
          <w:b w:val="0"/>
          <w:bCs w:val="0"/>
          <w:color w:val="auto"/>
          <w:sz w:val="24"/>
          <w:szCs w:val="24"/>
          <w:highlight w:val="none"/>
          <w:lang w:eastAsia="zh-CN"/>
        </w:rPr>
        <w:t>乙方</w:t>
      </w:r>
      <w:r>
        <w:rPr>
          <w:rFonts w:hint="eastAsia" w:ascii="宋体" w:hAnsi="宋体" w:eastAsia="宋体" w:cs="宋体"/>
          <w:b w:val="0"/>
          <w:bCs w:val="0"/>
          <w:color w:val="auto"/>
          <w:sz w:val="24"/>
          <w:szCs w:val="24"/>
          <w:highlight w:val="none"/>
        </w:rPr>
        <w:t>与</w:t>
      </w:r>
      <w:r>
        <w:rPr>
          <w:rFonts w:hint="eastAsia" w:ascii="宋体" w:hAnsi="宋体" w:eastAsia="宋体" w:cs="宋体"/>
          <w:b w:val="0"/>
          <w:bCs w:val="0"/>
          <w:color w:val="auto"/>
          <w:sz w:val="24"/>
          <w:szCs w:val="24"/>
          <w:highlight w:val="none"/>
          <w:lang w:eastAsia="zh-CN"/>
        </w:rPr>
        <w:t>服务人员成立劳动合同关系</w:t>
      </w:r>
      <w:r>
        <w:rPr>
          <w:rFonts w:hint="eastAsia" w:ascii="宋体" w:hAnsi="宋体" w:eastAsia="宋体" w:cs="宋体"/>
          <w:b w:val="0"/>
          <w:bCs w:val="0"/>
          <w:color w:val="auto"/>
          <w:sz w:val="24"/>
          <w:szCs w:val="24"/>
          <w:highlight w:val="none"/>
        </w:rPr>
        <w:t>而承担的法律责任与</w:t>
      </w:r>
      <w:r>
        <w:rPr>
          <w:rFonts w:hint="eastAsia" w:ascii="宋体" w:hAnsi="宋体" w:eastAsia="宋体" w:cs="宋体"/>
          <w:b w:val="0"/>
          <w:bCs w:val="0"/>
          <w:color w:val="auto"/>
          <w:sz w:val="24"/>
          <w:szCs w:val="24"/>
          <w:highlight w:val="none"/>
          <w:lang w:eastAsia="zh-CN"/>
        </w:rPr>
        <w:t>甲方</w:t>
      </w:r>
      <w:r>
        <w:rPr>
          <w:rFonts w:hint="eastAsia" w:ascii="宋体" w:hAnsi="宋体" w:eastAsia="宋体" w:cs="宋体"/>
          <w:b w:val="0"/>
          <w:bCs w:val="0"/>
          <w:color w:val="auto"/>
          <w:sz w:val="24"/>
          <w:szCs w:val="24"/>
          <w:highlight w:val="none"/>
        </w:rPr>
        <w:t>无关。</w:t>
      </w:r>
    </w:p>
    <w:p>
      <w:pPr>
        <w:keepNext w:val="0"/>
        <w:keepLines w:val="0"/>
        <w:pageBreakBefore w:val="0"/>
        <w:widowControl w:val="0"/>
        <w:numPr>
          <w:ilvl w:val="2"/>
          <w:numId w:val="35"/>
        </w:numPr>
        <w:tabs>
          <w:tab w:val="left" w:pos="540"/>
        </w:tabs>
        <w:kinsoku/>
        <w:wordWrap/>
        <w:overflowPunct/>
        <w:topLinePunct w:val="0"/>
        <w:autoSpaceDE/>
        <w:autoSpaceDN/>
        <w:bidi w:val="0"/>
        <w:adjustRightInd w:val="0"/>
        <w:snapToGrid/>
        <w:spacing w:line="312" w:lineRule="auto"/>
        <w:ind w:left="0" w:leftChars="0" w:firstLine="420" w:firstLineChars="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乙方须</w:t>
      </w:r>
      <w:r>
        <w:rPr>
          <w:rFonts w:hint="eastAsia" w:ascii="宋体" w:hAnsi="宋体" w:eastAsia="宋体" w:cs="宋体"/>
          <w:b w:val="0"/>
          <w:bCs w:val="0"/>
          <w:color w:val="auto"/>
          <w:sz w:val="24"/>
          <w:szCs w:val="24"/>
          <w:highlight w:val="none"/>
        </w:rPr>
        <w:t>按有关劳动法规为本项目服务人员</w:t>
      </w:r>
      <w:r>
        <w:rPr>
          <w:rFonts w:hint="eastAsia" w:ascii="宋体" w:hAnsi="宋体" w:eastAsia="宋体" w:cs="宋体"/>
          <w:b w:val="0"/>
          <w:bCs w:val="0"/>
          <w:color w:val="auto"/>
          <w:sz w:val="24"/>
          <w:szCs w:val="24"/>
          <w:highlight w:val="none"/>
          <w:lang w:val="en-US" w:eastAsia="zh-CN"/>
        </w:rPr>
        <w:t>签订</w:t>
      </w:r>
      <w:r>
        <w:rPr>
          <w:rFonts w:hint="eastAsia" w:ascii="宋体" w:hAnsi="宋体" w:eastAsia="宋体" w:cs="宋体"/>
          <w:b w:val="0"/>
          <w:bCs w:val="0"/>
          <w:color w:val="auto"/>
          <w:sz w:val="24"/>
          <w:szCs w:val="24"/>
          <w:highlight w:val="none"/>
        </w:rPr>
        <w:t>劳动合同</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为其办理</w:t>
      </w:r>
      <w:r>
        <w:rPr>
          <w:rFonts w:hint="eastAsia" w:ascii="宋体" w:hAnsi="宋体" w:eastAsia="宋体" w:cs="宋体"/>
          <w:b w:val="0"/>
          <w:bCs w:val="0"/>
          <w:color w:val="auto"/>
          <w:sz w:val="24"/>
          <w:szCs w:val="24"/>
          <w:highlight w:val="none"/>
        </w:rPr>
        <w:t>社会保险</w:t>
      </w:r>
      <w:r>
        <w:rPr>
          <w:rFonts w:hint="eastAsia" w:ascii="宋体" w:hAnsi="宋体" w:eastAsia="宋体" w:cs="宋体"/>
          <w:b w:val="0"/>
          <w:bCs w:val="0"/>
          <w:color w:val="auto"/>
          <w:sz w:val="24"/>
          <w:szCs w:val="24"/>
          <w:highlight w:val="none"/>
          <w:lang w:eastAsia="zh-CN"/>
        </w:rPr>
        <w:t>、公积金；</w:t>
      </w:r>
      <w:r>
        <w:rPr>
          <w:rFonts w:hint="eastAsia" w:ascii="宋体" w:hAnsi="宋体" w:eastAsia="宋体" w:cs="宋体"/>
          <w:b w:val="0"/>
          <w:bCs w:val="0"/>
          <w:color w:val="auto"/>
          <w:sz w:val="24"/>
          <w:szCs w:val="24"/>
          <w:highlight w:val="none"/>
          <w:lang w:val="en-US" w:eastAsia="zh-CN"/>
        </w:rPr>
        <w:t>按时发放</w:t>
      </w:r>
      <w:r>
        <w:rPr>
          <w:rFonts w:hint="eastAsia" w:ascii="宋体" w:hAnsi="宋体" w:eastAsia="宋体" w:cs="宋体"/>
          <w:b w:val="0"/>
          <w:bCs w:val="0"/>
          <w:color w:val="auto"/>
          <w:sz w:val="24"/>
          <w:szCs w:val="24"/>
          <w:highlight w:val="none"/>
        </w:rPr>
        <w:t>薪酬</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缴纳</w:t>
      </w:r>
      <w:r>
        <w:rPr>
          <w:rFonts w:hint="eastAsia" w:ascii="宋体" w:hAnsi="宋体" w:eastAsia="宋体" w:cs="宋体"/>
          <w:b w:val="0"/>
          <w:bCs w:val="0"/>
          <w:color w:val="auto"/>
          <w:sz w:val="24"/>
          <w:szCs w:val="24"/>
          <w:highlight w:val="none"/>
        </w:rPr>
        <w:t>个人所得税等</w:t>
      </w:r>
      <w:r>
        <w:rPr>
          <w:rFonts w:hint="eastAsia" w:ascii="宋体" w:hAnsi="宋体" w:eastAsia="宋体" w:cs="宋体"/>
          <w:b w:val="0"/>
          <w:bCs w:val="0"/>
          <w:color w:val="auto"/>
          <w:sz w:val="24"/>
          <w:szCs w:val="24"/>
          <w:highlight w:val="none"/>
          <w:lang w:eastAsia="zh-CN"/>
        </w:rPr>
        <w:t>；乙方应</w:t>
      </w:r>
      <w:r>
        <w:rPr>
          <w:rFonts w:hint="eastAsia" w:ascii="宋体" w:hAnsi="宋体" w:eastAsia="宋体" w:cs="宋体"/>
          <w:b w:val="0"/>
          <w:bCs w:val="0"/>
          <w:color w:val="auto"/>
          <w:sz w:val="24"/>
          <w:szCs w:val="24"/>
          <w:highlight w:val="none"/>
        </w:rPr>
        <w:t>根据当地有关社保规定征缴服务人员的社会保险等</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若国家、省、市政府在征缴期间有新的政策规定，</w:t>
      </w:r>
      <w:r>
        <w:rPr>
          <w:rFonts w:hint="eastAsia" w:ascii="宋体" w:hAnsi="宋体" w:eastAsia="宋体" w:cs="宋体"/>
          <w:b w:val="0"/>
          <w:bCs w:val="0"/>
          <w:color w:val="auto"/>
          <w:sz w:val="24"/>
          <w:szCs w:val="24"/>
          <w:highlight w:val="none"/>
          <w:lang w:eastAsia="zh-CN"/>
        </w:rPr>
        <w:t>乙方</w:t>
      </w:r>
      <w:r>
        <w:rPr>
          <w:rFonts w:hint="eastAsia" w:ascii="宋体" w:hAnsi="宋体" w:eastAsia="宋体" w:cs="宋体"/>
          <w:b w:val="0"/>
          <w:bCs w:val="0"/>
          <w:color w:val="auto"/>
          <w:sz w:val="24"/>
          <w:szCs w:val="24"/>
          <w:highlight w:val="none"/>
        </w:rPr>
        <w:t>必须及时按新规定进行调整。</w:t>
      </w:r>
      <w:r>
        <w:rPr>
          <w:rFonts w:hint="eastAsia" w:ascii="宋体" w:hAnsi="宋体" w:eastAsia="宋体" w:cs="宋体"/>
          <w:b w:val="0"/>
          <w:bCs w:val="0"/>
          <w:color w:val="auto"/>
          <w:sz w:val="24"/>
          <w:szCs w:val="24"/>
          <w:highlight w:val="none"/>
          <w:lang w:eastAsia="zh-CN"/>
        </w:rPr>
        <w:t>因乙方违法用工导致影响本合同履行的，甲方有权单方解除本合同；因乙方违法用工导致甲方产生损失的，乙方须赔偿甲方损失</w:t>
      </w:r>
      <w:r>
        <w:rPr>
          <w:rFonts w:hint="eastAsia" w:ascii="宋体" w:hAnsi="宋体" w:eastAsia="宋体" w:cs="宋体"/>
          <w:bCs w:val="0"/>
          <w:color w:val="auto"/>
          <w:sz w:val="24"/>
          <w:szCs w:val="24"/>
          <w:highlight w:val="none"/>
        </w:rPr>
        <w:t>，</w:t>
      </w:r>
      <w:r>
        <w:rPr>
          <w:rFonts w:hint="eastAsia" w:ascii="宋体" w:hAnsi="宋体" w:eastAsia="宋体" w:cs="宋体"/>
          <w:bCs w:val="0"/>
          <w:color w:val="auto"/>
          <w:sz w:val="24"/>
          <w:szCs w:val="24"/>
          <w:highlight w:val="none"/>
          <w:lang w:eastAsia="zh-CN"/>
        </w:rPr>
        <w:t>甲方</w:t>
      </w:r>
      <w:r>
        <w:rPr>
          <w:rFonts w:hint="eastAsia" w:ascii="宋体" w:hAnsi="宋体" w:eastAsia="宋体" w:cs="宋体"/>
          <w:bCs w:val="0"/>
          <w:color w:val="auto"/>
          <w:sz w:val="24"/>
          <w:szCs w:val="24"/>
          <w:highlight w:val="none"/>
        </w:rPr>
        <w:t>有权将本项目项下的服务费用优先用于抵扣损失</w:t>
      </w:r>
      <w:r>
        <w:rPr>
          <w:rFonts w:hint="eastAsia" w:ascii="宋体" w:hAnsi="宋体" w:eastAsia="宋体" w:cs="宋体"/>
          <w:b w:val="0"/>
          <w:bCs w:val="0"/>
          <w:color w:val="auto"/>
          <w:sz w:val="24"/>
          <w:szCs w:val="24"/>
          <w:highlight w:val="none"/>
          <w:lang w:eastAsia="zh-CN"/>
        </w:rPr>
        <w:t>。</w:t>
      </w:r>
    </w:p>
    <w:p>
      <w:pPr>
        <w:keepNext w:val="0"/>
        <w:keepLines w:val="0"/>
        <w:pageBreakBefore w:val="0"/>
        <w:widowControl w:val="0"/>
        <w:numPr>
          <w:ilvl w:val="2"/>
          <w:numId w:val="35"/>
        </w:numPr>
        <w:tabs>
          <w:tab w:val="left" w:pos="540"/>
        </w:tabs>
        <w:kinsoku/>
        <w:wordWrap/>
        <w:overflowPunct/>
        <w:topLinePunct w:val="0"/>
        <w:autoSpaceDE/>
        <w:autoSpaceDN/>
        <w:bidi w:val="0"/>
        <w:adjustRightInd w:val="0"/>
        <w:snapToGrid/>
        <w:spacing w:line="312" w:lineRule="auto"/>
        <w:ind w:left="0" w:leftChars="0" w:firstLine="420" w:firstLineChars="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rPr>
        <w:t>服务期间，服务人员发生各种事故，包括治安、安全、交通和违反计划生育、劳资纠纷</w:t>
      </w:r>
      <w:r>
        <w:rPr>
          <w:rFonts w:hint="eastAsia" w:ascii="宋体" w:hAnsi="宋体" w:eastAsia="宋体" w:cs="宋体"/>
          <w:b w:val="0"/>
          <w:bCs w:val="0"/>
          <w:color w:val="auto"/>
          <w:sz w:val="24"/>
          <w:szCs w:val="24"/>
          <w:highlight w:val="none"/>
          <w:lang w:eastAsia="zh-CN"/>
        </w:rPr>
        <w:t>、工伤</w:t>
      </w:r>
      <w:r>
        <w:rPr>
          <w:rFonts w:hint="eastAsia" w:ascii="宋体" w:hAnsi="宋体" w:eastAsia="宋体" w:cs="宋体"/>
          <w:b w:val="0"/>
          <w:bCs w:val="0"/>
          <w:color w:val="auto"/>
          <w:sz w:val="24"/>
          <w:szCs w:val="24"/>
          <w:highlight w:val="none"/>
        </w:rPr>
        <w:t>等事件及其他各种损失，由</w:t>
      </w:r>
      <w:r>
        <w:rPr>
          <w:rFonts w:hint="eastAsia" w:ascii="宋体" w:hAnsi="宋体" w:eastAsia="宋体" w:cs="宋体"/>
          <w:b w:val="0"/>
          <w:bCs w:val="0"/>
          <w:color w:val="auto"/>
          <w:sz w:val="24"/>
          <w:szCs w:val="24"/>
          <w:highlight w:val="none"/>
          <w:lang w:eastAsia="zh-CN"/>
        </w:rPr>
        <w:t>乙方自行</w:t>
      </w:r>
      <w:r>
        <w:rPr>
          <w:rFonts w:hint="eastAsia" w:ascii="宋体" w:hAnsi="宋体" w:eastAsia="宋体" w:cs="宋体"/>
          <w:b w:val="0"/>
          <w:bCs w:val="0"/>
          <w:color w:val="auto"/>
          <w:sz w:val="24"/>
          <w:szCs w:val="24"/>
          <w:highlight w:val="none"/>
        </w:rPr>
        <w:t>承担和负责赔偿</w:t>
      </w:r>
      <w:r>
        <w:rPr>
          <w:rFonts w:hint="eastAsia" w:ascii="宋体" w:hAnsi="宋体" w:eastAsia="宋体" w:cs="宋体"/>
          <w:b w:val="0"/>
          <w:bCs w:val="0"/>
          <w:color w:val="auto"/>
          <w:sz w:val="24"/>
          <w:szCs w:val="24"/>
          <w:highlight w:val="none"/>
          <w:lang w:eastAsia="zh-CN"/>
        </w:rPr>
        <w:t>，与甲方无关；</w:t>
      </w:r>
      <w:r>
        <w:rPr>
          <w:rFonts w:hint="eastAsia" w:ascii="宋体" w:hAnsi="宋体" w:eastAsia="宋体" w:cs="宋体"/>
          <w:bCs w:val="0"/>
          <w:color w:val="auto"/>
          <w:sz w:val="24"/>
          <w:szCs w:val="24"/>
          <w:highlight w:val="none"/>
        </w:rPr>
        <w:t>如由此造成</w:t>
      </w:r>
      <w:r>
        <w:rPr>
          <w:rFonts w:hint="eastAsia" w:ascii="宋体" w:hAnsi="宋体" w:eastAsia="宋体" w:cs="宋体"/>
          <w:bCs w:val="0"/>
          <w:color w:val="auto"/>
          <w:sz w:val="24"/>
          <w:szCs w:val="24"/>
          <w:highlight w:val="none"/>
          <w:lang w:eastAsia="zh-CN"/>
        </w:rPr>
        <w:t>甲方</w:t>
      </w:r>
      <w:r>
        <w:rPr>
          <w:rFonts w:hint="eastAsia" w:ascii="宋体" w:hAnsi="宋体" w:eastAsia="宋体" w:cs="宋体"/>
          <w:bCs w:val="0"/>
          <w:color w:val="auto"/>
          <w:sz w:val="24"/>
          <w:szCs w:val="24"/>
          <w:highlight w:val="none"/>
        </w:rPr>
        <w:t>承担损失的，</w:t>
      </w:r>
      <w:r>
        <w:rPr>
          <w:rFonts w:hint="eastAsia" w:ascii="宋体" w:hAnsi="宋体" w:eastAsia="宋体" w:cs="宋体"/>
          <w:bCs w:val="0"/>
          <w:color w:val="auto"/>
          <w:sz w:val="24"/>
          <w:szCs w:val="24"/>
          <w:highlight w:val="none"/>
          <w:lang w:eastAsia="zh-CN"/>
        </w:rPr>
        <w:t>甲方</w:t>
      </w:r>
      <w:r>
        <w:rPr>
          <w:rFonts w:hint="eastAsia" w:ascii="宋体" w:hAnsi="宋体" w:eastAsia="宋体" w:cs="宋体"/>
          <w:bCs w:val="0"/>
          <w:color w:val="auto"/>
          <w:sz w:val="24"/>
          <w:szCs w:val="24"/>
          <w:highlight w:val="none"/>
        </w:rPr>
        <w:t>保留向</w:t>
      </w:r>
      <w:r>
        <w:rPr>
          <w:rFonts w:hint="eastAsia" w:ascii="宋体" w:hAnsi="宋体" w:eastAsia="宋体" w:cs="宋体"/>
          <w:bCs w:val="0"/>
          <w:color w:val="auto"/>
          <w:sz w:val="24"/>
          <w:szCs w:val="24"/>
          <w:highlight w:val="none"/>
          <w:lang w:eastAsia="zh-CN"/>
        </w:rPr>
        <w:t>乙方</w:t>
      </w:r>
      <w:r>
        <w:rPr>
          <w:rFonts w:hint="eastAsia" w:ascii="宋体" w:hAnsi="宋体" w:eastAsia="宋体" w:cs="宋体"/>
          <w:bCs w:val="0"/>
          <w:color w:val="auto"/>
          <w:sz w:val="24"/>
          <w:szCs w:val="24"/>
          <w:highlight w:val="none"/>
        </w:rPr>
        <w:t>追索的权利，</w:t>
      </w:r>
      <w:r>
        <w:rPr>
          <w:rFonts w:hint="eastAsia" w:ascii="宋体" w:hAnsi="宋体" w:eastAsia="宋体" w:cs="宋体"/>
          <w:bCs w:val="0"/>
          <w:color w:val="auto"/>
          <w:sz w:val="24"/>
          <w:szCs w:val="24"/>
          <w:highlight w:val="none"/>
          <w:lang w:eastAsia="zh-CN"/>
        </w:rPr>
        <w:t>甲方</w:t>
      </w:r>
      <w:r>
        <w:rPr>
          <w:rFonts w:hint="eastAsia" w:ascii="宋体" w:hAnsi="宋体" w:eastAsia="宋体" w:cs="宋体"/>
          <w:bCs w:val="0"/>
          <w:color w:val="auto"/>
          <w:sz w:val="24"/>
          <w:szCs w:val="24"/>
          <w:highlight w:val="none"/>
        </w:rPr>
        <w:t>有权将本项目项下的服务费用、履约保证金优先用于抵扣损失</w:t>
      </w:r>
      <w:r>
        <w:rPr>
          <w:rFonts w:hint="eastAsia" w:ascii="宋体" w:hAnsi="宋体" w:eastAsia="宋体" w:cs="宋体"/>
          <w:bCs w:val="0"/>
          <w:color w:val="auto"/>
          <w:sz w:val="24"/>
          <w:szCs w:val="24"/>
          <w:highlight w:val="none"/>
          <w:lang w:eastAsia="zh-CN"/>
        </w:rPr>
        <w:t>。</w:t>
      </w:r>
    </w:p>
    <w:p>
      <w:pPr>
        <w:keepNext w:val="0"/>
        <w:keepLines w:val="0"/>
        <w:pageBreakBefore w:val="0"/>
        <w:widowControl w:val="0"/>
        <w:numPr>
          <w:ilvl w:val="2"/>
          <w:numId w:val="35"/>
        </w:numPr>
        <w:tabs>
          <w:tab w:val="left" w:pos="540"/>
        </w:tabs>
        <w:kinsoku/>
        <w:wordWrap/>
        <w:overflowPunct/>
        <w:topLinePunct w:val="0"/>
        <w:autoSpaceDE/>
        <w:autoSpaceDN/>
        <w:bidi w:val="0"/>
        <w:adjustRightInd w:val="0"/>
        <w:snapToGrid/>
        <w:spacing w:line="312" w:lineRule="auto"/>
        <w:ind w:left="0" w:leftChars="0" w:firstLine="420" w:firstLineChars="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bCs w:val="0"/>
          <w:color w:val="auto"/>
          <w:sz w:val="24"/>
          <w:szCs w:val="24"/>
          <w:highlight w:val="none"/>
          <w:lang w:eastAsia="zh-CN"/>
        </w:rPr>
        <w:t>乙方员工在服务过程中因劳务、工伤等问题与乙方发生纠纷，或对第三方造成损害的，均由乙方独立处理并承担全部法律责任。若因此导致甲方被起诉或遭受损失的，乙方应赔偿甲方全部损失，甲方有权从未支付的服务费中直接抵扣。</w:t>
      </w:r>
    </w:p>
    <w:p>
      <w:pPr>
        <w:numPr>
          <w:ilvl w:val="2"/>
          <w:numId w:val="35"/>
        </w:numPr>
        <w:tabs>
          <w:tab w:val="left" w:pos="540"/>
        </w:tabs>
        <w:adjustRightInd w:val="0"/>
        <w:spacing w:line="312" w:lineRule="auto"/>
        <w:ind w:firstLine="42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因乙方服务人员不具有相关资质资格，导致甲方遭受行政处罚</w:t>
      </w:r>
      <w:r>
        <w:rPr>
          <w:rFonts w:hint="eastAsia" w:ascii="宋体" w:hAnsi="宋体" w:eastAsia="宋体" w:cs="宋体"/>
          <w:sz w:val="24"/>
          <w:szCs w:val="24"/>
          <w:highlight w:val="none"/>
        </w:rPr>
        <w:t>、罚款、滞纳金及其他全部经济损失的</w:t>
      </w:r>
      <w:r>
        <w:rPr>
          <w:rFonts w:hint="eastAsia" w:ascii="宋体" w:hAnsi="宋体" w:eastAsia="宋体" w:cs="宋体"/>
          <w:color w:val="auto"/>
          <w:sz w:val="24"/>
          <w:szCs w:val="24"/>
          <w:highlight w:val="none"/>
          <w:lang w:eastAsia="zh-CN"/>
        </w:rPr>
        <w:t>，甲方有权要求乙方赔偿损失；甲方对乙方的监督、考核，不减免乙方的上述义务。</w:t>
      </w:r>
    </w:p>
    <w:p>
      <w:pPr>
        <w:keepNext w:val="0"/>
        <w:keepLines w:val="0"/>
        <w:pageBreakBefore w:val="0"/>
        <w:widowControl w:val="0"/>
        <w:numPr>
          <w:ilvl w:val="0"/>
          <w:numId w:val="32"/>
        </w:numPr>
        <w:kinsoku/>
        <w:wordWrap/>
        <w:overflowPunct/>
        <w:topLinePunct w:val="0"/>
        <w:autoSpaceDE/>
        <w:autoSpaceDN/>
        <w:bidi w:val="0"/>
        <w:adjustRightInd/>
        <w:snapToGrid/>
        <w:spacing w:line="40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物业服务核心内容</w:t>
      </w:r>
    </w:p>
    <w:bookmarkEnd w:id="25"/>
    <w:bookmarkEnd w:id="28"/>
    <w:p>
      <w:pPr>
        <w:keepNext w:val="0"/>
        <w:keepLines w:val="0"/>
        <w:pageBreakBefore w:val="0"/>
        <w:widowControl w:val="0"/>
        <w:numPr>
          <w:ilvl w:val="0"/>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sz w:val="24"/>
          <w:szCs w:val="24"/>
          <w:highlight w:val="none"/>
        </w:rPr>
      </w:pPr>
      <w:r>
        <w:rPr>
          <w:rFonts w:hint="eastAsia" w:ascii="宋体" w:hAnsi="宋体" w:eastAsia="宋体" w:cs="宋体"/>
          <w:b w:val="0"/>
          <w:i w:val="0"/>
          <w:caps w:val="0"/>
          <w:color w:val="auto"/>
          <w:spacing w:val="0"/>
          <w:kern w:val="2"/>
          <w:sz w:val="24"/>
          <w:szCs w:val="24"/>
          <w:highlight w:val="none"/>
          <w:shd w:val="clear"/>
          <w:vertAlign w:val="baseline"/>
          <w:lang w:val="en-US" w:eastAsia="zh-CN" w:bidi="ar"/>
        </w:rPr>
        <w:t>规章制度与档案资料管理</w:t>
      </w:r>
    </w:p>
    <w:p>
      <w:pPr>
        <w:keepNext w:val="0"/>
        <w:keepLines w:val="0"/>
        <w:pageBreakBefore w:val="0"/>
        <w:widowControl w:val="0"/>
        <w:numPr>
          <w:ilvl w:val="1"/>
          <w:numId w:val="37"/>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乙方须建立健全适配本项目的物业服务管理制度、年度工作计划、各类突发事件应急预案，相关文件须在合同生效后15个工作日内完成编制并报甲方备案后方可实施；</w:t>
      </w:r>
    </w:p>
    <w:p>
      <w:pPr>
        <w:keepNext w:val="0"/>
        <w:keepLines w:val="0"/>
        <w:pageBreakBefore w:val="0"/>
        <w:widowControl w:val="0"/>
        <w:numPr>
          <w:ilvl w:val="1"/>
          <w:numId w:val="37"/>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严格执行24小时值班巡查制度，值班记录完整率须达到100%，项目档案资料差错率控制在1%以内；</w:t>
      </w:r>
    </w:p>
    <w:p>
      <w:pPr>
        <w:keepNext w:val="0"/>
        <w:keepLines w:val="0"/>
        <w:pageBreakBefore w:val="0"/>
        <w:widowControl w:val="0"/>
        <w:numPr>
          <w:ilvl w:val="1"/>
          <w:numId w:val="37"/>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sz w:val="24"/>
          <w:szCs w:val="24"/>
          <w:highlight w:val="none"/>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各类应急预案年度演练次数不得少于2次，演练方案、现场影像、复盘总结等全流程资料须完整存档，随时接受甲方及监管部门检查。</w:t>
      </w:r>
    </w:p>
    <w:p>
      <w:pPr>
        <w:keepNext w:val="0"/>
        <w:keepLines w:val="0"/>
        <w:pageBreakBefore w:val="0"/>
        <w:widowControl w:val="0"/>
        <w:numPr>
          <w:ilvl w:val="0"/>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sz w:val="24"/>
          <w:szCs w:val="24"/>
          <w:highlight w:val="none"/>
          <w:lang w:bidi="ar"/>
        </w:rPr>
      </w:pPr>
      <w:r>
        <w:rPr>
          <w:rFonts w:hint="eastAsia" w:ascii="宋体" w:hAnsi="宋体" w:eastAsia="宋体" w:cs="宋体"/>
          <w:b w:val="0"/>
          <w:i w:val="0"/>
          <w:caps w:val="0"/>
          <w:color w:val="auto"/>
          <w:spacing w:val="0"/>
          <w:kern w:val="2"/>
          <w:sz w:val="24"/>
          <w:szCs w:val="24"/>
          <w:highlight w:val="none"/>
          <w:shd w:val="clear"/>
          <w:vertAlign w:val="baseline"/>
          <w:lang w:val="en-US" w:eastAsia="zh-CN" w:bidi="ar"/>
        </w:rPr>
        <w:t>秩序维护与安全管理</w:t>
      </w:r>
    </w:p>
    <w:p>
      <w:pPr>
        <w:keepNext w:val="0"/>
        <w:keepLines w:val="0"/>
        <w:pageBreakBefore w:val="0"/>
        <w:widowControl w:val="0"/>
        <w:numPr>
          <w:ilvl w:val="1"/>
          <w:numId w:val="38"/>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乙方须制定并严格执行保安管理、消防安全、交通疏导、定点巡逻等专项管理制度，落实24小时不间断巡查机制，主动对接属地公安、消防部门建立联防联控工作机制；</w:t>
      </w:r>
    </w:p>
    <w:p>
      <w:pPr>
        <w:keepNext w:val="0"/>
        <w:keepLines w:val="0"/>
        <w:pageBreakBefore w:val="0"/>
        <w:widowControl w:val="0"/>
        <w:numPr>
          <w:ilvl w:val="1"/>
          <w:numId w:val="38"/>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所有门岗执行24小时值守制度，访客信息登记完整率须达到100%，大件物品离场须凭经承租方/业主方签字确认的《物品放行条》核验放行；</w:t>
      </w:r>
    </w:p>
    <w:p>
      <w:pPr>
        <w:keepNext w:val="0"/>
        <w:keepLines w:val="0"/>
        <w:pageBreakBefore w:val="0"/>
        <w:widowControl w:val="0"/>
        <w:numPr>
          <w:ilvl w:val="1"/>
          <w:numId w:val="38"/>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公共区域巡逻频次不低于每小时1次，每班次巡逻签到点设置不得少于12个，其中4座大剧院作为重点巡逻区域，专属签到点不得少于3个，巡查中发现异常情况须在5分钟内完成上报；</w:t>
      </w:r>
    </w:p>
    <w:p>
      <w:pPr>
        <w:keepNext w:val="0"/>
        <w:keepLines w:val="0"/>
        <w:pageBreakBefore w:val="0"/>
        <w:widowControl w:val="0"/>
        <w:numPr>
          <w:ilvl w:val="1"/>
          <w:numId w:val="38"/>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sz w:val="24"/>
          <w:szCs w:val="24"/>
          <w:highlight w:val="none"/>
          <w:lang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消防系统报警信号触发后，值守人员须在5分钟内完成现场响应，消防设施执行每日巡检制度，巡检记录须现场悬挂公示，接受各方监督。</w:t>
      </w:r>
      <w:r>
        <w:rPr>
          <w:rFonts w:hint="eastAsia" w:ascii="宋体" w:hAnsi="宋体" w:eastAsia="宋体" w:cs="宋体"/>
          <w:i w:val="0"/>
          <w:color w:val="auto"/>
          <w:kern w:val="0"/>
          <w:sz w:val="24"/>
          <w:szCs w:val="24"/>
          <w:highlight w:val="none"/>
          <w:u w:val="none"/>
          <w:lang w:val="en-US" w:eastAsia="zh-CN" w:bidi="ar"/>
        </w:rPr>
        <w:t>特别约定：</w:t>
      </w:r>
      <w:r>
        <w:rPr>
          <w:rFonts w:hint="eastAsia" w:ascii="宋体" w:hAnsi="宋体" w:eastAsia="宋体" w:cs="宋体"/>
          <w:color w:val="auto"/>
          <w:kern w:val="0"/>
          <w:sz w:val="24"/>
          <w:szCs w:val="24"/>
          <w:highlight w:val="none"/>
          <w:u w:val="none"/>
          <w:lang w:bidi="ar"/>
        </w:rPr>
        <w:t>消防系统报警信号</w:t>
      </w:r>
      <w:r>
        <w:rPr>
          <w:rFonts w:hint="eastAsia" w:ascii="宋体" w:hAnsi="宋体" w:eastAsia="宋体" w:cs="宋体"/>
          <w:i w:val="0"/>
          <w:caps w:val="0"/>
          <w:color w:val="auto"/>
          <w:spacing w:val="0"/>
          <w:kern w:val="2"/>
          <w:sz w:val="24"/>
          <w:szCs w:val="24"/>
          <w:highlight w:val="none"/>
          <w:shd w:val="clear"/>
          <w:vertAlign w:val="baseline"/>
          <w:lang w:val="en-US" w:eastAsia="zh-CN" w:bidi="ar"/>
        </w:rPr>
        <w:t>响应包含三水文化中心所有区域，无论是公共区域抑或是私有区域触发消防系统报警信号，乙方均应在前述要求时间内响应。</w:t>
      </w:r>
    </w:p>
    <w:p>
      <w:pPr>
        <w:keepNext w:val="0"/>
        <w:keepLines w:val="0"/>
        <w:pageBreakBefore w:val="0"/>
        <w:widowControl w:val="0"/>
        <w:numPr>
          <w:ilvl w:val="1"/>
          <w:numId w:val="38"/>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sz w:val="24"/>
          <w:szCs w:val="24"/>
          <w:highlight w:val="none"/>
          <w:lang w:bidi="ar"/>
        </w:rPr>
      </w:pPr>
      <w:r>
        <w:rPr>
          <w:rFonts w:hint="eastAsia" w:ascii="宋体" w:hAnsi="宋体" w:eastAsia="宋体" w:cs="宋体"/>
          <w:color w:val="auto"/>
          <w:sz w:val="24"/>
          <w:szCs w:val="24"/>
          <w:highlight w:val="none"/>
          <w:lang w:bidi="ar"/>
        </w:rPr>
        <w:t>未出租、空置的物业视为公共区域，乙方应定期对未出租、空置的物业所在区域进行巡查，</w:t>
      </w:r>
      <w:r>
        <w:rPr>
          <w:rFonts w:hint="eastAsia" w:ascii="宋体" w:hAnsi="宋体" w:eastAsia="宋体" w:cs="宋体"/>
          <w:color w:val="auto"/>
          <w:sz w:val="24"/>
          <w:szCs w:val="24"/>
          <w:highlight w:val="none"/>
          <w:lang w:eastAsia="zh-CN" w:bidi="ar"/>
        </w:rPr>
        <w:t>维护秩序及安全</w:t>
      </w:r>
      <w:r>
        <w:rPr>
          <w:rFonts w:hint="eastAsia" w:ascii="宋体" w:hAnsi="宋体" w:eastAsia="宋体" w:cs="宋体"/>
          <w:color w:val="auto"/>
          <w:sz w:val="24"/>
          <w:szCs w:val="24"/>
          <w:highlight w:val="none"/>
          <w:lang w:bidi="ar"/>
        </w:rPr>
        <w:t>。</w:t>
      </w:r>
    </w:p>
    <w:p>
      <w:pPr>
        <w:keepNext w:val="0"/>
        <w:keepLines w:val="0"/>
        <w:pageBreakBefore w:val="0"/>
        <w:widowControl w:val="0"/>
        <w:numPr>
          <w:ilvl w:val="0"/>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清洁保洁服务</w:t>
      </w:r>
    </w:p>
    <w:p>
      <w:pPr>
        <w:keepNext w:val="0"/>
        <w:keepLines w:val="0"/>
        <w:pageBreakBefore w:val="0"/>
        <w:widowControl w:val="0"/>
        <w:numPr>
          <w:ilvl w:val="1"/>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室外公共区域地面须在每日08:30前完成首次全面清扫，后续每1小时开展一次巡回保洁，每月完成1次全面冲洗作业；</w:t>
      </w:r>
    </w:p>
    <w:p>
      <w:pPr>
        <w:keepNext w:val="0"/>
        <w:keepLines w:val="0"/>
        <w:pageBreakBefore w:val="0"/>
        <w:widowControl w:val="0"/>
        <w:numPr>
          <w:ilvl w:val="1"/>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室内公共区域每日开展不少于1次全面清洁，公共区域垃圾桶内垃圾装载量不得超过容积的4/5，做到及时清运、无满溢；</w:t>
      </w:r>
    </w:p>
    <w:p>
      <w:pPr>
        <w:keepNext w:val="0"/>
        <w:keepLines w:val="0"/>
        <w:pageBreakBefore w:val="0"/>
        <w:widowControl w:val="0"/>
        <w:numPr>
          <w:ilvl w:val="1"/>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地下停车场每日开展巡回清扫，每周完成1次全面除尘作业，每月完成1次全面冲洗或深度拖地；</w:t>
      </w:r>
    </w:p>
    <w:p>
      <w:pPr>
        <w:keepNext w:val="0"/>
        <w:keepLines w:val="0"/>
        <w:pageBreakBefore w:val="0"/>
        <w:widowControl w:val="0"/>
        <w:numPr>
          <w:ilvl w:val="1"/>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公共区域各类设施设备表面每周完成1次擦抹作业，确保无积尘、无明显污渍、无外观破损；</w:t>
      </w:r>
    </w:p>
    <w:p>
      <w:pPr>
        <w:keepNext w:val="0"/>
        <w:keepLines w:val="0"/>
        <w:pageBreakBefore w:val="0"/>
        <w:widowControl w:val="0"/>
        <w:numPr>
          <w:ilvl w:val="1"/>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公共排水沟每月完成1次冲洗作业，每年汛期前须完成全管网全面疏通，避免积水堵塞；</w:t>
      </w:r>
    </w:p>
    <w:p>
      <w:pPr>
        <w:keepNext w:val="0"/>
        <w:keepLines w:val="0"/>
        <w:pageBreakBefore w:val="0"/>
        <w:widowControl w:val="0"/>
        <w:numPr>
          <w:ilvl w:val="1"/>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sz w:val="24"/>
          <w:szCs w:val="24"/>
          <w:highlight w:val="none"/>
          <w:lang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装修垃圾须在产生后48小时内完成清运，临时堆放点须设置硬质围挡并全覆盖，避免扬尘污染。</w:t>
      </w:r>
    </w:p>
    <w:p>
      <w:pPr>
        <w:keepNext w:val="0"/>
        <w:keepLines w:val="0"/>
        <w:pageBreakBefore w:val="0"/>
        <w:widowControl w:val="0"/>
        <w:numPr>
          <w:ilvl w:val="1"/>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sz w:val="24"/>
          <w:szCs w:val="24"/>
          <w:highlight w:val="none"/>
          <w:lang w:bidi="ar"/>
        </w:rPr>
      </w:pPr>
      <w:r>
        <w:rPr>
          <w:rFonts w:hint="eastAsia" w:ascii="宋体" w:hAnsi="宋体" w:eastAsia="宋体" w:cs="宋体"/>
          <w:color w:val="auto"/>
          <w:sz w:val="24"/>
          <w:szCs w:val="24"/>
          <w:highlight w:val="none"/>
          <w:lang w:bidi="ar"/>
        </w:rPr>
        <w:t>未出租、空置的物业</w:t>
      </w:r>
      <w:r>
        <w:rPr>
          <w:rFonts w:hint="eastAsia" w:ascii="宋体" w:hAnsi="宋体" w:eastAsia="宋体" w:cs="宋体"/>
          <w:color w:val="auto"/>
          <w:sz w:val="24"/>
          <w:szCs w:val="24"/>
          <w:highlight w:val="none"/>
          <w:lang w:eastAsia="zh-CN" w:bidi="ar"/>
        </w:rPr>
        <w:t>视为</w:t>
      </w:r>
      <w:r>
        <w:rPr>
          <w:rFonts w:hint="eastAsia" w:ascii="宋体" w:hAnsi="宋体" w:eastAsia="宋体" w:cs="宋体"/>
          <w:color w:val="auto"/>
          <w:sz w:val="24"/>
          <w:szCs w:val="24"/>
          <w:highlight w:val="none"/>
          <w:lang w:bidi="ar"/>
        </w:rPr>
        <w:t>公共区域</w:t>
      </w:r>
      <w:r>
        <w:rPr>
          <w:rFonts w:hint="eastAsia" w:ascii="宋体" w:hAnsi="宋体" w:eastAsia="宋体" w:cs="宋体"/>
          <w:color w:val="auto"/>
          <w:sz w:val="24"/>
          <w:szCs w:val="24"/>
          <w:highlight w:val="none"/>
          <w:lang w:eastAsia="zh-CN" w:bidi="ar"/>
        </w:rPr>
        <w:t>，乙方应</w:t>
      </w:r>
      <w:r>
        <w:rPr>
          <w:rFonts w:hint="eastAsia" w:ascii="宋体" w:hAnsi="宋体" w:eastAsia="宋体" w:cs="宋体"/>
          <w:color w:val="auto"/>
          <w:sz w:val="24"/>
          <w:szCs w:val="24"/>
          <w:highlight w:val="none"/>
          <w:lang w:bidi="ar"/>
        </w:rPr>
        <w:t>定期对未出租、空置的物业所在区域进行清洁</w:t>
      </w:r>
      <w:r>
        <w:rPr>
          <w:rFonts w:hint="eastAsia" w:ascii="宋体" w:hAnsi="宋体" w:eastAsia="宋体" w:cs="宋体"/>
          <w:color w:val="auto"/>
          <w:sz w:val="24"/>
          <w:szCs w:val="24"/>
          <w:highlight w:val="none"/>
          <w:lang w:eastAsia="zh-CN" w:bidi="ar"/>
        </w:rPr>
        <w:t>，保持</w:t>
      </w:r>
      <w:r>
        <w:rPr>
          <w:rFonts w:hint="eastAsia" w:ascii="宋体" w:hAnsi="宋体" w:eastAsia="宋体" w:cs="宋体"/>
          <w:color w:val="auto"/>
          <w:sz w:val="24"/>
          <w:szCs w:val="24"/>
          <w:highlight w:val="none"/>
          <w:lang w:bidi="ar"/>
        </w:rPr>
        <w:t>未出租、空置</w:t>
      </w:r>
      <w:r>
        <w:rPr>
          <w:rFonts w:hint="eastAsia" w:ascii="宋体" w:hAnsi="宋体" w:eastAsia="宋体" w:cs="宋体"/>
          <w:color w:val="auto"/>
          <w:sz w:val="24"/>
          <w:szCs w:val="24"/>
          <w:highlight w:val="none"/>
          <w:lang w:eastAsia="zh-CN" w:bidi="ar"/>
        </w:rPr>
        <w:t>整洁。</w:t>
      </w:r>
    </w:p>
    <w:p>
      <w:pPr>
        <w:keepNext w:val="0"/>
        <w:keepLines w:val="0"/>
        <w:pageBreakBefore w:val="0"/>
        <w:widowControl w:val="0"/>
        <w:numPr>
          <w:ilvl w:val="0"/>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sz w:val="24"/>
          <w:szCs w:val="24"/>
          <w:highlight w:val="none"/>
        </w:rPr>
      </w:pPr>
      <w:r>
        <w:rPr>
          <w:rFonts w:hint="eastAsia" w:ascii="宋体" w:hAnsi="宋体" w:eastAsia="宋体" w:cs="宋体"/>
          <w:i w:val="0"/>
          <w:caps w:val="0"/>
          <w:color w:val="auto"/>
          <w:spacing w:val="0"/>
          <w:sz w:val="24"/>
          <w:szCs w:val="24"/>
          <w:highlight w:val="none"/>
        </w:rPr>
        <w:t>绿化养护服务</w:t>
      </w:r>
    </w:p>
    <w:p>
      <w:pPr>
        <w:keepNext w:val="0"/>
        <w:keepLines w:val="0"/>
        <w:pageBreakBefore w:val="0"/>
        <w:widowControl w:val="0"/>
        <w:numPr>
          <w:ilvl w:val="1"/>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园区乔木每年完成2次规范修剪，分别为冬季整形修剪、台风季前疏枝修剪，乔木存活率须不低于98%；</w:t>
      </w:r>
    </w:p>
    <w:p>
      <w:pPr>
        <w:keepNext w:val="0"/>
        <w:keepLines w:val="0"/>
        <w:pageBreakBefore w:val="0"/>
        <w:widowControl w:val="0"/>
        <w:numPr>
          <w:ilvl w:val="1"/>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草坪年度修剪次数控制在8-10次，草坪覆盖率不低于90%，杂草占比控制在5%以内；</w:t>
      </w:r>
    </w:p>
    <w:p>
      <w:pPr>
        <w:keepNext w:val="0"/>
        <w:keepLines w:val="0"/>
        <w:pageBreakBefore w:val="0"/>
        <w:widowControl w:val="0"/>
        <w:numPr>
          <w:ilvl w:val="1"/>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病虫害专项巡查每月开展1次，发现病虫害隐患后须在3日内完成防治作业，优先选用低毒环保药剂，施药前须提前向园区内相关方发布公告；</w:t>
      </w:r>
    </w:p>
    <w:p>
      <w:pPr>
        <w:keepNext w:val="0"/>
        <w:keepLines w:val="0"/>
        <w:pageBreakBefore w:val="0"/>
        <w:widowControl w:val="0"/>
        <w:numPr>
          <w:ilvl w:val="1"/>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sz w:val="24"/>
          <w:szCs w:val="24"/>
          <w:highlight w:val="none"/>
          <w:lang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绿化植物年度施肥次数为2-3次，枯死苗木补植工作须在确认缺苗后7日内完成。</w:t>
      </w:r>
    </w:p>
    <w:p>
      <w:pPr>
        <w:keepNext w:val="0"/>
        <w:keepLines w:val="0"/>
        <w:pageBreakBefore w:val="0"/>
        <w:widowControl w:val="0"/>
        <w:numPr>
          <w:ilvl w:val="0"/>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sz w:val="24"/>
          <w:szCs w:val="24"/>
          <w:highlight w:val="none"/>
        </w:rPr>
      </w:pPr>
      <w:r>
        <w:rPr>
          <w:rFonts w:hint="eastAsia" w:ascii="宋体" w:hAnsi="宋体" w:eastAsia="宋体" w:cs="宋体"/>
          <w:i w:val="0"/>
          <w:caps w:val="0"/>
          <w:color w:val="auto"/>
          <w:spacing w:val="0"/>
          <w:sz w:val="24"/>
          <w:szCs w:val="24"/>
          <w:highlight w:val="none"/>
        </w:rPr>
        <w:t>设施设备运行管理</w:t>
      </w:r>
    </w:p>
    <w:p>
      <w:pPr>
        <w:keepNext w:val="0"/>
        <w:keepLines w:val="0"/>
        <w:pageBreakBefore w:val="0"/>
        <w:widowControl w:val="0"/>
        <w:numPr>
          <w:ilvl w:val="1"/>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消防、视频监控等关键系统执行24小时不间断巡检制度，特种作业岗位人员须100%持证上岗；</w:t>
      </w:r>
    </w:p>
    <w:p>
      <w:pPr>
        <w:keepNext w:val="0"/>
        <w:keepLines w:val="0"/>
        <w:pageBreakBefore w:val="0"/>
        <w:widowControl w:val="0"/>
        <w:numPr>
          <w:ilvl w:val="1"/>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供配电系统每日巡检次数不得少于3次，确保供电运行稳定；</w:t>
      </w:r>
    </w:p>
    <w:p>
      <w:pPr>
        <w:keepNext w:val="0"/>
        <w:keepLines w:val="0"/>
        <w:pageBreakBefore w:val="0"/>
        <w:widowControl w:val="0"/>
        <w:numPr>
          <w:ilvl w:val="1"/>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消防系统每月完成不少于10%的点位功能测试，年度内完成全点位全覆盖测试；</w:t>
      </w:r>
    </w:p>
    <w:p>
      <w:pPr>
        <w:keepNext w:val="0"/>
        <w:keepLines w:val="0"/>
        <w:pageBreakBefore w:val="0"/>
        <w:widowControl w:val="0"/>
        <w:numPr>
          <w:ilvl w:val="1"/>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电梯接到故障报修后，维保人员须在30分钟内抵达现场，一般故障须在2小时内完成修复；</w:t>
      </w:r>
    </w:p>
    <w:p>
      <w:pPr>
        <w:keepNext w:val="0"/>
        <w:keepLines w:val="0"/>
        <w:pageBreakBefore w:val="0"/>
        <w:widowControl w:val="0"/>
        <w:numPr>
          <w:ilvl w:val="1"/>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sz w:val="24"/>
          <w:szCs w:val="24"/>
          <w:highlight w:val="none"/>
          <w:lang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所有设施设备日常巡检记录须真实可追溯，记录真实率须达到100%，严禁弄虚作假。</w:t>
      </w:r>
    </w:p>
    <w:p>
      <w:pPr>
        <w:keepNext w:val="0"/>
        <w:keepLines w:val="0"/>
        <w:pageBreakBefore w:val="0"/>
        <w:widowControl w:val="0"/>
        <w:numPr>
          <w:ilvl w:val="0"/>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sz w:val="24"/>
          <w:szCs w:val="24"/>
          <w:highlight w:val="none"/>
        </w:rPr>
      </w:pPr>
      <w:r>
        <w:rPr>
          <w:rFonts w:hint="eastAsia" w:ascii="宋体" w:hAnsi="宋体" w:eastAsia="宋体" w:cs="宋体"/>
          <w:b w:val="0"/>
          <w:i w:val="0"/>
          <w:caps w:val="0"/>
          <w:color w:val="auto"/>
          <w:spacing w:val="0"/>
          <w:kern w:val="2"/>
          <w:sz w:val="24"/>
          <w:szCs w:val="24"/>
          <w:highlight w:val="none"/>
          <w:shd w:val="clear"/>
          <w:vertAlign w:val="baseline"/>
          <w:lang w:val="en-US" w:eastAsia="zh-CN" w:bidi="ar"/>
        </w:rPr>
        <w:t>公共卫生与生物防治</w:t>
      </w:r>
    </w:p>
    <w:p>
      <w:pPr>
        <w:keepNext w:val="0"/>
        <w:keepLines w:val="0"/>
        <w:pageBreakBefore w:val="0"/>
        <w:widowControl w:val="0"/>
        <w:numPr>
          <w:ilvl w:val="1"/>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园区“四害”消杀作业年度开展次数不得少于24次，有效控制病媒生物密度；</w:t>
      </w:r>
    </w:p>
    <w:p>
      <w:pPr>
        <w:keepNext w:val="0"/>
        <w:keepLines w:val="0"/>
        <w:pageBreakBefore w:val="0"/>
        <w:widowControl w:val="0"/>
        <w:numPr>
          <w:ilvl w:val="1"/>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白蚁防治年度开展不少于2次全面普查，发现蚁巢隐患后须在3日内完成专项处置；</w:t>
      </w:r>
    </w:p>
    <w:p>
      <w:pPr>
        <w:keepNext w:val="0"/>
        <w:keepLines w:val="0"/>
        <w:pageBreakBefore w:val="0"/>
        <w:widowControl w:val="0"/>
        <w:numPr>
          <w:ilvl w:val="1"/>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kern w:val="2"/>
          <w:sz w:val="24"/>
          <w:szCs w:val="24"/>
          <w:highlight w:val="none"/>
          <w:shd w:val="clear"/>
          <w:vertAlign w:val="baseline"/>
          <w:lang w:val="en-US" w:eastAsia="zh-CN"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生活水池、化粪池、隔油池须按规范定期清理清掏，避免堵塞、异味溢出；</w:t>
      </w:r>
    </w:p>
    <w:p>
      <w:pPr>
        <w:keepNext w:val="0"/>
        <w:keepLines w:val="0"/>
        <w:pageBreakBefore w:val="0"/>
        <w:widowControl w:val="0"/>
        <w:numPr>
          <w:ilvl w:val="1"/>
          <w:numId w:val="36"/>
        </w:numPr>
        <w:suppressLineNumbers w:val="0"/>
        <w:pBdr>
          <w:top w:val="none" w:color="auto" w:sz="0" w:space="0"/>
          <w:left w:val="none" w:color="auto" w:sz="0" w:space="0"/>
          <w:bottom w:val="none" w:color="auto" w:sz="0" w:space="0"/>
          <w:right w:val="none" w:color="auto" w:sz="0" w:space="0"/>
        </w:pBdr>
        <w:shd w:val="clear"/>
        <w:tabs>
          <w:tab w:val="left" w:pos="540"/>
        </w:tabs>
        <w:kinsoku/>
        <w:wordWrap/>
        <w:overflowPunct/>
        <w:topLinePunct w:val="0"/>
        <w:autoSpaceDE/>
        <w:autoSpaceDN/>
        <w:bidi w:val="0"/>
        <w:adjustRightInd w:val="0"/>
        <w:snapToGrid/>
        <w:spacing w:before="0" w:beforeAutospacing="0" w:afterAutospacing="0" w:line="312" w:lineRule="auto"/>
        <w:ind w:left="0" w:right="0" w:firstLine="420"/>
        <w:jc w:val="left"/>
        <w:textAlignment w:val="auto"/>
        <w:rPr>
          <w:rFonts w:hint="eastAsia" w:ascii="宋体" w:hAnsi="宋体" w:eastAsia="宋体" w:cs="宋体"/>
          <w:i w:val="0"/>
          <w:caps w:val="0"/>
          <w:color w:val="auto"/>
          <w:spacing w:val="0"/>
          <w:sz w:val="24"/>
          <w:szCs w:val="24"/>
          <w:highlight w:val="none"/>
          <w:lang w:bidi="ar"/>
        </w:rPr>
      </w:pPr>
      <w:r>
        <w:rPr>
          <w:rFonts w:hint="eastAsia" w:ascii="宋体" w:hAnsi="宋体" w:eastAsia="宋体" w:cs="宋体"/>
          <w:i w:val="0"/>
          <w:caps w:val="0"/>
          <w:color w:val="auto"/>
          <w:spacing w:val="0"/>
          <w:kern w:val="2"/>
          <w:sz w:val="24"/>
          <w:szCs w:val="24"/>
          <w:highlight w:val="none"/>
          <w:shd w:val="clear"/>
          <w:vertAlign w:val="baseline"/>
          <w:lang w:val="en-US" w:eastAsia="zh-CN" w:bidi="ar"/>
        </w:rPr>
        <w:t>建立突发公共卫生事件专项应急预案，遇相关事件须第一时间响应处置，配合属地部门落实防控要求。</w:t>
      </w:r>
    </w:p>
    <w:p>
      <w:pPr>
        <w:keepNext w:val="0"/>
        <w:keepLines w:val="0"/>
        <w:pageBreakBefore w:val="0"/>
        <w:widowControl w:val="0"/>
        <w:numPr>
          <w:ilvl w:val="0"/>
          <w:numId w:val="32"/>
        </w:numPr>
        <w:kinsoku/>
        <w:wordWrap/>
        <w:overflowPunct/>
        <w:topLinePunct w:val="0"/>
        <w:autoSpaceDE/>
        <w:autoSpaceDN/>
        <w:bidi w:val="0"/>
        <w:adjustRightInd/>
        <w:snapToGrid/>
        <w:spacing w:line="40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其他事项：</w:t>
      </w:r>
    </w:p>
    <w:p>
      <w:pPr>
        <w:keepNext w:val="0"/>
        <w:keepLines w:val="0"/>
        <w:pageBreakBefore w:val="0"/>
        <w:numPr>
          <w:ilvl w:val="0"/>
          <w:numId w:val="39"/>
        </w:numPr>
        <w:pBdr>
          <w:top w:val="none" w:color="auto" w:sz="0" w:space="0"/>
          <w:left w:val="none" w:color="auto" w:sz="0" w:space="0"/>
          <w:bottom w:val="none" w:color="auto" w:sz="0" w:space="0"/>
          <w:right w:val="none" w:color="auto" w:sz="0" w:space="0"/>
        </w:pBdr>
        <w:tabs>
          <w:tab w:val="left" w:pos="540"/>
        </w:tabs>
        <w:kinsoku/>
        <w:wordWrap/>
        <w:overflowPunct/>
        <w:topLinePunct w:val="0"/>
        <w:autoSpaceDE/>
        <w:autoSpaceDN/>
        <w:bidi w:val="0"/>
        <w:adjustRightInd w:val="0"/>
        <w:snapToGrid/>
        <w:spacing w:line="312" w:lineRule="auto"/>
        <w:ind w:firstLine="420"/>
        <w:jc w:val="left"/>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本项目物业服务所需全部工具、设备物料，包括但不限于办公设备、清洁用品、保安器械、对讲机设备、维修工具等，均由</w:t>
      </w:r>
      <w:r>
        <w:rPr>
          <w:rFonts w:hint="eastAsia" w:ascii="宋体" w:hAnsi="宋体" w:eastAsia="宋体" w:cs="宋体"/>
          <w:color w:val="auto"/>
          <w:sz w:val="24"/>
          <w:szCs w:val="24"/>
          <w:highlight w:val="none"/>
          <w:lang w:eastAsia="zh-CN" w:bidi="ar"/>
        </w:rPr>
        <w:t>乙方</w:t>
      </w:r>
      <w:r>
        <w:rPr>
          <w:rFonts w:hint="eastAsia" w:ascii="宋体" w:hAnsi="宋体" w:eastAsia="宋体" w:cs="宋体"/>
          <w:color w:val="auto"/>
          <w:sz w:val="24"/>
          <w:szCs w:val="24"/>
          <w:highlight w:val="none"/>
          <w:lang w:bidi="ar"/>
        </w:rPr>
        <w:t>自行负责购置，</w:t>
      </w:r>
      <w:r>
        <w:rPr>
          <w:rFonts w:hint="eastAsia" w:ascii="宋体" w:hAnsi="宋体" w:eastAsia="宋体" w:cs="宋体"/>
          <w:color w:val="auto"/>
          <w:sz w:val="24"/>
          <w:szCs w:val="24"/>
          <w:highlight w:val="none"/>
          <w:lang w:eastAsia="zh-CN" w:bidi="ar"/>
        </w:rPr>
        <w:t>甲方</w:t>
      </w:r>
      <w:r>
        <w:rPr>
          <w:rFonts w:hint="eastAsia" w:ascii="宋体" w:hAnsi="宋体" w:eastAsia="宋体" w:cs="宋体"/>
          <w:color w:val="auto"/>
          <w:sz w:val="24"/>
          <w:szCs w:val="24"/>
          <w:highlight w:val="none"/>
          <w:lang w:bidi="ar"/>
        </w:rPr>
        <w:t>可无偿提供必要的仓储场地供</w:t>
      </w:r>
      <w:r>
        <w:rPr>
          <w:rFonts w:hint="eastAsia" w:ascii="宋体" w:hAnsi="宋体" w:eastAsia="宋体" w:cs="宋体"/>
          <w:color w:val="auto"/>
          <w:sz w:val="24"/>
          <w:szCs w:val="24"/>
          <w:highlight w:val="none"/>
          <w:lang w:eastAsia="zh-CN" w:bidi="ar"/>
        </w:rPr>
        <w:t>乙方</w:t>
      </w:r>
      <w:r>
        <w:rPr>
          <w:rFonts w:hint="eastAsia" w:ascii="宋体" w:hAnsi="宋体" w:eastAsia="宋体" w:cs="宋体"/>
          <w:color w:val="auto"/>
          <w:sz w:val="24"/>
          <w:szCs w:val="24"/>
          <w:highlight w:val="none"/>
          <w:lang w:bidi="ar"/>
        </w:rPr>
        <w:t>存放相关物资。</w:t>
      </w:r>
    </w:p>
    <w:p>
      <w:pPr>
        <w:keepNext w:val="0"/>
        <w:keepLines w:val="0"/>
        <w:pageBreakBefore w:val="0"/>
        <w:numPr>
          <w:ilvl w:val="0"/>
          <w:numId w:val="39"/>
        </w:numPr>
        <w:pBdr>
          <w:top w:val="none" w:color="auto" w:sz="0" w:space="0"/>
          <w:left w:val="none" w:color="auto" w:sz="0" w:space="0"/>
          <w:bottom w:val="none" w:color="auto" w:sz="0" w:space="0"/>
          <w:right w:val="none" w:color="auto" w:sz="0" w:space="0"/>
        </w:pBdr>
        <w:tabs>
          <w:tab w:val="left" w:pos="540"/>
        </w:tabs>
        <w:kinsoku/>
        <w:wordWrap/>
        <w:overflowPunct/>
        <w:topLinePunct w:val="0"/>
        <w:autoSpaceDE/>
        <w:autoSpaceDN/>
        <w:bidi w:val="0"/>
        <w:adjustRightInd w:val="0"/>
        <w:snapToGrid/>
        <w:spacing w:line="312" w:lineRule="auto"/>
        <w:ind w:firstLine="420"/>
        <w:jc w:val="left"/>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eastAsia="zh-CN" w:bidi="ar"/>
        </w:rPr>
        <w:t>甲方</w:t>
      </w:r>
      <w:r>
        <w:rPr>
          <w:rFonts w:hint="eastAsia" w:ascii="宋体" w:hAnsi="宋体" w:eastAsia="宋体" w:cs="宋体"/>
          <w:color w:val="auto"/>
          <w:sz w:val="24"/>
          <w:szCs w:val="24"/>
          <w:highlight w:val="none"/>
          <w:lang w:bidi="ar"/>
        </w:rPr>
        <w:t>向</w:t>
      </w:r>
      <w:r>
        <w:rPr>
          <w:rFonts w:hint="eastAsia" w:ascii="宋体" w:hAnsi="宋体" w:eastAsia="宋体" w:cs="宋体"/>
          <w:color w:val="auto"/>
          <w:sz w:val="24"/>
          <w:szCs w:val="24"/>
          <w:highlight w:val="none"/>
          <w:lang w:eastAsia="zh-CN" w:bidi="ar"/>
        </w:rPr>
        <w:t>乙方</w:t>
      </w:r>
      <w:r>
        <w:rPr>
          <w:rFonts w:hint="eastAsia" w:ascii="宋体" w:hAnsi="宋体" w:eastAsia="宋体" w:cs="宋体"/>
          <w:color w:val="auto"/>
          <w:sz w:val="24"/>
          <w:szCs w:val="24"/>
          <w:highlight w:val="none"/>
          <w:lang w:bidi="ar"/>
        </w:rPr>
        <w:t>提供项目红线内产权归属于</w:t>
      </w:r>
      <w:r>
        <w:rPr>
          <w:rFonts w:hint="eastAsia" w:ascii="宋体" w:hAnsi="宋体" w:eastAsia="宋体" w:cs="宋体"/>
          <w:color w:val="auto"/>
          <w:sz w:val="24"/>
          <w:szCs w:val="24"/>
          <w:highlight w:val="none"/>
          <w:lang w:eastAsia="zh-CN" w:bidi="ar"/>
        </w:rPr>
        <w:t>甲方</w:t>
      </w:r>
      <w:r>
        <w:rPr>
          <w:rFonts w:hint="eastAsia" w:ascii="宋体" w:hAnsi="宋体" w:eastAsia="宋体" w:cs="宋体"/>
          <w:color w:val="auto"/>
          <w:sz w:val="24"/>
          <w:szCs w:val="24"/>
          <w:highlight w:val="none"/>
          <w:lang w:bidi="ar"/>
        </w:rPr>
        <w:t>的适量工作用房供其使用，工作用房内的办公设备、桌椅家具等用品由</w:t>
      </w:r>
      <w:r>
        <w:rPr>
          <w:rFonts w:hint="eastAsia" w:ascii="宋体" w:hAnsi="宋体" w:eastAsia="宋体" w:cs="宋体"/>
          <w:color w:val="auto"/>
          <w:sz w:val="24"/>
          <w:szCs w:val="24"/>
          <w:highlight w:val="none"/>
          <w:lang w:eastAsia="zh-CN" w:bidi="ar"/>
        </w:rPr>
        <w:t>乙方</w:t>
      </w:r>
      <w:r>
        <w:rPr>
          <w:rFonts w:hint="eastAsia" w:ascii="宋体" w:hAnsi="宋体" w:eastAsia="宋体" w:cs="宋体"/>
          <w:color w:val="auto"/>
          <w:sz w:val="24"/>
          <w:szCs w:val="24"/>
          <w:highlight w:val="none"/>
          <w:lang w:bidi="ar"/>
        </w:rPr>
        <w:t>自行购置，使用过程中产生的水、电、通讯等相关费用由</w:t>
      </w:r>
      <w:r>
        <w:rPr>
          <w:rFonts w:hint="eastAsia" w:ascii="宋体" w:hAnsi="宋体" w:eastAsia="宋体" w:cs="宋体"/>
          <w:color w:val="auto"/>
          <w:sz w:val="24"/>
          <w:szCs w:val="24"/>
          <w:highlight w:val="none"/>
          <w:lang w:eastAsia="zh-CN" w:bidi="ar"/>
        </w:rPr>
        <w:t>乙方</w:t>
      </w:r>
      <w:r>
        <w:rPr>
          <w:rFonts w:hint="eastAsia" w:ascii="宋体" w:hAnsi="宋体" w:eastAsia="宋体" w:cs="宋体"/>
          <w:color w:val="auto"/>
          <w:sz w:val="24"/>
          <w:szCs w:val="24"/>
          <w:highlight w:val="none"/>
          <w:lang w:bidi="ar"/>
        </w:rPr>
        <w:t>自行承担，</w:t>
      </w:r>
      <w:r>
        <w:rPr>
          <w:rFonts w:hint="eastAsia" w:ascii="宋体" w:hAnsi="宋体" w:eastAsia="宋体" w:cs="宋体"/>
          <w:color w:val="auto"/>
          <w:sz w:val="24"/>
          <w:szCs w:val="24"/>
          <w:highlight w:val="none"/>
          <w:lang w:eastAsia="zh-CN" w:bidi="ar"/>
        </w:rPr>
        <w:t>甲方</w:t>
      </w:r>
      <w:r>
        <w:rPr>
          <w:rFonts w:hint="eastAsia" w:ascii="宋体" w:hAnsi="宋体" w:eastAsia="宋体" w:cs="宋体"/>
          <w:color w:val="auto"/>
          <w:sz w:val="24"/>
          <w:szCs w:val="24"/>
          <w:highlight w:val="none"/>
          <w:lang w:bidi="ar"/>
        </w:rPr>
        <w:t>不提供任何服务人员的住宿用房。</w:t>
      </w:r>
    </w:p>
    <w:p>
      <w:pPr>
        <w:keepNext w:val="0"/>
        <w:keepLines w:val="0"/>
        <w:pageBreakBefore w:val="0"/>
        <w:numPr>
          <w:ilvl w:val="0"/>
          <w:numId w:val="39"/>
        </w:numPr>
        <w:pBdr>
          <w:top w:val="none" w:color="auto" w:sz="0" w:space="0"/>
          <w:left w:val="none" w:color="auto" w:sz="0" w:space="0"/>
          <w:bottom w:val="none" w:color="auto" w:sz="0" w:space="0"/>
          <w:right w:val="none" w:color="auto" w:sz="0" w:space="0"/>
        </w:pBdr>
        <w:tabs>
          <w:tab w:val="left" w:pos="540"/>
        </w:tabs>
        <w:kinsoku/>
        <w:wordWrap/>
        <w:overflowPunct/>
        <w:topLinePunct w:val="0"/>
        <w:autoSpaceDE/>
        <w:autoSpaceDN/>
        <w:bidi w:val="0"/>
        <w:adjustRightInd w:val="0"/>
        <w:snapToGrid/>
        <w:spacing w:line="312" w:lineRule="auto"/>
        <w:ind w:firstLine="420"/>
        <w:jc w:val="left"/>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提供秩序维护服务的安保人员，须完全符合《保安服务管理条例》规定的保安员任职条件及行业相关管理规定，</w:t>
      </w:r>
      <w:r>
        <w:rPr>
          <w:rFonts w:hint="eastAsia" w:ascii="宋体" w:hAnsi="宋体" w:eastAsia="宋体" w:cs="宋体"/>
          <w:color w:val="auto"/>
          <w:sz w:val="24"/>
          <w:szCs w:val="24"/>
          <w:highlight w:val="none"/>
          <w:lang w:eastAsia="zh-CN" w:bidi="ar"/>
        </w:rPr>
        <w:t>乙方</w:t>
      </w:r>
      <w:r>
        <w:rPr>
          <w:rFonts w:hint="eastAsia" w:ascii="宋体" w:hAnsi="宋体" w:eastAsia="宋体" w:cs="宋体"/>
          <w:color w:val="auto"/>
          <w:sz w:val="24"/>
          <w:szCs w:val="24"/>
          <w:highlight w:val="none"/>
          <w:lang w:bidi="ar"/>
        </w:rPr>
        <w:t>须按要求完成人员备案。</w:t>
      </w:r>
    </w:p>
    <w:p>
      <w:pPr>
        <w:keepNext w:val="0"/>
        <w:keepLines w:val="0"/>
        <w:pageBreakBefore w:val="0"/>
        <w:numPr>
          <w:ilvl w:val="0"/>
          <w:numId w:val="39"/>
        </w:numPr>
        <w:pBdr>
          <w:top w:val="none" w:color="auto" w:sz="0" w:space="0"/>
          <w:left w:val="none" w:color="auto" w:sz="0" w:space="0"/>
          <w:bottom w:val="none" w:color="auto" w:sz="0" w:space="0"/>
          <w:right w:val="none" w:color="auto" w:sz="0" w:space="0"/>
        </w:pBdr>
        <w:tabs>
          <w:tab w:val="left" w:pos="540"/>
        </w:tabs>
        <w:kinsoku/>
        <w:wordWrap/>
        <w:overflowPunct/>
        <w:topLinePunct w:val="0"/>
        <w:autoSpaceDE/>
        <w:autoSpaceDN/>
        <w:bidi w:val="0"/>
        <w:adjustRightInd w:val="0"/>
        <w:snapToGrid/>
        <w:spacing w:line="312" w:lineRule="auto"/>
        <w:ind w:firstLine="420"/>
        <w:jc w:val="left"/>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甲方严格按照合同约定，结合每月对乙方的服务质量考核结果，按月足额支付物业服务费；若甲方逾期支付服务费，每逾期一日，向乙方偿付欠款总额0.01%的违约金，累计违约金总额不超过欠款总额的1%。</w:t>
      </w:r>
    </w:p>
    <w:p>
      <w:pPr>
        <w:keepNext w:val="0"/>
        <w:keepLines w:val="0"/>
        <w:pageBreakBefore w:val="0"/>
        <w:widowControl w:val="0"/>
        <w:numPr>
          <w:ilvl w:val="0"/>
          <w:numId w:val="32"/>
        </w:numPr>
        <w:kinsoku/>
        <w:wordWrap/>
        <w:overflowPunct/>
        <w:topLinePunct w:val="0"/>
        <w:autoSpaceDE/>
        <w:autoSpaceDN/>
        <w:bidi w:val="0"/>
        <w:adjustRightInd/>
        <w:snapToGrid/>
        <w:spacing w:line="40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质量及安全文明要求:</w:t>
      </w:r>
    </w:p>
    <w:p>
      <w:pPr>
        <w:keepNext w:val="0"/>
        <w:keepLines w:val="0"/>
        <w:pageBreakBefore w:val="0"/>
        <w:numPr>
          <w:ilvl w:val="0"/>
          <w:numId w:val="40"/>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乙方须做好物业管理服务人员的安全教育和安全措施，保证员工的安全。</w:t>
      </w:r>
    </w:p>
    <w:p>
      <w:pPr>
        <w:keepNext w:val="0"/>
        <w:keepLines w:val="0"/>
        <w:pageBreakBefore w:val="0"/>
        <w:numPr>
          <w:ilvl w:val="0"/>
          <w:numId w:val="40"/>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甲方委托的物业范围内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因乙方原因导致</w:t>
      </w:r>
      <w:r>
        <w:rPr>
          <w:rFonts w:hint="eastAsia" w:ascii="宋体" w:hAnsi="宋体" w:eastAsia="宋体" w:cs="宋体"/>
          <w:color w:val="auto"/>
          <w:sz w:val="24"/>
          <w:szCs w:val="24"/>
          <w:highlight w:val="none"/>
        </w:rPr>
        <w:t>发生的事故及违法、违规行为，一切后果和责任依法由乙方承担。</w:t>
      </w:r>
    </w:p>
    <w:p>
      <w:pPr>
        <w:keepNext w:val="0"/>
        <w:keepLines w:val="0"/>
        <w:pageBreakBefore w:val="0"/>
        <w:numPr>
          <w:ilvl w:val="0"/>
          <w:numId w:val="40"/>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乙方在本项目合同执行期间，在服务范围内须保证无管理瑕疵导致刑事治安案件，无消防责任事故，无机械设备操作责任事故。</w:t>
      </w:r>
    </w:p>
    <w:p>
      <w:pPr>
        <w:keepNext w:val="0"/>
        <w:keepLines w:val="0"/>
        <w:pageBreakBefore w:val="0"/>
        <w:widowControl w:val="0"/>
        <w:numPr>
          <w:ilvl w:val="0"/>
          <w:numId w:val="32"/>
        </w:numPr>
        <w:kinsoku/>
        <w:wordWrap/>
        <w:overflowPunct/>
        <w:topLinePunct w:val="0"/>
        <w:autoSpaceDE/>
        <w:autoSpaceDN/>
        <w:bidi w:val="0"/>
        <w:adjustRightInd/>
        <w:snapToGrid/>
        <w:spacing w:line="40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组织管理要求:</w:t>
      </w:r>
    </w:p>
    <w:p>
      <w:pPr>
        <w:keepNext w:val="0"/>
        <w:keepLines w:val="0"/>
        <w:pageBreakBefore w:val="0"/>
        <w:numPr>
          <w:ilvl w:val="0"/>
          <w:numId w:val="41"/>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乙方应根据有关法律法规及本项目合同的约定，结合各岗位的特点制定物业管理制度、工作规程、考核办法和实施细则。</w:t>
      </w:r>
    </w:p>
    <w:p>
      <w:pPr>
        <w:keepNext w:val="0"/>
        <w:keepLines w:val="0"/>
        <w:pageBreakBefore w:val="0"/>
        <w:numPr>
          <w:ilvl w:val="0"/>
          <w:numId w:val="41"/>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甲方每月对乙方的服务质量进行考核（考核标准详见附件一《月度考核评分表》），考核满分 100 分。考核得分 90 分（含）以上为合格，甲方应当全额支付当月管理服务费；考核评分低于 90 分的，每少 1 分扣罚当月管理服务费的 1%；考核评分低于 75 分的，在按前述标准扣款的基础上，仅就低于 75 分的部分，每少 1 分扣罚当月管理服务费的 2%；考核评分低于 60 分的，扣罚当月管理服务费的 100%。若乙方连续2个月考核得分低于75 分（不含本数），或服务期内乙方累计3个月考核得分低于75 分（不含本数），则视为乙方不能履约，甲方有权单方解除本合同，并有权要求乙方支付相当于本合同总额10%的违约金；前述违约金不足以弥补甲方实际损失的，乙方还应当赔偿甲方全部损失。</w:t>
      </w:r>
    </w:p>
    <w:p>
      <w:pPr>
        <w:keepNext w:val="0"/>
        <w:keepLines w:val="0"/>
        <w:pageBreakBefore w:val="0"/>
        <w:numPr>
          <w:ilvl w:val="0"/>
          <w:numId w:val="41"/>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乙方应配合甲方做好疫情防控的相关工作，为</w:t>
      </w: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rPr>
        <w:t>的疫情防控做好后勤保障。</w:t>
      </w:r>
    </w:p>
    <w:p>
      <w:pPr>
        <w:keepNext w:val="0"/>
        <w:keepLines w:val="0"/>
        <w:pageBreakBefore w:val="0"/>
        <w:numPr>
          <w:ilvl w:val="0"/>
          <w:numId w:val="41"/>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乙方应积极主动协调、配合专业维保单位的工作，做好相关事项的督促、检查和后续跟进工作，如有问题及时向甲方汇报。</w:t>
      </w:r>
    </w:p>
    <w:p>
      <w:pPr>
        <w:keepNext w:val="0"/>
        <w:keepLines w:val="0"/>
        <w:pageBreakBefore w:val="0"/>
        <w:numPr>
          <w:ilvl w:val="0"/>
          <w:numId w:val="41"/>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color w:val="auto"/>
          <w:sz w:val="24"/>
          <w:szCs w:val="24"/>
          <w:highlight w:val="none"/>
        </w:rPr>
        <w:t>乙方按照国家规定和劳动合同的约定向工作人员及时足额支付劳动报酬，一切劳动合同及产生的劳务纠纷均由乙方负责。如乙方人员因劳动纠纷原因对甲方造成</w:t>
      </w:r>
      <w:r>
        <w:rPr>
          <w:rFonts w:hint="eastAsia" w:ascii="宋体" w:hAnsi="宋体" w:eastAsia="宋体" w:cs="宋体"/>
          <w:color w:val="auto"/>
          <w:sz w:val="24"/>
          <w:szCs w:val="24"/>
          <w:highlight w:val="none"/>
          <w:lang w:val="en-US" w:eastAsia="zh-CN"/>
        </w:rPr>
        <w:t>直接经济</w:t>
      </w:r>
      <w:r>
        <w:rPr>
          <w:rFonts w:hint="eastAsia" w:ascii="宋体" w:hAnsi="宋体" w:eastAsia="宋体" w:cs="宋体"/>
          <w:color w:val="auto"/>
          <w:sz w:val="24"/>
          <w:szCs w:val="24"/>
          <w:highlight w:val="none"/>
        </w:rPr>
        <w:t>损失的，甲方有权扣减物业管理服务费作为抵偿。如乙方工作人员在工作失误导致发生意外事故，一切责任由乙方负责。</w:t>
      </w:r>
      <w:bookmarkStart w:id="38" w:name="OLE_LINK25"/>
    </w:p>
    <w:bookmarkEnd w:id="38"/>
    <w:p>
      <w:pPr>
        <w:keepNext w:val="0"/>
        <w:keepLines w:val="0"/>
        <w:pageBreakBefore w:val="0"/>
        <w:numPr>
          <w:ilvl w:val="0"/>
          <w:numId w:val="41"/>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rPr>
      </w:pPr>
      <w:r>
        <w:rPr>
          <w:rStyle w:val="16"/>
          <w:rFonts w:hint="eastAsia" w:ascii="宋体" w:hAnsi="宋体" w:eastAsia="宋体" w:cs="宋体"/>
          <w:b w:val="0"/>
          <w:bCs/>
          <w:i w:val="0"/>
          <w:caps w:val="0"/>
          <w:color w:val="auto"/>
          <w:spacing w:val="0"/>
          <w:sz w:val="24"/>
          <w:szCs w:val="24"/>
          <w:highlight w:val="none"/>
          <w:shd w:val="clear" w:fill="FFFFFF"/>
          <w:vertAlign w:val="baseline"/>
        </w:rPr>
        <w:t>因乙方责任导致政府罚款、第三方索赔或甲方直接经济损失的，甲方有权在包干价外另行追偿，不受本合同固定总价、考核扣分或任何费用上限限制</w:t>
      </w:r>
      <w:r>
        <w:rPr>
          <w:rStyle w:val="16"/>
          <w:rFonts w:hint="eastAsia" w:ascii="宋体" w:hAnsi="宋体" w:eastAsia="宋体" w:cs="宋体"/>
          <w:b w:val="0"/>
          <w:bCs/>
          <w:i w:val="0"/>
          <w:caps w:val="0"/>
          <w:color w:val="auto"/>
          <w:spacing w:val="0"/>
          <w:sz w:val="24"/>
          <w:szCs w:val="24"/>
          <w:highlight w:val="none"/>
          <w:shd w:val="clear" w:fill="FFFFFF"/>
          <w:vertAlign w:val="baseline"/>
          <w:lang w:eastAsia="zh-CN"/>
        </w:rPr>
        <w:t>。</w:t>
      </w:r>
    </w:p>
    <w:p>
      <w:pPr>
        <w:keepNext w:val="0"/>
        <w:keepLines w:val="0"/>
        <w:pageBreakBefore w:val="0"/>
        <w:numPr>
          <w:ilvl w:val="0"/>
          <w:numId w:val="41"/>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乙方应保证各部门人员接受培训学习后有持续的服务时限，避免核心技术人员流失严重影响服务质量。</w:t>
      </w:r>
    </w:p>
    <w:p>
      <w:pPr>
        <w:keepNext w:val="0"/>
        <w:keepLines w:val="0"/>
        <w:pageBreakBefore w:val="0"/>
        <w:numPr>
          <w:ilvl w:val="0"/>
          <w:numId w:val="41"/>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乙方应针对各工作岗位的特点和要求，所有工作人员必须100%经过岗前培训，合格才能上岗。技能培训以在岗培训为主，如必须外出学习培训，乙方应当承担相应的差旅费用。</w:t>
      </w:r>
    </w:p>
    <w:p>
      <w:pPr>
        <w:keepNext w:val="0"/>
        <w:keepLines w:val="0"/>
        <w:pageBreakBefore w:val="0"/>
        <w:numPr>
          <w:ilvl w:val="0"/>
          <w:numId w:val="41"/>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乙方安排在甲方的所有工作人员必须遵纪守法不得从事非法活动。如有不熟悉操作或工作态度差的员工，甲方有权要求乙方更换相关工作人员。</w:t>
      </w:r>
    </w:p>
    <w:p>
      <w:pPr>
        <w:keepNext w:val="0"/>
        <w:keepLines w:val="0"/>
        <w:pageBreakBefore w:val="0"/>
        <w:numPr>
          <w:ilvl w:val="0"/>
          <w:numId w:val="41"/>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乙方对甲方委托的物业设施不得擅自占用和改变其使用功能。</w:t>
      </w:r>
    </w:p>
    <w:p>
      <w:pPr>
        <w:keepNext w:val="0"/>
        <w:keepLines w:val="0"/>
        <w:pageBreakBefore w:val="0"/>
        <w:numPr>
          <w:ilvl w:val="0"/>
          <w:numId w:val="41"/>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应遵守甲方的规章制度和管理规定，不得有违和损害人的利益，一切管理服务工作的实施，必须以服从服务于甲方工作需要为前提，以方便甲方为原则，避免因实施不当给甲方造成不利的影响；如乙方制定的管理制度与甲方的规章制度有抵触的，应以甲方的规章制度为依据进行合理调整，调整方案报甲方审核后方可实施。</w:t>
      </w:r>
    </w:p>
    <w:p>
      <w:pPr>
        <w:keepNext w:val="0"/>
        <w:keepLines w:val="0"/>
        <w:pageBreakBefore w:val="0"/>
        <w:numPr>
          <w:ilvl w:val="0"/>
          <w:numId w:val="41"/>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乙方若使用甲方提供的房屋和其他资料，应配合甲方做好交接登记，登记文书一式两份，盖章签收，乙方和甲方双方各执一份，乙方对甲方提供的设施设备负有保管责任，如有遗失损坏，按物品原价赔偿。</w:t>
      </w:r>
    </w:p>
    <w:p>
      <w:pPr>
        <w:keepNext w:val="0"/>
        <w:keepLines w:val="0"/>
        <w:pageBreakBefore w:val="0"/>
        <w:numPr>
          <w:ilvl w:val="0"/>
          <w:numId w:val="41"/>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本项目合同终止时，乙方积极配合与下一</w:t>
      </w:r>
      <w:r>
        <w:rPr>
          <w:rFonts w:hint="eastAsia" w:ascii="宋体" w:hAnsi="宋体" w:eastAsia="宋体" w:cs="宋体"/>
          <w:color w:val="auto"/>
          <w:sz w:val="24"/>
          <w:szCs w:val="24"/>
          <w:highlight w:val="none"/>
          <w:lang w:val="en-US" w:eastAsia="zh-CN"/>
        </w:rPr>
        <w:t>物业管理</w:t>
      </w:r>
      <w:r>
        <w:rPr>
          <w:rFonts w:hint="eastAsia" w:ascii="宋体" w:hAnsi="宋体" w:eastAsia="宋体" w:cs="宋体"/>
          <w:color w:val="auto"/>
          <w:sz w:val="24"/>
          <w:szCs w:val="24"/>
          <w:highlight w:val="none"/>
        </w:rPr>
        <w:t>服务单位交接，不得以任何方式阻碍交接，影响甲方单位正常工作，乙方必须无条件向甲方移交全部物业管理档案资料。</w:t>
      </w:r>
    </w:p>
    <w:p>
      <w:pPr>
        <w:keepNext w:val="0"/>
        <w:keepLines w:val="0"/>
        <w:pageBreakBefore w:val="0"/>
        <w:numPr>
          <w:ilvl w:val="0"/>
          <w:numId w:val="41"/>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本合同约定次数的服务内容，乙方进行相应服务时应形成台账（台账须包含水印相机照片，清晰显示地点、工作人员、时间等），甲方不定期检查台账，如发现乙方服务未达到相应次数要求、台账弄虚作假、台账不完整等情况的，</w:t>
      </w:r>
      <w:r>
        <w:rPr>
          <w:rFonts w:hint="eastAsia" w:ascii="宋体" w:hAnsi="宋体" w:eastAsia="宋体" w:cs="宋体"/>
          <w:color w:val="auto"/>
          <w:sz w:val="24"/>
          <w:szCs w:val="24"/>
          <w:highlight w:val="none"/>
        </w:rPr>
        <w:t>甲方有权限期乙方整改，并有权扣除当月服务费</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前述扣罚不足以弥补甲方实际损失的，乙方还应当赔偿甲方全部损失。</w:t>
      </w:r>
    </w:p>
    <w:p>
      <w:pPr>
        <w:numPr>
          <w:ilvl w:val="0"/>
          <w:numId w:val="41"/>
        </w:num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乙方服务未达到本合同约定</w:t>
      </w:r>
      <w:r>
        <w:rPr>
          <w:rFonts w:hint="eastAsia" w:ascii="宋体" w:hAnsi="宋体" w:eastAsia="宋体" w:cs="宋体"/>
          <w:color w:val="auto"/>
          <w:sz w:val="24"/>
          <w:szCs w:val="24"/>
          <w:highlight w:val="none"/>
          <w:lang w:eastAsia="zh-CN"/>
        </w:rPr>
        <w:t>要求</w:t>
      </w:r>
      <w:r>
        <w:rPr>
          <w:rFonts w:hint="eastAsia" w:ascii="宋体" w:hAnsi="宋体" w:eastAsia="宋体" w:cs="宋体"/>
          <w:color w:val="auto"/>
          <w:sz w:val="24"/>
          <w:szCs w:val="24"/>
          <w:highlight w:val="none"/>
        </w:rPr>
        <w:t>的，甲方有权要求乙方限期整改，经甲方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通知后乙方未按甲方要求整改或拒绝整改的，甲方有权单方解除本合同，并有权要求乙方支付相当于本合同总额</w:t>
      </w: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%的违约金；前述违约金不足以弥补甲方实际损失的，乙方还应当赔偿甲方全部损失。</w:t>
      </w:r>
    </w:p>
    <w:p>
      <w:pPr>
        <w:numPr>
          <w:ilvl w:val="0"/>
          <w:numId w:val="41"/>
        </w:numPr>
        <w:spacing w:line="400" w:lineRule="exact"/>
        <w:ind w:firstLine="480" w:firstLineChars="200"/>
        <w:rPr>
          <w:rFonts w:hint="eastAsia" w:ascii="宋体" w:hAnsi="宋体" w:eastAsia="宋体" w:cs="宋体"/>
          <w:color w:val="auto"/>
          <w:sz w:val="24"/>
          <w:szCs w:val="24"/>
          <w:highlight w:val="none"/>
        </w:rPr>
      </w:pPr>
      <w:bookmarkStart w:id="39" w:name="OLE_LINK4"/>
      <w:r>
        <w:rPr>
          <w:rFonts w:hint="eastAsia" w:ascii="宋体" w:hAnsi="宋体" w:eastAsia="宋体" w:cs="宋体"/>
          <w:color w:val="auto"/>
          <w:sz w:val="24"/>
          <w:szCs w:val="24"/>
          <w:highlight w:val="none"/>
          <w:lang w:eastAsia="zh-CN"/>
        </w:rPr>
        <w:t>因乙方责任导致发生重大安全事故的，</w:t>
      </w:r>
      <w:r>
        <w:rPr>
          <w:rFonts w:hint="eastAsia" w:ascii="宋体" w:hAnsi="宋体" w:eastAsia="宋体" w:cs="宋体"/>
          <w:color w:val="auto"/>
          <w:sz w:val="24"/>
          <w:szCs w:val="24"/>
          <w:highlight w:val="none"/>
        </w:rPr>
        <w:t>甲方有权单方解除本合同，并有权要求乙方支付相当于本合同总额</w:t>
      </w: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%的违约金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前述违约金不足以弥补甲方实际损失的，乙方还应当赔偿甲方全部损失。</w:t>
      </w:r>
      <w:bookmarkEnd w:id="39"/>
    </w:p>
    <w:p>
      <w:pPr>
        <w:keepNext w:val="0"/>
        <w:keepLines w:val="0"/>
        <w:pageBreakBefore w:val="0"/>
        <w:widowControl w:val="0"/>
        <w:numPr>
          <w:ilvl w:val="0"/>
          <w:numId w:val="32"/>
        </w:numPr>
        <w:kinsoku/>
        <w:wordWrap/>
        <w:overflowPunct/>
        <w:topLinePunct w:val="0"/>
        <w:autoSpaceDE/>
        <w:autoSpaceDN/>
        <w:bidi w:val="0"/>
        <w:adjustRightInd/>
        <w:snapToGrid/>
        <w:spacing w:line="40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物业管理服务对照执行标准：</w:t>
      </w:r>
    </w:p>
    <w:p>
      <w:pPr>
        <w:keepNext w:val="0"/>
        <w:keepLines w:val="0"/>
        <w:pageBreakBefore w:val="0"/>
        <w:numPr>
          <w:ilvl w:val="0"/>
          <w:numId w:val="42"/>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符合国家《物业管理条例》、《广东省物业管理条例》、《保安服务管理条例》；</w:t>
      </w:r>
    </w:p>
    <w:p>
      <w:pPr>
        <w:keepNext w:val="0"/>
        <w:keepLines w:val="0"/>
        <w:pageBreakBefore w:val="0"/>
        <w:numPr>
          <w:ilvl w:val="0"/>
          <w:numId w:val="42"/>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符合中华人民共和国国家和履约地相关安全质量标准、行业技术规范标准；</w:t>
      </w:r>
    </w:p>
    <w:p>
      <w:pPr>
        <w:keepNext w:val="0"/>
        <w:keepLines w:val="0"/>
        <w:pageBreakBefore w:val="0"/>
        <w:numPr>
          <w:ilvl w:val="0"/>
          <w:numId w:val="42"/>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符合采购文件和响应承诺中各方共同认可的合理要求；</w:t>
      </w:r>
    </w:p>
    <w:p>
      <w:pPr>
        <w:keepNext w:val="0"/>
        <w:keepLines w:val="0"/>
        <w:pageBreakBefore w:val="0"/>
        <w:numPr>
          <w:ilvl w:val="0"/>
          <w:numId w:val="42"/>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上述各类标准与法规必须是有关官方机构最新发布的现行标准版本。</w:t>
      </w:r>
    </w:p>
    <w:p>
      <w:pPr>
        <w:keepNext w:val="0"/>
        <w:keepLines w:val="0"/>
        <w:pageBreakBefore w:val="0"/>
        <w:widowControl w:val="0"/>
        <w:numPr>
          <w:ilvl w:val="0"/>
          <w:numId w:val="32"/>
        </w:numPr>
        <w:kinsoku/>
        <w:wordWrap/>
        <w:overflowPunct/>
        <w:topLinePunct w:val="0"/>
        <w:autoSpaceDE/>
        <w:autoSpaceDN/>
        <w:bidi w:val="0"/>
        <w:adjustRightInd/>
        <w:snapToGrid/>
        <w:spacing w:line="40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不可抗力</w:t>
      </w:r>
    </w:p>
    <w:p>
      <w:pPr>
        <w:keepNext w:val="0"/>
        <w:keepLines w:val="0"/>
        <w:pageBreakBefore w:val="0"/>
        <w:widowControl/>
        <w:numPr>
          <w:ilvl w:val="0"/>
          <w:numId w:val="43"/>
        </w:numPr>
        <w:tabs>
          <w:tab w:val="left" w:pos="840"/>
        </w:tabs>
        <w:kinsoku/>
        <w:wordWrap/>
        <w:overflowPunct/>
        <w:topLinePunct w:val="0"/>
        <w:autoSpaceDE/>
        <w:autoSpaceDN/>
        <w:bidi w:val="0"/>
        <w:adjustRightInd/>
        <w:snapToGrid/>
        <w:spacing w:before="0" w:after="0" w:line="400" w:lineRule="exact"/>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由于不可预见、不可避免、不可克服等不可抗力的原因，一方不能履行合同义务的，应当在不可抗力发生之日起</w:t>
      </w:r>
      <w:r>
        <w:rPr>
          <w:rFonts w:hint="eastAsia" w:ascii="宋体" w:hAnsi="宋体" w:eastAsia="宋体" w:cs="宋体"/>
          <w:color w:val="auto"/>
          <w:kern w:val="0"/>
          <w:sz w:val="24"/>
          <w:szCs w:val="24"/>
          <w:highlight w:val="none"/>
          <w:u w:val="single"/>
        </w:rPr>
        <w:t>30</w:t>
      </w:r>
      <w:r>
        <w:rPr>
          <w:rFonts w:hint="eastAsia" w:ascii="宋体" w:hAnsi="宋体" w:eastAsia="宋体" w:cs="宋体"/>
          <w:color w:val="auto"/>
          <w:kern w:val="0"/>
          <w:sz w:val="24"/>
          <w:szCs w:val="24"/>
          <w:highlight w:val="none"/>
        </w:rPr>
        <w:t>天内以书面形式通知对方，证明不可抗力事件的存在。</w:t>
      </w:r>
    </w:p>
    <w:p>
      <w:pPr>
        <w:keepNext w:val="0"/>
        <w:keepLines w:val="0"/>
        <w:pageBreakBefore w:val="0"/>
        <w:widowControl/>
        <w:numPr>
          <w:ilvl w:val="0"/>
          <w:numId w:val="43"/>
        </w:numPr>
        <w:tabs>
          <w:tab w:val="left" w:pos="840"/>
        </w:tabs>
        <w:kinsoku/>
        <w:wordWrap/>
        <w:overflowPunct/>
        <w:topLinePunct w:val="0"/>
        <w:autoSpaceDE/>
        <w:autoSpaceDN/>
        <w:bidi w:val="0"/>
        <w:adjustRightInd/>
        <w:snapToGrid/>
        <w:spacing w:before="0" w:after="0" w:line="400" w:lineRule="exact"/>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不可抗力事件发生后，甲方和乙方应当积极寻求以合理的方式履行本协议。如不可抗力无法消除，致使协议目的无法实现的，双方均有权解除协议，且均不互相索赔。</w:t>
      </w:r>
    </w:p>
    <w:p>
      <w:pPr>
        <w:keepNext w:val="0"/>
        <w:keepLines w:val="0"/>
        <w:pageBreakBefore w:val="0"/>
        <w:widowControl w:val="0"/>
        <w:numPr>
          <w:ilvl w:val="0"/>
          <w:numId w:val="32"/>
        </w:numPr>
        <w:kinsoku/>
        <w:wordWrap/>
        <w:overflowPunct/>
        <w:topLinePunct w:val="0"/>
        <w:autoSpaceDE/>
        <w:autoSpaceDN/>
        <w:bidi w:val="0"/>
        <w:adjustRightInd/>
        <w:snapToGrid/>
        <w:spacing w:line="40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争议及解决办法</w:t>
      </w:r>
    </w:p>
    <w:p>
      <w:pPr>
        <w:keepNext w:val="0"/>
        <w:keepLines w:val="0"/>
        <w:pageBreakBefore w:val="0"/>
        <w:widowControl/>
        <w:numPr>
          <w:ilvl w:val="0"/>
          <w:numId w:val="44"/>
        </w:numPr>
        <w:tabs>
          <w:tab w:val="left" w:pos="840"/>
        </w:tabs>
        <w:kinsoku/>
        <w:wordWrap/>
        <w:overflowPunct/>
        <w:topLinePunct w:val="0"/>
        <w:autoSpaceDE/>
        <w:autoSpaceDN/>
        <w:bidi w:val="0"/>
        <w:adjustRightInd/>
        <w:snapToGrid/>
        <w:spacing w:before="0" w:after="0" w:line="400" w:lineRule="exact"/>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本协议发生争议，由双方协商或行政</w:t>
      </w:r>
      <w:r>
        <w:rPr>
          <w:rFonts w:hint="eastAsia" w:ascii="宋体" w:hAnsi="宋体" w:eastAsia="宋体" w:cs="宋体"/>
          <w:color w:val="auto"/>
          <w:kern w:val="0"/>
          <w:sz w:val="24"/>
          <w:szCs w:val="24"/>
          <w:highlight w:val="none"/>
          <w:lang w:val="en-US" w:eastAsia="zh-CN"/>
        </w:rPr>
        <w:t>管理</w:t>
      </w:r>
      <w:r>
        <w:rPr>
          <w:rFonts w:hint="eastAsia" w:ascii="宋体" w:hAnsi="宋体" w:eastAsia="宋体" w:cs="宋体"/>
          <w:color w:val="auto"/>
          <w:kern w:val="0"/>
          <w:sz w:val="24"/>
          <w:szCs w:val="24"/>
          <w:highlight w:val="none"/>
        </w:rPr>
        <w:t>部门调解解决，协商或调解不成时向甲方所在地人民法院提起诉讼。</w:t>
      </w:r>
    </w:p>
    <w:p>
      <w:pPr>
        <w:keepNext w:val="0"/>
        <w:keepLines w:val="0"/>
        <w:pageBreakBefore w:val="0"/>
        <w:widowControl w:val="0"/>
        <w:numPr>
          <w:ilvl w:val="0"/>
          <w:numId w:val="32"/>
        </w:numPr>
        <w:kinsoku/>
        <w:wordWrap/>
        <w:overflowPunct/>
        <w:topLinePunct w:val="0"/>
        <w:autoSpaceDE/>
        <w:autoSpaceDN/>
        <w:bidi w:val="0"/>
        <w:adjustRightInd/>
        <w:snapToGrid/>
        <w:spacing w:line="40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其他</w:t>
      </w:r>
    </w:p>
    <w:p>
      <w:pPr>
        <w:keepNext w:val="0"/>
        <w:keepLines w:val="0"/>
        <w:pageBreakBefore w:val="0"/>
        <w:widowControl/>
        <w:numPr>
          <w:ilvl w:val="0"/>
          <w:numId w:val="45"/>
        </w:numPr>
        <w:kinsoku/>
        <w:wordWrap/>
        <w:overflowPunct/>
        <w:topLinePunct w:val="0"/>
        <w:autoSpaceDE/>
        <w:autoSpaceDN/>
        <w:bidi w:val="0"/>
        <w:adjustRightInd/>
        <w:snapToGrid/>
        <w:spacing w:before="0" w:after="0" w:line="400" w:lineRule="exact"/>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本协议一式</w:t>
      </w:r>
      <w:r>
        <w:rPr>
          <w:rFonts w:hint="eastAsia" w:ascii="宋体" w:hAnsi="宋体" w:eastAsia="宋体" w:cs="宋体"/>
          <w:color w:val="auto"/>
          <w:kern w:val="0"/>
          <w:sz w:val="24"/>
          <w:szCs w:val="24"/>
          <w:highlight w:val="none"/>
          <w:lang w:val="en-US" w:eastAsia="zh-CN"/>
        </w:rPr>
        <w:t>四</w:t>
      </w:r>
      <w:r>
        <w:rPr>
          <w:rFonts w:hint="eastAsia" w:ascii="宋体" w:hAnsi="宋体" w:eastAsia="宋体" w:cs="宋体"/>
          <w:color w:val="auto"/>
          <w:kern w:val="0"/>
          <w:sz w:val="24"/>
          <w:szCs w:val="24"/>
          <w:highlight w:val="none"/>
        </w:rPr>
        <w:t>份，具有同等效力，甲方执</w:t>
      </w:r>
      <w:r>
        <w:rPr>
          <w:rFonts w:hint="eastAsia" w:ascii="宋体" w:hAnsi="宋体" w:eastAsia="宋体" w:cs="宋体"/>
          <w:color w:val="auto"/>
          <w:kern w:val="0"/>
          <w:sz w:val="24"/>
          <w:szCs w:val="24"/>
          <w:highlight w:val="none"/>
          <w:lang w:val="en-US" w:eastAsia="zh-CN"/>
        </w:rPr>
        <w:t>二</w:t>
      </w:r>
      <w:r>
        <w:rPr>
          <w:rFonts w:hint="eastAsia" w:ascii="宋体" w:hAnsi="宋体" w:eastAsia="宋体" w:cs="宋体"/>
          <w:color w:val="auto"/>
          <w:kern w:val="0"/>
          <w:sz w:val="24"/>
          <w:szCs w:val="24"/>
          <w:highlight w:val="none"/>
        </w:rPr>
        <w:t>份、乙方执</w:t>
      </w:r>
      <w:r>
        <w:rPr>
          <w:rFonts w:hint="eastAsia" w:ascii="宋体" w:hAnsi="宋体" w:eastAsia="宋体" w:cs="宋体"/>
          <w:color w:val="auto"/>
          <w:kern w:val="0"/>
          <w:sz w:val="24"/>
          <w:szCs w:val="24"/>
          <w:highlight w:val="none"/>
          <w:lang w:val="en-US" w:eastAsia="zh-CN"/>
        </w:rPr>
        <w:t>二</w:t>
      </w:r>
      <w:r>
        <w:rPr>
          <w:rFonts w:hint="eastAsia" w:ascii="宋体" w:hAnsi="宋体" w:eastAsia="宋体" w:cs="宋体"/>
          <w:color w:val="auto"/>
          <w:kern w:val="0"/>
          <w:sz w:val="24"/>
          <w:szCs w:val="24"/>
          <w:highlight w:val="none"/>
        </w:rPr>
        <w:t>份。若本补充协议有与合同存在冲突以补充协议为准。</w:t>
      </w:r>
    </w:p>
    <w:p>
      <w:pPr>
        <w:keepNext w:val="0"/>
        <w:keepLines w:val="0"/>
        <w:pageBreakBefore w:val="0"/>
        <w:widowControl/>
        <w:numPr>
          <w:ilvl w:val="0"/>
          <w:numId w:val="45"/>
        </w:numPr>
        <w:kinsoku/>
        <w:wordWrap/>
        <w:overflowPunct/>
        <w:topLinePunct w:val="0"/>
        <w:autoSpaceDE/>
        <w:autoSpaceDN/>
        <w:bidi w:val="0"/>
        <w:adjustRightInd/>
        <w:snapToGrid/>
        <w:spacing w:before="0" w:after="0" w:line="400" w:lineRule="exact"/>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本合同及</w:t>
      </w:r>
      <w:r>
        <w:rPr>
          <w:rFonts w:hint="eastAsia" w:ascii="宋体" w:hAnsi="宋体" w:eastAsia="宋体" w:cs="宋体"/>
          <w:color w:val="auto"/>
          <w:kern w:val="0"/>
          <w:sz w:val="24"/>
          <w:szCs w:val="24"/>
          <w:highlight w:val="none"/>
        </w:rPr>
        <w:t>未尽事宜，由双方协商处理。</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360" w:leftChars="0" w:right="0" w:rightChars="0"/>
        <w:textAlignment w:val="baseline"/>
        <w:rPr>
          <w:rFonts w:hint="eastAsia" w:ascii="宋体" w:hAnsi="宋体" w:eastAsia="宋体" w:cs="宋体"/>
          <w:color w:val="auto"/>
          <w:sz w:val="24"/>
          <w:szCs w:val="24"/>
          <w:highlight w:val="no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0"/>
        <w:jc w:val="left"/>
        <w:textAlignment w:val="baseline"/>
        <w:rPr>
          <w:rFonts w:hint="eastAsia" w:ascii="宋体" w:hAnsi="宋体" w:eastAsia="宋体" w:cs="宋体"/>
          <w:i w:val="0"/>
          <w:caps w:val="0"/>
          <w:color w:val="auto"/>
          <w:spacing w:val="0"/>
          <w:sz w:val="24"/>
          <w:szCs w:val="24"/>
          <w:highlight w:val="none"/>
        </w:rPr>
      </w:pPr>
      <w:r>
        <w:rPr>
          <w:rStyle w:val="16"/>
          <w:rFonts w:hint="eastAsia" w:ascii="宋体" w:hAnsi="宋体" w:eastAsia="宋体" w:cs="宋体"/>
          <w:b/>
          <w:i w:val="0"/>
          <w:caps w:val="0"/>
          <w:color w:val="auto"/>
          <w:spacing w:val="0"/>
          <w:kern w:val="0"/>
          <w:sz w:val="24"/>
          <w:szCs w:val="24"/>
          <w:highlight w:val="none"/>
          <w:shd w:val="clear" w:fill="FFFFFF"/>
          <w:vertAlign w:val="baseline"/>
          <w:lang w:val="en-US" w:eastAsia="zh-CN" w:bidi="ar"/>
        </w:rPr>
        <w:t>甲方（盖章）：</w:t>
      </w: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br w:type="textWrapping"/>
      </w: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t>法定代表人/授权代表（签字）：</w:t>
      </w: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br w:type="textWrapping"/>
      </w: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t>日期：【   】年【   】月【   】日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0"/>
        <w:jc w:val="left"/>
        <w:textAlignment w:val="baseline"/>
        <w:rPr>
          <w:rStyle w:val="16"/>
          <w:rFonts w:hint="eastAsia" w:ascii="宋体" w:hAnsi="宋体" w:eastAsia="宋体" w:cs="宋体"/>
          <w:b/>
          <w:i w:val="0"/>
          <w:caps w:val="0"/>
          <w:color w:val="auto"/>
          <w:spacing w:val="0"/>
          <w:kern w:val="0"/>
          <w:sz w:val="24"/>
          <w:szCs w:val="24"/>
          <w:highlight w:val="none"/>
          <w:shd w:val="clear" w:fill="FFFFFF"/>
          <w:vertAlign w:val="baseli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0"/>
        <w:jc w:val="left"/>
        <w:textAlignment w:val="baseline"/>
        <w:rPr>
          <w:rStyle w:val="16"/>
          <w:rFonts w:hint="eastAsia" w:ascii="宋体" w:hAnsi="宋体" w:eastAsia="宋体" w:cs="宋体"/>
          <w:b/>
          <w:i w:val="0"/>
          <w:caps w:val="0"/>
          <w:color w:val="auto"/>
          <w:spacing w:val="0"/>
          <w:kern w:val="0"/>
          <w:sz w:val="24"/>
          <w:szCs w:val="24"/>
          <w:highlight w:val="none"/>
          <w:shd w:val="clear" w:fill="FFFFFF"/>
          <w:vertAlign w:val="baseli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0"/>
        <w:jc w:val="left"/>
        <w:textAlignment w:val="baseline"/>
        <w:rPr>
          <w:rFonts w:hint="eastAsia" w:ascii="宋体" w:hAnsi="宋体" w:eastAsia="宋体" w:cs="宋体"/>
          <w:i w:val="0"/>
          <w:caps w:val="0"/>
          <w:color w:val="auto"/>
          <w:spacing w:val="0"/>
          <w:sz w:val="24"/>
          <w:szCs w:val="24"/>
          <w:highlight w:val="none"/>
        </w:rPr>
      </w:pPr>
      <w:r>
        <w:rPr>
          <w:rStyle w:val="16"/>
          <w:rFonts w:hint="eastAsia" w:ascii="宋体" w:hAnsi="宋体" w:eastAsia="宋体" w:cs="宋体"/>
          <w:b/>
          <w:i w:val="0"/>
          <w:caps w:val="0"/>
          <w:color w:val="auto"/>
          <w:spacing w:val="0"/>
          <w:kern w:val="0"/>
          <w:sz w:val="24"/>
          <w:szCs w:val="24"/>
          <w:highlight w:val="none"/>
          <w:shd w:val="clear" w:fill="FFFFFF"/>
          <w:vertAlign w:val="baseline"/>
          <w:lang w:val="en-US" w:eastAsia="zh-CN" w:bidi="ar"/>
        </w:rPr>
        <w:t>乙方（盖章）：</w:t>
      </w: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br w:type="textWrapping"/>
      </w: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t>法定代表人/授权代表（签字）：</w:t>
      </w: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br w:type="textWrapping"/>
      </w: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t>日期：【   】年【   】月【   】日</w:t>
      </w:r>
    </w:p>
    <w:p>
      <w:pPr>
        <w:spacing w:line="360" w:lineRule="auto"/>
        <w:rPr>
          <w:rFonts w:hint="eastAsia" w:ascii="宋体" w:hAnsi="宋体" w:eastAsia="宋体" w:cs="宋体"/>
          <w:color w:val="auto"/>
          <w:sz w:val="21"/>
          <w:szCs w:val="21"/>
          <w:highlight w:val="none"/>
        </w:rPr>
      </w:pPr>
    </w:p>
    <w:p>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br w:type="page"/>
      </w:r>
    </w:p>
    <w:p>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附件一</w:t>
      </w:r>
    </w:p>
    <w:tbl>
      <w:tblPr>
        <w:tblStyle w:val="13"/>
        <w:tblW w:w="85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73"/>
        <w:gridCol w:w="1315"/>
        <w:gridCol w:w="2950"/>
        <w:gridCol w:w="2137"/>
        <w:gridCol w:w="888"/>
        <w:gridCol w:w="9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0" w:hRule="atLeast"/>
        </w:trPr>
        <w:tc>
          <w:tcPr>
            <w:tcW w:w="8575" w:type="dxa"/>
            <w:gridSpan w:val="6"/>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auto"/>
                <w:sz w:val="21"/>
                <w:szCs w:val="21"/>
                <w:highlight w:val="none"/>
                <w:u w:val="none"/>
              </w:rPr>
            </w:pPr>
            <w:r>
              <w:rPr>
                <w:rFonts w:hint="eastAsia" w:ascii="宋体" w:hAnsi="宋体" w:eastAsia="宋体" w:cs="宋体"/>
                <w:b/>
                <w:bCs/>
                <w:i w:val="0"/>
                <w:color w:val="auto"/>
                <w:kern w:val="0"/>
                <w:sz w:val="21"/>
                <w:szCs w:val="21"/>
                <w:highlight w:val="none"/>
                <w:u w:val="none"/>
                <w:lang w:val="en-US" w:eastAsia="zh-CN" w:bidi="ar"/>
              </w:rPr>
              <w:t>三水文化中心物业管理服务月度考核表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0" w:hRule="atLeast"/>
        </w:trPr>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1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考核维度（权重）</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关键指标</w:t>
            </w:r>
          </w:p>
        </w:tc>
        <w:tc>
          <w:tcPr>
            <w:tcW w:w="21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扣分细则（单次/项）</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得分</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扣分原因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0" w:hRule="atLeast"/>
        </w:trPr>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服务态度与沟通（10分）</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着装整齐0例；零口角推诿；未达合同服务内容及标准，经甲方书面指出后未在限期内整改；</w:t>
            </w:r>
          </w:p>
        </w:tc>
        <w:tc>
          <w:tcPr>
            <w:tcW w:w="21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衣衫不整1例扣1分；口角/推诿1次扣5分；限期内未整改1项扣10分；</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00" w:hRule="atLeast"/>
        </w:trPr>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1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秩序维护（30分）</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火灾发生率0；违章处理率100%；道路交通及停车秩序0混乱；盗抢事件</w:t>
            </w:r>
            <w:r>
              <w:rPr>
                <w:rFonts w:hint="eastAsia" w:ascii="宋体" w:hAnsi="宋体" w:cs="宋体"/>
                <w:i w:val="0"/>
                <w:color w:val="auto"/>
                <w:kern w:val="0"/>
                <w:sz w:val="21"/>
                <w:szCs w:val="21"/>
                <w:highlight w:val="none"/>
                <w:u w:val="none"/>
                <w:lang w:val="en-US" w:eastAsia="zh-CN" w:bidi="ar"/>
              </w:rPr>
              <w:t>（包括整个文化中心范围，包含公共区域及私有区域）</w:t>
            </w:r>
            <w:r>
              <w:rPr>
                <w:rFonts w:hint="eastAsia" w:ascii="宋体" w:hAnsi="宋体" w:eastAsia="宋体" w:cs="宋体"/>
                <w:i w:val="0"/>
                <w:color w:val="auto"/>
                <w:kern w:val="0"/>
                <w:sz w:val="21"/>
                <w:szCs w:val="21"/>
                <w:highlight w:val="none"/>
                <w:u w:val="none"/>
                <w:lang w:val="en-US" w:eastAsia="zh-CN" w:bidi="ar"/>
              </w:rPr>
              <w:t>≤1000元失窃≤3宗/月且＞1000元≤1宗/月；监控室消防持证率100%；24小时定岗定位：不得漏岗、空岗、睡岗；突发事件/抢险响应</w:t>
            </w:r>
            <w:r>
              <w:rPr>
                <w:rFonts w:hint="eastAsia" w:ascii="宋体" w:hAnsi="宋体" w:cs="宋体"/>
                <w:i w:val="0"/>
                <w:color w:val="auto"/>
                <w:kern w:val="0"/>
                <w:sz w:val="21"/>
                <w:szCs w:val="21"/>
                <w:highlight w:val="none"/>
                <w:u w:val="none"/>
                <w:lang w:val="en-US" w:eastAsia="zh-CN" w:bidi="ar"/>
              </w:rPr>
              <w:t>（包括整个文化中心范围，包含公共区域及私有区域）</w:t>
            </w:r>
            <w:r>
              <w:rPr>
                <w:rFonts w:hint="eastAsia" w:ascii="宋体" w:hAnsi="宋体" w:eastAsia="宋体" w:cs="宋体"/>
                <w:i w:val="0"/>
                <w:color w:val="auto"/>
                <w:kern w:val="0"/>
                <w:sz w:val="21"/>
                <w:szCs w:val="21"/>
                <w:highlight w:val="none"/>
                <w:u w:val="none"/>
                <w:lang w:val="en-US" w:eastAsia="zh-CN" w:bidi="ar"/>
              </w:rPr>
              <w:t>≤3分钟</w:t>
            </w:r>
          </w:p>
        </w:tc>
        <w:tc>
          <w:tcPr>
            <w:tcW w:w="21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扣5分/次：①火灾1起②盗抢超限额③消防通道停车＞30</w:t>
            </w:r>
            <w:r>
              <w:rPr>
                <w:rFonts w:hint="eastAsia" w:ascii="宋体" w:hAnsi="宋体" w:cs="宋体"/>
                <w:i w:val="0"/>
                <w:color w:val="auto"/>
                <w:kern w:val="0"/>
                <w:sz w:val="21"/>
                <w:szCs w:val="21"/>
                <w:highlight w:val="none"/>
                <w:u w:val="none"/>
                <w:lang w:val="en-US" w:eastAsia="zh-CN" w:bidi="ar"/>
              </w:rPr>
              <w:t>分钟</w:t>
            </w:r>
            <w:r>
              <w:rPr>
                <w:rFonts w:hint="eastAsia" w:ascii="宋体" w:hAnsi="宋体" w:eastAsia="宋体" w:cs="宋体"/>
                <w:i w:val="0"/>
                <w:color w:val="auto"/>
                <w:kern w:val="0"/>
                <w:sz w:val="21"/>
                <w:szCs w:val="21"/>
                <w:highlight w:val="none"/>
                <w:u w:val="none"/>
                <w:lang w:val="en-US" w:eastAsia="zh-CN" w:bidi="ar"/>
              </w:rPr>
              <w:t>④突发事件/抢险响应＞3</w:t>
            </w:r>
            <w:r>
              <w:rPr>
                <w:rFonts w:hint="eastAsia" w:ascii="宋体" w:hAnsi="宋体" w:cs="宋体"/>
                <w:i w:val="0"/>
                <w:color w:val="auto"/>
                <w:kern w:val="0"/>
                <w:sz w:val="21"/>
                <w:szCs w:val="21"/>
                <w:highlight w:val="none"/>
                <w:u w:val="none"/>
                <w:lang w:val="en-US" w:eastAsia="zh-CN" w:bidi="ar"/>
              </w:rPr>
              <w:t>分钟</w:t>
            </w:r>
            <w:r>
              <w:rPr>
                <w:rFonts w:hint="eastAsia" w:ascii="宋体" w:hAnsi="宋体" w:eastAsia="宋体" w:cs="宋体"/>
                <w:i w:val="0"/>
                <w:color w:val="auto"/>
                <w:kern w:val="0"/>
                <w:sz w:val="21"/>
                <w:szCs w:val="21"/>
                <w:highlight w:val="none"/>
                <w:u w:val="none"/>
                <w:lang w:val="en-US" w:eastAsia="zh-CN" w:bidi="ar"/>
              </w:rPr>
              <w:t>⑤监控室无证上岗⑥政府通报秩序问题；其余问题2分/次</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80" w:hRule="atLeast"/>
        </w:trPr>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1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环境卫生（1</w:t>
            </w:r>
            <w:r>
              <w:rPr>
                <w:rFonts w:hint="eastAsia" w:ascii="宋体" w:hAnsi="宋体" w:cs="宋体"/>
                <w:i w:val="0"/>
                <w:color w:val="auto"/>
                <w:kern w:val="0"/>
                <w:sz w:val="21"/>
                <w:szCs w:val="21"/>
                <w:highlight w:val="none"/>
                <w:u w:val="none"/>
                <w:lang w:val="en-US" w:eastAsia="zh-CN" w:bidi="ar"/>
              </w:rPr>
              <w:t>0</w:t>
            </w:r>
            <w:r>
              <w:rPr>
                <w:rFonts w:hint="eastAsia" w:ascii="宋体" w:hAnsi="宋体" w:eastAsia="宋体" w:cs="宋体"/>
                <w:i w:val="0"/>
                <w:color w:val="auto"/>
                <w:kern w:val="0"/>
                <w:sz w:val="21"/>
                <w:szCs w:val="21"/>
                <w:highlight w:val="none"/>
                <w:u w:val="none"/>
                <w:lang w:val="en-US" w:eastAsia="zh-CN" w:bidi="ar"/>
              </w:rPr>
              <w:t>分）</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抽查20处洁净度≥95%（抽检点位目视合格率≥95%”，即20处里最多1处可轻微瑕疵，超出部分开始扣分）；垃圾滞留或公共垃圾箱达到4/5容积≤30分钟</w:t>
            </w:r>
          </w:p>
        </w:tc>
        <w:tc>
          <w:tcPr>
            <w:tcW w:w="21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每处不合格扣1分；滞留超时扣2分</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2" w:hRule="atLeast"/>
        </w:trPr>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w:t>
            </w:r>
          </w:p>
        </w:tc>
        <w:tc>
          <w:tcPr>
            <w:tcW w:w="1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绿化养护（10分）</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乔木成活率≥99%；裸土0㎡；病虫害治理100%</w:t>
            </w:r>
          </w:p>
        </w:tc>
        <w:tc>
          <w:tcPr>
            <w:tcW w:w="21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死株或裸土每0.5㎡扣1分；病虫害1处扣2分</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2" w:hRule="atLeast"/>
        </w:trPr>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w:t>
            </w:r>
          </w:p>
        </w:tc>
        <w:tc>
          <w:tcPr>
            <w:tcW w:w="1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设施设备（10分）</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零星维修（≤200元材料）及时响应；外委维保关键节点旁站+结果验收记录100%；设备日巡检记录真实率100%；电工持证上岗</w:t>
            </w:r>
          </w:p>
        </w:tc>
        <w:tc>
          <w:tcPr>
            <w:tcW w:w="21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未及时响应扣2分；关键旁站或验收缺失扣2分；记录造假扣5分；电工无证上岗扣5分</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2" w:hRule="atLeast"/>
        </w:trPr>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w:t>
            </w:r>
          </w:p>
        </w:tc>
        <w:tc>
          <w:tcPr>
            <w:tcW w:w="1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消防安全（10分）</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月度检查完成率100%；明火0起</w:t>
            </w:r>
          </w:p>
        </w:tc>
        <w:tc>
          <w:tcPr>
            <w:tcW w:w="21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漏检1处扣2分；发生1起明火，扣10分；</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2" w:hRule="atLeast"/>
        </w:trPr>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w:t>
            </w:r>
          </w:p>
        </w:tc>
        <w:tc>
          <w:tcPr>
            <w:tcW w:w="1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公共区域能耗（5分）</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长明灯0处；长流水0处</w:t>
            </w:r>
          </w:p>
        </w:tc>
        <w:tc>
          <w:tcPr>
            <w:tcW w:w="21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每发现1处各扣1分</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2" w:hRule="atLeast"/>
        </w:trPr>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w:t>
            </w:r>
          </w:p>
        </w:tc>
        <w:tc>
          <w:tcPr>
            <w:tcW w:w="1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档案管理（5分）</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维保、消杀记录完整100%；零造假</w:t>
            </w:r>
          </w:p>
        </w:tc>
        <w:tc>
          <w:tcPr>
            <w:tcW w:w="21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缺失/造假1份扣2分；涂改不清扣1分</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2" w:hRule="atLeast"/>
        </w:trPr>
        <w:tc>
          <w:tcPr>
            <w:tcW w:w="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w:t>
            </w:r>
          </w:p>
        </w:tc>
        <w:tc>
          <w:tcPr>
            <w:tcW w:w="1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应急与配合服务（10分）</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半年度应急演练按计划完成并有记录；突击性（抢险）任务/活动增援任务参加率100%；管理人员服从甲方指令。</w:t>
            </w:r>
          </w:p>
        </w:tc>
        <w:tc>
          <w:tcPr>
            <w:tcW w:w="21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未按计划演练扣5分；未参加任务1次扣5分；管理人员不服从甲方指令1次扣3分</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1"/>
                <w:szCs w:val="21"/>
                <w:highlight w:val="none"/>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0" w:hRule="atLeast"/>
        </w:trPr>
        <w:tc>
          <w:tcPr>
            <w:tcW w:w="6775" w:type="dxa"/>
            <w:gridSpan w:val="4"/>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物业管理服务总分值</w:t>
            </w:r>
          </w:p>
        </w:tc>
        <w:tc>
          <w:tcPr>
            <w:tcW w:w="1800"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40" w:hRule="atLeast"/>
        </w:trPr>
        <w:tc>
          <w:tcPr>
            <w:tcW w:w="8575" w:type="dxa"/>
            <w:gridSpan w:val="6"/>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每月初由甲方考评小组对上月服务逐项考核，每项扣分上限为该项权重分值，超出不再追加；第6项“发生明火”条款不受此限，每发生1起扣10分，可累计扣分。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0" w:hRule="atLeast"/>
        </w:trPr>
        <w:tc>
          <w:tcPr>
            <w:tcW w:w="8575" w:type="dxa"/>
            <w:gridSpan w:val="6"/>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评委：日期：</w:t>
            </w:r>
          </w:p>
        </w:tc>
      </w:tr>
    </w:tbl>
    <w:p>
      <w:pPr>
        <w:rPr>
          <w:color w:val="auto"/>
        </w:rPr>
      </w:pPr>
    </w:p>
    <w:p>
      <w:pPr>
        <w:rPr>
          <w:rFonts w:hint="eastAsia"/>
          <w:color w:val="auto"/>
          <w:lang w:eastAsia="zh-CN"/>
        </w:rPr>
      </w:pPr>
    </w:p>
    <w:p>
      <w:pPr>
        <w:pStyle w:val="23"/>
        <w:spacing w:line="380" w:lineRule="exact"/>
        <w:rPr>
          <w:rFonts w:ascii="宋体" w:hAnsi="宋体" w:cs="宋体"/>
          <w:color w:val="auto"/>
          <w:sz w:val="24"/>
        </w:rPr>
      </w:pPr>
      <w:r>
        <w:rPr>
          <w:rFonts w:hint="eastAsia"/>
          <w:color w:val="auto"/>
        </w:rPr>
        <w:br w:type="page"/>
      </w:r>
    </w:p>
    <w:p>
      <w:pPr>
        <w:rPr>
          <w:rFonts w:hint="eastAsia" w:ascii="宋体" w:hAnsi="宋体" w:cs="宋体"/>
          <w:b/>
          <w:bCs/>
          <w:color w:val="auto"/>
          <w:sz w:val="24"/>
        </w:rPr>
      </w:pPr>
    </w:p>
    <w:p>
      <w:pPr>
        <w:rPr>
          <w:rFonts w:hint="eastAsia" w:ascii="宋体" w:hAnsi="宋体" w:cs="宋体"/>
          <w:b/>
          <w:bCs/>
          <w:color w:val="auto"/>
          <w:sz w:val="24"/>
        </w:rPr>
      </w:pPr>
    </w:p>
    <w:p>
      <w:pPr>
        <w:rPr>
          <w:rFonts w:hint="eastAsia" w:ascii="宋体" w:hAnsi="宋体" w:cs="宋体"/>
          <w:b/>
          <w:bCs/>
          <w:color w:val="auto"/>
          <w:sz w:val="24"/>
        </w:rPr>
      </w:pPr>
    </w:p>
    <w:p>
      <w:pPr>
        <w:rPr>
          <w:rFonts w:hint="eastAsia" w:ascii="宋体" w:hAnsi="宋体" w:cs="宋体"/>
          <w:b/>
          <w:bCs/>
          <w:color w:val="auto"/>
          <w:sz w:val="24"/>
        </w:rPr>
      </w:pPr>
    </w:p>
    <w:p>
      <w:pPr>
        <w:rPr>
          <w:rFonts w:hint="eastAsia" w:ascii="宋体" w:hAnsi="宋体" w:cs="宋体"/>
          <w:b/>
          <w:bCs/>
          <w:color w:val="auto"/>
          <w:sz w:val="24"/>
        </w:rPr>
      </w:pPr>
    </w:p>
    <w:p>
      <w:pPr>
        <w:rPr>
          <w:rFonts w:hint="eastAsia" w:ascii="宋体" w:hAnsi="宋体" w:cs="宋体"/>
          <w:b/>
          <w:bCs/>
          <w:color w:val="auto"/>
          <w:sz w:val="24"/>
        </w:rPr>
      </w:pPr>
    </w:p>
    <w:p>
      <w:pPr>
        <w:jc w:val="center"/>
        <w:outlineLvl w:val="0"/>
        <w:rPr>
          <w:rFonts w:hint="eastAsia" w:ascii="宋体" w:hAnsi="宋体" w:cs="宋体"/>
          <w:b/>
          <w:color w:val="auto"/>
          <w:sz w:val="48"/>
          <w:szCs w:val="48"/>
          <w:lang w:eastAsia="zh-CN"/>
        </w:rPr>
      </w:pPr>
      <w:bookmarkStart w:id="40" w:name="__RefHeading___Toc32126"/>
      <w:bookmarkEnd w:id="40"/>
      <w:bookmarkStart w:id="41" w:name="_Toc28107"/>
    </w:p>
    <w:p>
      <w:pPr>
        <w:jc w:val="center"/>
        <w:outlineLvl w:val="0"/>
        <w:rPr>
          <w:rFonts w:hint="eastAsia" w:ascii="宋体" w:hAnsi="宋体" w:cs="宋体"/>
          <w:b/>
          <w:color w:val="auto"/>
          <w:sz w:val="48"/>
          <w:szCs w:val="48"/>
          <w:lang w:eastAsia="zh-CN"/>
        </w:rPr>
      </w:pPr>
    </w:p>
    <w:p>
      <w:pPr>
        <w:pStyle w:val="2"/>
        <w:jc w:val="center"/>
        <w:rPr>
          <w:rFonts w:hint="eastAsia" w:ascii="宋体" w:hAnsi="宋体" w:cs="宋体"/>
          <w:b/>
          <w:color w:val="auto"/>
          <w:sz w:val="48"/>
          <w:szCs w:val="48"/>
          <w:lang w:eastAsia="zh-CN"/>
        </w:rPr>
      </w:pPr>
    </w:p>
    <w:p>
      <w:pPr>
        <w:pStyle w:val="2"/>
        <w:jc w:val="center"/>
        <w:rPr>
          <w:rFonts w:hint="eastAsia" w:cs="Times New Roman"/>
          <w:color w:val="auto"/>
          <w:lang w:eastAsia="zh-CN"/>
        </w:rPr>
      </w:pPr>
      <w:bookmarkStart w:id="42" w:name="_Toc2389"/>
      <w:r>
        <w:rPr>
          <w:rFonts w:hint="eastAsia" w:cs="Times New Roman"/>
          <w:color w:val="auto"/>
          <w:lang w:eastAsia="zh-CN"/>
        </w:rPr>
        <w:t>第五部分  投标文件格式</w:t>
      </w:r>
      <w:bookmarkEnd w:id="41"/>
      <w:bookmarkEnd w:id="42"/>
    </w:p>
    <w:p>
      <w:pPr>
        <w:jc w:val="center"/>
        <w:rPr>
          <w:rFonts w:hint="eastAsia" w:ascii="宋体" w:hAnsi="宋体" w:cs="宋体"/>
          <w:b/>
          <w:color w:val="auto"/>
          <w:sz w:val="48"/>
          <w:szCs w:val="48"/>
        </w:rPr>
      </w:pPr>
      <w:r>
        <w:rPr>
          <w:rFonts w:hint="eastAsia" w:ascii="宋体" w:hAnsi="宋体" w:cs="宋体"/>
          <w:b/>
          <w:color w:val="auto"/>
          <w:sz w:val="48"/>
          <w:szCs w:val="48"/>
        </w:rPr>
        <w:br w:type="page"/>
      </w:r>
    </w:p>
    <w:p>
      <w:pPr>
        <w:jc w:val="center"/>
        <w:rPr>
          <w:rFonts w:hint="eastAsia" w:ascii="宋体" w:hAnsi="宋体" w:cs="宋体"/>
          <w:b/>
          <w:color w:val="auto"/>
          <w:sz w:val="48"/>
          <w:szCs w:val="48"/>
        </w:rPr>
      </w:pPr>
    </w:p>
    <w:p>
      <w:pPr>
        <w:jc w:val="center"/>
        <w:rPr>
          <w:rFonts w:hint="eastAsia" w:eastAsia="宋体"/>
          <w:b/>
          <w:color w:val="auto"/>
          <w:sz w:val="48"/>
          <w:szCs w:val="52"/>
          <w:lang w:eastAsia="zh-CN"/>
        </w:rPr>
      </w:pPr>
      <w:r>
        <w:rPr>
          <w:rFonts w:hint="eastAsia"/>
          <w:b/>
          <w:color w:val="auto"/>
          <w:sz w:val="48"/>
          <w:szCs w:val="52"/>
          <w:lang w:eastAsia="zh-CN"/>
        </w:rPr>
        <w:t>三水文化中心物业管理服务项目</w:t>
      </w:r>
    </w:p>
    <w:p>
      <w:pPr>
        <w:rPr>
          <w:rFonts w:hint="eastAsia"/>
          <w:color w:val="auto"/>
        </w:rPr>
      </w:pPr>
    </w:p>
    <w:p>
      <w:pPr>
        <w:rPr>
          <w:rFonts w:hint="eastAsia"/>
          <w:color w:val="auto"/>
        </w:rPr>
      </w:pPr>
    </w:p>
    <w:p>
      <w:pPr>
        <w:jc w:val="center"/>
        <w:rPr>
          <w:rFonts w:hint="eastAsia"/>
          <w:b/>
          <w:color w:val="auto"/>
          <w:sz w:val="72"/>
        </w:rPr>
      </w:pPr>
    </w:p>
    <w:p>
      <w:pPr>
        <w:jc w:val="center"/>
        <w:rPr>
          <w:rFonts w:hint="eastAsia"/>
          <w:b/>
          <w:color w:val="auto"/>
          <w:sz w:val="72"/>
        </w:rPr>
      </w:pPr>
      <w:r>
        <w:rPr>
          <w:rFonts w:hint="eastAsia"/>
          <w:b/>
          <w:color w:val="auto"/>
          <w:sz w:val="72"/>
        </w:rPr>
        <w:t>投 标 文 件</w:t>
      </w:r>
    </w:p>
    <w:p>
      <w:pPr>
        <w:rPr>
          <w:color w:val="auto"/>
        </w:rPr>
      </w:pPr>
    </w:p>
    <w:p>
      <w:pPr>
        <w:rPr>
          <w:rFonts w:hint="eastAsia"/>
          <w:color w:val="auto"/>
        </w:rPr>
      </w:pPr>
    </w:p>
    <w:p>
      <w:pPr>
        <w:jc w:val="center"/>
        <w:rPr>
          <w:rFonts w:hint="eastAsia"/>
          <w:b/>
          <w:color w:val="auto"/>
          <w:sz w:val="72"/>
        </w:rPr>
      </w:pPr>
      <w:r>
        <w:rPr>
          <w:rFonts w:hint="eastAsia"/>
          <w:b/>
          <w:color w:val="auto"/>
          <w:sz w:val="48"/>
        </w:rPr>
        <w:t>（正本/副本）</w:t>
      </w:r>
    </w:p>
    <w:p>
      <w:pPr>
        <w:rPr>
          <w:b/>
          <w:bCs/>
          <w:color w:val="auto"/>
        </w:rPr>
      </w:pPr>
    </w:p>
    <w:p>
      <w:pPr>
        <w:jc w:val="both"/>
        <w:rPr>
          <w:rFonts w:hint="eastAsia"/>
          <w:b/>
          <w:bCs/>
          <w:color w:val="auto"/>
          <w:sz w:val="22"/>
          <w:szCs w:val="21"/>
        </w:rPr>
      </w:pPr>
    </w:p>
    <w:p>
      <w:pPr>
        <w:jc w:val="center"/>
        <w:rPr>
          <w:rFonts w:hint="eastAsia"/>
          <w:b/>
          <w:bCs/>
          <w:color w:val="auto"/>
          <w:sz w:val="22"/>
          <w:szCs w:val="21"/>
        </w:rPr>
      </w:pPr>
    </w:p>
    <w:p>
      <w:pPr>
        <w:jc w:val="center"/>
        <w:rPr>
          <w:rFonts w:hint="eastAsia" w:eastAsia="宋体"/>
          <w:b/>
          <w:bCs/>
          <w:color w:val="auto"/>
          <w:sz w:val="22"/>
          <w:szCs w:val="21"/>
          <w:lang w:eastAsia="zh-CN"/>
        </w:rPr>
      </w:pPr>
      <w:r>
        <w:rPr>
          <w:rFonts w:hint="eastAsia"/>
          <w:b/>
          <w:bCs/>
          <w:color w:val="auto"/>
          <w:sz w:val="22"/>
          <w:szCs w:val="21"/>
        </w:rPr>
        <w:t>项目名称：</w:t>
      </w:r>
      <w:r>
        <w:rPr>
          <w:rFonts w:hint="eastAsia"/>
          <w:b/>
          <w:bCs/>
          <w:color w:val="auto"/>
          <w:sz w:val="22"/>
          <w:szCs w:val="21"/>
          <w:lang w:eastAsia="zh-CN"/>
        </w:rPr>
        <w:t>三水文化中心物业管理服务项目</w:t>
      </w:r>
    </w:p>
    <w:p>
      <w:pPr>
        <w:jc w:val="center"/>
        <w:rPr>
          <w:rFonts w:hint="eastAsia" w:eastAsia="宋体"/>
          <w:color w:val="auto"/>
          <w:sz w:val="22"/>
          <w:szCs w:val="21"/>
          <w:lang w:eastAsia="zh-CN"/>
        </w:rPr>
      </w:pPr>
      <w:r>
        <w:rPr>
          <w:rFonts w:hint="eastAsia"/>
          <w:b/>
          <w:bCs/>
          <w:color w:val="auto"/>
          <w:sz w:val="22"/>
          <w:szCs w:val="21"/>
        </w:rPr>
        <w:t>项目编号：</w:t>
      </w:r>
      <w:r>
        <w:rPr>
          <w:rFonts w:hint="eastAsia"/>
          <w:b/>
          <w:bCs/>
          <w:color w:val="auto"/>
          <w:sz w:val="22"/>
          <w:szCs w:val="21"/>
          <w:lang w:eastAsia="zh-CN"/>
        </w:rPr>
        <w:t>GDZC-26GZ092</w:t>
      </w:r>
    </w:p>
    <w:p>
      <w:pPr>
        <w:rPr>
          <w:rFonts w:hint="eastAsia"/>
          <w:color w:val="auto"/>
        </w:rPr>
      </w:pPr>
    </w:p>
    <w:p>
      <w:pPr>
        <w:spacing w:line="360" w:lineRule="auto"/>
        <w:rPr>
          <w:rFonts w:hint="eastAsia" w:ascii="宋体" w:hAnsi="宋体" w:cs="宋体"/>
          <w:color w:val="auto"/>
        </w:rPr>
      </w:pPr>
    </w:p>
    <w:p>
      <w:pPr>
        <w:spacing w:line="360" w:lineRule="auto"/>
        <w:ind w:firstLine="1767" w:firstLineChars="800"/>
        <w:rPr>
          <w:rFonts w:hint="eastAsia" w:ascii="宋体" w:hAnsi="宋体" w:cs="宋体"/>
          <w:color w:val="auto"/>
          <w:sz w:val="30"/>
          <w:szCs w:val="30"/>
        </w:rPr>
      </w:pPr>
      <w:r>
        <w:rPr>
          <w:rFonts w:hint="eastAsia" w:eastAsia="宋体"/>
          <w:b/>
          <w:bCs/>
          <w:color w:val="auto"/>
          <w:sz w:val="22"/>
          <w:szCs w:val="21"/>
          <w:lang w:eastAsia="zh-CN"/>
        </w:rPr>
        <w:t>投标人名称：</w:t>
      </w:r>
      <w:r>
        <w:rPr>
          <w:rFonts w:hint="eastAsia" w:ascii="宋体" w:hAnsi="宋体" w:cs="宋体"/>
          <w:color w:val="auto"/>
          <w:sz w:val="30"/>
          <w:szCs w:val="30"/>
          <w:u w:val="single"/>
        </w:rPr>
        <w:t xml:space="preserve">                        </w:t>
      </w:r>
    </w:p>
    <w:p>
      <w:pPr>
        <w:spacing w:line="360" w:lineRule="auto"/>
        <w:ind w:firstLine="1767" w:firstLineChars="800"/>
        <w:rPr>
          <w:rFonts w:hint="eastAsia" w:ascii="宋体" w:hAnsi="宋体" w:cs="宋体"/>
          <w:color w:val="auto"/>
          <w:sz w:val="30"/>
          <w:szCs w:val="30"/>
        </w:rPr>
      </w:pPr>
      <w:r>
        <w:rPr>
          <w:rFonts w:hint="eastAsia" w:eastAsia="宋体"/>
          <w:b/>
          <w:bCs/>
          <w:color w:val="auto"/>
          <w:sz w:val="22"/>
          <w:szCs w:val="21"/>
          <w:lang w:eastAsia="zh-CN"/>
        </w:rPr>
        <w:t>投标人地址：</w:t>
      </w:r>
      <w:r>
        <w:rPr>
          <w:rFonts w:hint="eastAsia" w:ascii="宋体" w:hAnsi="宋体" w:cs="宋体"/>
          <w:color w:val="auto"/>
          <w:sz w:val="30"/>
          <w:szCs w:val="30"/>
          <w:u w:val="single"/>
        </w:rPr>
        <w:t xml:space="preserve">                        </w:t>
      </w:r>
    </w:p>
    <w:p>
      <w:pPr>
        <w:spacing w:line="360" w:lineRule="auto"/>
        <w:ind w:firstLine="1767" w:firstLineChars="800"/>
        <w:rPr>
          <w:rFonts w:hint="eastAsia" w:ascii="宋体" w:hAnsi="宋体" w:cs="宋体"/>
          <w:color w:val="auto"/>
          <w:sz w:val="30"/>
          <w:szCs w:val="30"/>
        </w:rPr>
      </w:pPr>
      <w:r>
        <w:rPr>
          <w:rFonts w:hint="eastAsia" w:eastAsia="宋体"/>
          <w:b/>
          <w:bCs/>
          <w:color w:val="auto"/>
          <w:sz w:val="22"/>
          <w:szCs w:val="21"/>
          <w:lang w:eastAsia="zh-CN"/>
        </w:rPr>
        <w:t>投标人联系电话：</w:t>
      </w:r>
      <w:r>
        <w:rPr>
          <w:rFonts w:hint="eastAsia" w:ascii="宋体" w:hAnsi="宋体" w:cs="宋体"/>
          <w:color w:val="auto"/>
          <w:sz w:val="30"/>
          <w:szCs w:val="30"/>
          <w:u w:val="single"/>
        </w:rPr>
        <w:t xml:space="preserve">                    </w:t>
      </w:r>
    </w:p>
    <w:p>
      <w:pPr>
        <w:spacing w:line="360" w:lineRule="auto"/>
        <w:ind w:firstLine="1767" w:firstLineChars="800"/>
        <w:rPr>
          <w:rFonts w:hint="eastAsia" w:ascii="宋体" w:hAnsi="宋体" w:cs="宋体"/>
          <w:color w:val="auto"/>
        </w:rPr>
      </w:pPr>
      <w:r>
        <w:rPr>
          <w:rFonts w:hint="eastAsia" w:eastAsia="宋体"/>
          <w:b/>
          <w:bCs/>
          <w:color w:val="auto"/>
          <w:sz w:val="22"/>
          <w:szCs w:val="21"/>
          <w:lang w:eastAsia="zh-CN"/>
        </w:rPr>
        <w:t>投标人联系人：</w:t>
      </w:r>
      <w:r>
        <w:rPr>
          <w:rFonts w:hint="eastAsia" w:ascii="宋体" w:hAnsi="宋体" w:cs="宋体"/>
          <w:color w:val="auto"/>
          <w:sz w:val="30"/>
          <w:szCs w:val="30"/>
          <w:u w:val="single"/>
        </w:rPr>
        <w:t xml:space="preserve">                      </w:t>
      </w:r>
    </w:p>
    <w:p>
      <w:pPr>
        <w:spacing w:line="360" w:lineRule="auto"/>
        <w:jc w:val="center"/>
        <w:rPr>
          <w:rFonts w:hint="eastAsia" w:ascii="宋体" w:hAnsi="宋体" w:cs="宋体"/>
          <w:color w:val="auto"/>
        </w:rPr>
      </w:pPr>
    </w:p>
    <w:p>
      <w:pPr>
        <w:jc w:val="center"/>
        <w:rPr>
          <w:rFonts w:hint="eastAsia" w:ascii="宋体" w:hAnsi="宋体" w:cs="宋体"/>
          <w:color w:val="auto"/>
          <w:sz w:val="28"/>
          <w:szCs w:val="28"/>
        </w:rPr>
      </w:pPr>
    </w:p>
    <w:p>
      <w:pPr>
        <w:spacing w:line="360" w:lineRule="auto"/>
        <w:jc w:val="center"/>
        <w:rPr>
          <w:rFonts w:hint="eastAsia" w:eastAsia="宋体"/>
          <w:b/>
          <w:bCs/>
          <w:color w:val="auto"/>
          <w:sz w:val="22"/>
          <w:szCs w:val="21"/>
          <w:lang w:eastAsia="zh-CN"/>
        </w:rPr>
      </w:pPr>
      <w:r>
        <w:rPr>
          <w:rFonts w:hint="eastAsia" w:eastAsia="宋体"/>
          <w:b/>
          <w:bCs/>
          <w:color w:val="auto"/>
          <w:sz w:val="22"/>
          <w:szCs w:val="21"/>
          <w:lang w:eastAsia="zh-CN"/>
        </w:rPr>
        <w:t>年  月  日</w:t>
      </w:r>
    </w:p>
    <w:p>
      <w:pPr>
        <w:pStyle w:val="35"/>
        <w:spacing w:after="100" w:afterAutospacing="1"/>
        <w:jc w:val="center"/>
        <w:rPr>
          <w:color w:val="auto"/>
        </w:rPr>
      </w:pPr>
      <w:r>
        <w:rPr>
          <w:color w:val="auto"/>
        </w:rPr>
        <w:br w:type="page"/>
      </w:r>
      <w:r>
        <w:rPr>
          <w:color w:val="auto"/>
        </w:rPr>
        <w:t>目  录</w:t>
      </w:r>
    </w:p>
    <w:p>
      <w:pPr>
        <w:pStyle w:val="35"/>
        <w:spacing w:after="100" w:afterAutospacing="1"/>
        <w:rPr>
          <w:rFonts w:hint="eastAsia" w:ascii="宋体" w:hAnsi="宋体" w:eastAsia="宋体" w:cs="宋体"/>
          <w:color w:val="auto"/>
        </w:rPr>
      </w:pPr>
      <w:r>
        <w:rPr>
          <w:rFonts w:hint="eastAsia" w:ascii="宋体" w:hAnsi="宋体" w:eastAsia="宋体" w:cs="宋体"/>
          <w:color w:val="auto"/>
        </w:rPr>
        <w:t>一、开标一览表</w:t>
      </w:r>
    </w:p>
    <w:p>
      <w:pPr>
        <w:pStyle w:val="35"/>
        <w:spacing w:after="100" w:afterAutospacing="1"/>
        <w:rPr>
          <w:rFonts w:hint="eastAsia" w:ascii="宋体" w:hAnsi="宋体" w:eastAsia="宋体" w:cs="宋体"/>
          <w:color w:val="auto"/>
        </w:rPr>
      </w:pPr>
      <w:r>
        <w:rPr>
          <w:rFonts w:hint="eastAsia" w:ascii="宋体" w:hAnsi="宋体" w:eastAsia="宋体" w:cs="宋体"/>
          <w:color w:val="auto"/>
          <w:lang w:val="en-US" w:eastAsia="zh-CN"/>
        </w:rPr>
        <w:t>二</w:t>
      </w:r>
      <w:r>
        <w:rPr>
          <w:rFonts w:hint="eastAsia" w:ascii="宋体" w:hAnsi="宋体" w:eastAsia="宋体" w:cs="宋体"/>
          <w:color w:val="auto"/>
        </w:rPr>
        <w:t>、投标承诺函</w:t>
      </w:r>
    </w:p>
    <w:p>
      <w:pPr>
        <w:pStyle w:val="35"/>
        <w:spacing w:after="100" w:afterAutospacing="1"/>
        <w:rPr>
          <w:rFonts w:hint="eastAsia" w:ascii="宋体" w:hAnsi="宋体" w:eastAsia="宋体" w:cs="宋体"/>
          <w:color w:val="auto"/>
        </w:rPr>
      </w:pPr>
      <w:r>
        <w:rPr>
          <w:rFonts w:hint="eastAsia" w:ascii="宋体" w:hAnsi="宋体" w:eastAsia="宋体" w:cs="宋体"/>
          <w:color w:val="auto"/>
          <w:lang w:val="en-US" w:eastAsia="zh-CN"/>
        </w:rPr>
        <w:t>三</w:t>
      </w:r>
      <w:r>
        <w:rPr>
          <w:rFonts w:hint="eastAsia" w:ascii="宋体" w:hAnsi="宋体" w:eastAsia="宋体" w:cs="宋体"/>
          <w:color w:val="auto"/>
        </w:rPr>
        <w:t>、投标授权书</w:t>
      </w:r>
    </w:p>
    <w:p>
      <w:pPr>
        <w:pStyle w:val="35"/>
        <w:spacing w:after="100" w:afterAutospacing="1"/>
        <w:rPr>
          <w:rFonts w:hint="eastAsia" w:ascii="宋体" w:hAnsi="宋体" w:eastAsia="宋体" w:cs="宋体"/>
          <w:color w:val="auto"/>
        </w:rPr>
      </w:pPr>
      <w:r>
        <w:rPr>
          <w:rFonts w:hint="eastAsia" w:ascii="宋体" w:hAnsi="宋体" w:eastAsia="宋体" w:cs="宋体"/>
          <w:color w:val="auto"/>
          <w:lang w:val="en-US" w:eastAsia="zh-CN"/>
        </w:rPr>
        <w:t>四</w:t>
      </w:r>
      <w:r>
        <w:rPr>
          <w:rFonts w:hint="eastAsia" w:ascii="宋体" w:hAnsi="宋体" w:eastAsia="宋体" w:cs="宋体"/>
          <w:color w:val="auto"/>
        </w:rPr>
        <w:t>、企业资格性证明材料</w:t>
      </w:r>
    </w:p>
    <w:p>
      <w:pPr>
        <w:pStyle w:val="35"/>
        <w:spacing w:after="100" w:afterAutospacing="1"/>
        <w:rPr>
          <w:rFonts w:hint="eastAsia" w:ascii="宋体" w:hAnsi="宋体" w:eastAsia="宋体" w:cs="宋体"/>
          <w:color w:val="auto"/>
        </w:rPr>
      </w:pPr>
      <w:r>
        <w:rPr>
          <w:rFonts w:hint="eastAsia" w:ascii="宋体" w:hAnsi="宋体" w:eastAsia="宋体" w:cs="宋体"/>
          <w:color w:val="auto"/>
          <w:lang w:val="en-US" w:eastAsia="zh-CN"/>
        </w:rPr>
        <w:t>五</w:t>
      </w:r>
      <w:r>
        <w:rPr>
          <w:rFonts w:hint="eastAsia" w:ascii="宋体" w:hAnsi="宋体" w:eastAsia="宋体" w:cs="宋体"/>
          <w:color w:val="auto"/>
        </w:rPr>
        <w:t>、</w:t>
      </w:r>
      <w:r>
        <w:rPr>
          <w:rFonts w:hint="eastAsia" w:cs="Times New Roman"/>
          <w:color w:val="auto"/>
          <w:lang w:val="en-US" w:eastAsia="zh-CN"/>
        </w:rPr>
        <w:t>其他资格文件</w:t>
      </w:r>
    </w:p>
    <w:p>
      <w:pPr>
        <w:pStyle w:val="35"/>
        <w:spacing w:after="100" w:afterAutospacing="1"/>
        <w:rPr>
          <w:rFonts w:hint="eastAsia" w:ascii="宋体" w:hAnsi="宋体" w:eastAsia="宋体" w:cs="宋体"/>
          <w:color w:val="auto"/>
        </w:rPr>
      </w:pPr>
      <w:r>
        <w:rPr>
          <w:rFonts w:hint="eastAsia" w:ascii="宋体" w:hAnsi="宋体" w:eastAsia="宋体" w:cs="宋体"/>
          <w:color w:val="auto"/>
          <w:lang w:val="en-US" w:eastAsia="zh-CN"/>
        </w:rPr>
        <w:t>六</w:t>
      </w:r>
      <w:r>
        <w:rPr>
          <w:rFonts w:hint="eastAsia" w:ascii="宋体" w:hAnsi="宋体" w:eastAsia="宋体" w:cs="宋体"/>
          <w:color w:val="auto"/>
        </w:rPr>
        <w:t>、营业执照等证明文件</w:t>
      </w:r>
    </w:p>
    <w:p>
      <w:pPr>
        <w:pStyle w:val="35"/>
        <w:spacing w:after="100" w:afterAutospacing="1"/>
        <w:rPr>
          <w:rFonts w:hint="eastAsia" w:ascii="宋体" w:hAnsi="宋体" w:eastAsia="宋体" w:cs="宋体"/>
          <w:color w:val="auto"/>
        </w:rPr>
      </w:pPr>
      <w:r>
        <w:rPr>
          <w:rFonts w:hint="eastAsia" w:ascii="宋体" w:hAnsi="宋体" w:eastAsia="宋体" w:cs="宋体"/>
          <w:color w:val="auto"/>
          <w:lang w:val="en-US" w:eastAsia="zh-CN"/>
        </w:rPr>
        <w:t>七</w:t>
      </w:r>
      <w:r>
        <w:rPr>
          <w:rFonts w:hint="eastAsia" w:ascii="宋体" w:hAnsi="宋体" w:eastAsia="宋体" w:cs="宋体"/>
          <w:color w:val="auto"/>
        </w:rPr>
        <w:t>、商务条款响应表</w:t>
      </w:r>
    </w:p>
    <w:p>
      <w:pPr>
        <w:pStyle w:val="35"/>
        <w:spacing w:after="100" w:afterAutospacing="1"/>
        <w:rPr>
          <w:rFonts w:hint="eastAsia" w:ascii="宋体" w:hAnsi="宋体" w:eastAsia="宋体" w:cs="宋体"/>
          <w:color w:val="auto"/>
        </w:rPr>
      </w:pPr>
      <w:r>
        <w:rPr>
          <w:rFonts w:hint="eastAsia" w:ascii="宋体" w:hAnsi="宋体" w:eastAsia="宋体" w:cs="宋体"/>
          <w:color w:val="auto"/>
          <w:lang w:val="en-US" w:eastAsia="zh-CN"/>
        </w:rPr>
        <w:t>八</w:t>
      </w:r>
      <w:r>
        <w:rPr>
          <w:rFonts w:hint="eastAsia" w:ascii="宋体" w:hAnsi="宋体" w:eastAsia="宋体" w:cs="宋体"/>
          <w:color w:val="auto"/>
        </w:rPr>
        <w:t>、企业综合概况</w:t>
      </w:r>
    </w:p>
    <w:p>
      <w:pPr>
        <w:pStyle w:val="35"/>
        <w:spacing w:after="100" w:afterAutospacing="1"/>
        <w:rPr>
          <w:rFonts w:hint="eastAsia" w:ascii="宋体" w:hAnsi="宋体" w:eastAsia="宋体" w:cs="宋体"/>
          <w:color w:val="auto"/>
        </w:rPr>
      </w:pPr>
      <w:r>
        <w:rPr>
          <w:rFonts w:hint="eastAsia" w:ascii="宋体" w:hAnsi="宋体" w:eastAsia="宋体" w:cs="宋体"/>
          <w:color w:val="auto"/>
          <w:lang w:val="en-US" w:eastAsia="zh-CN"/>
        </w:rPr>
        <w:t>九</w:t>
      </w:r>
      <w:r>
        <w:rPr>
          <w:rFonts w:hint="eastAsia" w:ascii="宋体" w:hAnsi="宋体" w:eastAsia="宋体" w:cs="宋体"/>
          <w:color w:val="auto"/>
        </w:rPr>
        <w:t>、项目业绩介绍</w:t>
      </w:r>
    </w:p>
    <w:p>
      <w:pPr>
        <w:pStyle w:val="35"/>
        <w:spacing w:after="100" w:afterAutospacing="1"/>
        <w:rPr>
          <w:rFonts w:hint="eastAsia" w:ascii="宋体" w:hAnsi="宋体" w:eastAsia="宋体" w:cs="宋体"/>
          <w:color w:val="auto"/>
        </w:rPr>
      </w:pPr>
      <w:r>
        <w:rPr>
          <w:rFonts w:hint="eastAsia" w:ascii="宋体" w:hAnsi="宋体" w:eastAsia="宋体" w:cs="宋体"/>
          <w:color w:val="auto"/>
        </w:rPr>
        <w:t>十、投标人资质、证书及人员情况</w:t>
      </w:r>
    </w:p>
    <w:p>
      <w:pPr>
        <w:pStyle w:val="35"/>
        <w:spacing w:after="100" w:afterAutospacing="1"/>
        <w:rPr>
          <w:rFonts w:hint="eastAsia" w:ascii="宋体" w:hAnsi="宋体" w:eastAsia="宋体" w:cs="宋体"/>
          <w:color w:val="auto"/>
          <w:lang w:val="en-US" w:eastAsia="zh-CN"/>
        </w:rPr>
      </w:pPr>
      <w:r>
        <w:rPr>
          <w:rFonts w:hint="eastAsia" w:ascii="宋体" w:hAnsi="宋体" w:eastAsia="宋体" w:cs="宋体"/>
          <w:color w:val="auto"/>
          <w:lang w:val="en-US" w:eastAsia="zh-CN"/>
        </w:rPr>
        <w:t>十一、</w:t>
      </w:r>
      <w:r>
        <w:rPr>
          <w:rFonts w:hint="eastAsia" w:cs="Times New Roman"/>
          <w:color w:val="auto"/>
          <w:lang w:val="en-US" w:eastAsia="zh-CN"/>
        </w:rPr>
        <w:t>实施本项目的相关主要人员情况</w:t>
      </w:r>
    </w:p>
    <w:p>
      <w:pPr>
        <w:pStyle w:val="35"/>
        <w:spacing w:after="100" w:afterAutospacing="1"/>
        <w:rPr>
          <w:rFonts w:hint="eastAsia" w:ascii="宋体" w:hAnsi="宋体" w:eastAsia="宋体" w:cs="宋体"/>
          <w:color w:val="auto"/>
        </w:rPr>
      </w:pPr>
      <w:r>
        <w:rPr>
          <w:rFonts w:hint="eastAsia" w:ascii="宋体" w:hAnsi="宋体" w:eastAsia="宋体" w:cs="宋体"/>
          <w:color w:val="auto"/>
        </w:rPr>
        <w:t>十二、商务部分其他文件</w:t>
      </w:r>
    </w:p>
    <w:p>
      <w:pPr>
        <w:pStyle w:val="35"/>
        <w:spacing w:after="100" w:afterAutospacing="1"/>
        <w:rPr>
          <w:rFonts w:hint="eastAsia" w:ascii="宋体" w:hAnsi="宋体" w:eastAsia="宋体" w:cs="宋体"/>
          <w:color w:val="auto"/>
        </w:rPr>
      </w:pPr>
      <w:r>
        <w:rPr>
          <w:rFonts w:hint="eastAsia" w:ascii="宋体" w:hAnsi="宋体" w:eastAsia="宋体" w:cs="宋体"/>
          <w:color w:val="auto"/>
        </w:rPr>
        <w:t>十三、技术条款响应表</w:t>
      </w:r>
    </w:p>
    <w:p>
      <w:pPr>
        <w:pStyle w:val="35"/>
        <w:spacing w:after="100" w:afterAutospacing="1"/>
        <w:rPr>
          <w:rFonts w:hint="eastAsia" w:ascii="宋体" w:hAnsi="宋体" w:eastAsia="宋体" w:cs="宋体"/>
          <w:color w:val="auto"/>
        </w:rPr>
      </w:pPr>
      <w:r>
        <w:rPr>
          <w:rFonts w:hint="eastAsia" w:ascii="宋体" w:hAnsi="宋体" w:eastAsia="宋体" w:cs="宋体"/>
          <w:color w:val="auto"/>
        </w:rPr>
        <w:t>十四、、技术方案总体内容</w:t>
      </w:r>
    </w:p>
    <w:p>
      <w:pPr>
        <w:pStyle w:val="35"/>
        <w:spacing w:after="100" w:afterAutospacing="1"/>
        <w:rPr>
          <w:rFonts w:hint="eastAsia" w:ascii="宋体" w:hAnsi="宋体" w:eastAsia="宋体" w:cs="宋体"/>
          <w:color w:val="auto"/>
        </w:rPr>
      </w:pPr>
      <w:r>
        <w:rPr>
          <w:rFonts w:hint="eastAsia" w:ascii="宋体" w:hAnsi="宋体" w:eastAsia="宋体" w:cs="宋体"/>
          <w:color w:val="auto"/>
        </w:rPr>
        <w:t>十</w:t>
      </w:r>
      <w:r>
        <w:rPr>
          <w:rFonts w:hint="eastAsia" w:ascii="宋体" w:hAnsi="宋体" w:eastAsia="宋体" w:cs="宋体"/>
          <w:color w:val="auto"/>
          <w:lang w:val="en-US" w:eastAsia="zh-CN"/>
        </w:rPr>
        <w:t>五</w:t>
      </w:r>
      <w:r>
        <w:rPr>
          <w:rFonts w:hint="eastAsia" w:ascii="宋体" w:hAnsi="宋体" w:eastAsia="宋体" w:cs="宋体"/>
          <w:color w:val="auto"/>
        </w:rPr>
        <w:t>、技术部分其他文件（一）</w:t>
      </w:r>
    </w:p>
    <w:p>
      <w:pPr>
        <w:pStyle w:val="35"/>
        <w:spacing w:after="100" w:afterAutospacing="1"/>
        <w:rPr>
          <w:rFonts w:hint="eastAsia" w:ascii="宋体" w:hAnsi="宋体" w:eastAsia="宋体" w:cs="宋体"/>
          <w:color w:val="auto"/>
        </w:rPr>
      </w:pPr>
      <w:r>
        <w:rPr>
          <w:rFonts w:hint="eastAsia" w:ascii="宋体" w:hAnsi="宋体" w:eastAsia="宋体" w:cs="宋体"/>
          <w:color w:val="auto"/>
        </w:rPr>
        <w:t>十</w:t>
      </w:r>
      <w:r>
        <w:rPr>
          <w:rFonts w:hint="eastAsia" w:ascii="宋体" w:hAnsi="宋体" w:eastAsia="宋体" w:cs="宋体"/>
          <w:color w:val="auto"/>
          <w:lang w:val="en-US" w:eastAsia="zh-CN"/>
        </w:rPr>
        <w:t>六</w:t>
      </w:r>
      <w:r>
        <w:rPr>
          <w:rFonts w:hint="eastAsia" w:ascii="宋体" w:hAnsi="宋体" w:eastAsia="宋体" w:cs="宋体"/>
          <w:color w:val="auto"/>
        </w:rPr>
        <w:t>、技术部分其他文件（</w:t>
      </w:r>
      <w:r>
        <w:rPr>
          <w:rFonts w:hint="eastAsia" w:ascii="宋体" w:hAnsi="宋体" w:eastAsia="宋体" w:cs="宋体"/>
          <w:color w:val="auto"/>
          <w:lang w:val="en-US" w:eastAsia="zh-CN"/>
        </w:rPr>
        <w:t>二</w:t>
      </w:r>
      <w:r>
        <w:rPr>
          <w:rFonts w:hint="eastAsia" w:ascii="宋体" w:hAnsi="宋体" w:eastAsia="宋体" w:cs="宋体"/>
          <w:color w:val="auto"/>
        </w:rPr>
        <w:t>）</w:t>
      </w:r>
    </w:p>
    <w:p>
      <w:pPr>
        <w:pStyle w:val="35"/>
        <w:spacing w:after="100" w:afterAutospacing="1"/>
        <w:rPr>
          <w:rFonts w:hint="eastAsia" w:ascii="宋体" w:hAnsi="宋体" w:eastAsia="宋体" w:cs="宋体"/>
          <w:color w:val="auto"/>
        </w:rPr>
      </w:pPr>
      <w:r>
        <w:rPr>
          <w:rFonts w:hint="eastAsia" w:ascii="宋体" w:hAnsi="宋体" w:eastAsia="宋体" w:cs="宋体"/>
          <w:color w:val="auto"/>
        </w:rPr>
        <w:t>十</w:t>
      </w:r>
      <w:r>
        <w:rPr>
          <w:rFonts w:hint="eastAsia" w:ascii="宋体" w:hAnsi="宋体" w:eastAsia="宋体" w:cs="宋体"/>
          <w:color w:val="auto"/>
          <w:lang w:val="en-US" w:eastAsia="zh-CN"/>
        </w:rPr>
        <w:t>七</w:t>
      </w:r>
      <w:r>
        <w:rPr>
          <w:rFonts w:hint="eastAsia" w:ascii="宋体" w:hAnsi="宋体" w:eastAsia="宋体" w:cs="宋体"/>
          <w:color w:val="auto"/>
        </w:rPr>
        <w:t>、技术部分其他文件（</w:t>
      </w:r>
      <w:r>
        <w:rPr>
          <w:rFonts w:hint="eastAsia" w:ascii="宋体" w:hAnsi="宋体" w:eastAsia="宋体" w:cs="宋体"/>
          <w:color w:val="auto"/>
          <w:lang w:val="en-US" w:eastAsia="zh-CN"/>
        </w:rPr>
        <w:t>三</w:t>
      </w:r>
      <w:r>
        <w:rPr>
          <w:rFonts w:hint="eastAsia" w:ascii="宋体" w:hAnsi="宋体" w:eastAsia="宋体" w:cs="宋体"/>
          <w:color w:val="auto"/>
        </w:rPr>
        <w:t>）</w:t>
      </w:r>
    </w:p>
    <w:p>
      <w:pPr>
        <w:pStyle w:val="35"/>
        <w:spacing w:after="100" w:afterAutospacing="1"/>
        <w:rPr>
          <w:rFonts w:hint="eastAsia" w:ascii="宋体" w:hAnsi="宋体" w:eastAsia="宋体" w:cs="宋体"/>
          <w:color w:val="auto"/>
        </w:rPr>
      </w:pPr>
      <w:r>
        <w:rPr>
          <w:rFonts w:hint="eastAsia" w:ascii="宋体" w:hAnsi="宋体" w:eastAsia="宋体" w:cs="宋体"/>
          <w:color w:val="auto"/>
          <w:lang w:val="en-US" w:eastAsia="zh-CN"/>
        </w:rPr>
        <w:t>十八、</w:t>
      </w:r>
      <w:r>
        <w:rPr>
          <w:rFonts w:hint="eastAsia" w:ascii="宋体" w:hAnsi="宋体" w:eastAsia="宋体" w:cs="宋体"/>
          <w:color w:val="auto"/>
          <w:lang w:eastAsia="zh-CN"/>
        </w:rPr>
        <w:t>其他材料参考格式</w:t>
      </w:r>
    </w:p>
    <w:p>
      <w:pPr>
        <w:pStyle w:val="35"/>
        <w:spacing w:after="100" w:afterAutospacing="1"/>
        <w:rPr>
          <w:rFonts w:hint="eastAsia" w:ascii="宋体" w:hAnsi="宋体" w:eastAsia="宋体" w:cs="宋体"/>
          <w:color w:val="auto"/>
        </w:rPr>
      </w:pPr>
    </w:p>
    <w:p>
      <w:pPr>
        <w:pStyle w:val="35"/>
        <w:spacing w:after="100" w:afterAutospacing="1" w:line="480" w:lineRule="auto"/>
        <w:rPr>
          <w:color w:val="auto"/>
        </w:rPr>
      </w:pPr>
      <w:r>
        <w:rPr>
          <w:rFonts w:ascii="宋体" w:hAnsi="宋体" w:eastAsia="宋体" w:cs="宋体"/>
          <w:b/>
          <w:bCs/>
          <w:color w:val="auto"/>
        </w:rPr>
        <w:t>特别提示与要求：投标人应严格按格式内容及要求制作投标文件，并进行电子签章。</w:t>
      </w:r>
    </w:p>
    <w:p>
      <w:pPr>
        <w:rPr>
          <w:color w:val="auto"/>
        </w:rPr>
      </w:pPr>
    </w:p>
    <w:p>
      <w:pPr>
        <w:pStyle w:val="36"/>
        <w:outlineLvl w:val="1"/>
        <w:rPr>
          <w:color w:val="auto"/>
        </w:rPr>
      </w:pPr>
      <w:r>
        <w:rPr>
          <w:color w:val="auto"/>
        </w:rPr>
        <w:br w:type="page"/>
      </w:r>
      <w:r>
        <w:rPr>
          <w:color w:val="auto"/>
        </w:rPr>
        <w:t>一、</w:t>
      </w:r>
      <w:r>
        <w:rPr>
          <w:rFonts w:hint="eastAsia"/>
          <w:color w:val="auto"/>
        </w:rPr>
        <w:t>开标一览表</w:t>
      </w:r>
      <w:r>
        <w:rPr>
          <w:rFonts w:hint="eastAsia"/>
          <w:color w:val="auto"/>
          <w:lang w:eastAsia="zh-CN"/>
        </w:rPr>
        <w:t>（</w:t>
      </w:r>
      <w:r>
        <w:rPr>
          <w:rFonts w:hint="eastAsia"/>
          <w:color w:val="auto"/>
        </w:rPr>
        <w:t>报价表</w:t>
      </w:r>
      <w:r>
        <w:rPr>
          <w:rFonts w:hint="eastAsia"/>
          <w:color w:val="auto"/>
          <w:lang w:eastAsia="zh-CN"/>
        </w:rPr>
        <w:t>）</w:t>
      </w:r>
    </w:p>
    <w:p>
      <w:pPr>
        <w:tabs>
          <w:tab w:val="left" w:pos="7740"/>
        </w:tabs>
        <w:adjustRightInd w:val="0"/>
        <w:snapToGrid w:val="0"/>
        <w:rPr>
          <w:rFonts w:hint="eastAsia" w:ascii="宋体" w:hAnsi="宋体"/>
          <w:color w:val="auto"/>
          <w:highlight w:val="none"/>
        </w:rPr>
      </w:pPr>
    </w:p>
    <w:p>
      <w:pPr>
        <w:tabs>
          <w:tab w:val="left" w:pos="7740"/>
        </w:tabs>
        <w:adjustRightInd w:val="0"/>
        <w:snapToGrid w:val="0"/>
        <w:rPr>
          <w:rFonts w:hint="eastAsia" w:ascii="宋体" w:hAnsi="宋体"/>
          <w:color w:val="auto"/>
          <w:highlight w:val="none"/>
        </w:rPr>
      </w:pPr>
    </w:p>
    <w:p>
      <w:pPr>
        <w:tabs>
          <w:tab w:val="left" w:pos="7740"/>
        </w:tabs>
        <w:adjustRightInd w:val="0"/>
        <w:snapToGrid w:val="0"/>
        <w:rPr>
          <w:rFonts w:hint="eastAsia" w:ascii="宋体" w:hAnsi="宋体" w:eastAsia="宋体"/>
          <w:color w:val="auto"/>
          <w:highlight w:val="none"/>
          <w:lang w:eastAsia="zh-CN"/>
        </w:rPr>
      </w:pPr>
      <w:r>
        <w:rPr>
          <w:rFonts w:hint="eastAsia" w:ascii="宋体" w:hAnsi="宋体"/>
          <w:color w:val="auto"/>
          <w:highlight w:val="none"/>
        </w:rPr>
        <w:t>投标人名称：                                            项目编号：</w:t>
      </w:r>
      <w:r>
        <w:rPr>
          <w:rFonts w:hint="eastAsia" w:ascii="宋体" w:hAnsi="宋体"/>
          <w:color w:val="auto"/>
          <w:highlight w:val="none"/>
          <w:lang w:eastAsia="zh-CN"/>
        </w:rPr>
        <w:t xml:space="preserve">GDZC-26GZ092 </w:t>
      </w:r>
    </w:p>
    <w:tbl>
      <w:tblPr>
        <w:tblStyle w:val="13"/>
        <w:tblW w:w="499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65"/>
        <w:gridCol w:w="859"/>
        <w:gridCol w:w="2374"/>
        <w:gridCol w:w="2742"/>
        <w:gridCol w:w="210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96" w:type="pct"/>
            <w:tcBorders>
              <w:top w:val="single" w:color="auto" w:sz="12" w:space="0"/>
              <w:bottom w:val="double" w:color="auto" w:sz="4" w:space="0"/>
            </w:tcBorders>
            <w:shd w:val="clear" w:color="auto" w:fill="EEECE1"/>
            <w:noWrap w:val="0"/>
            <w:vAlign w:val="center"/>
          </w:tcPr>
          <w:p>
            <w:pPr>
              <w:adjustRightInd w:val="0"/>
              <w:snapToGrid w:val="0"/>
              <w:jc w:val="center"/>
              <w:rPr>
                <w:rFonts w:hint="eastAsia" w:ascii="宋体"/>
                <w:b/>
                <w:color w:val="auto"/>
                <w:szCs w:val="21"/>
                <w:highlight w:val="none"/>
              </w:rPr>
            </w:pPr>
            <w:r>
              <w:rPr>
                <w:rFonts w:hint="eastAsia" w:ascii="宋体"/>
                <w:b/>
                <w:color w:val="auto"/>
                <w:szCs w:val="21"/>
                <w:highlight w:val="none"/>
              </w:rPr>
              <w:t>采购内容</w:t>
            </w:r>
          </w:p>
        </w:tc>
        <w:tc>
          <w:tcPr>
            <w:tcW w:w="436" w:type="pct"/>
            <w:tcBorders>
              <w:top w:val="single" w:color="auto" w:sz="12" w:space="0"/>
              <w:bottom w:val="double" w:color="auto" w:sz="4" w:space="0"/>
            </w:tcBorders>
            <w:shd w:val="clear" w:color="auto" w:fill="EEECE1"/>
            <w:noWrap w:val="0"/>
            <w:vAlign w:val="center"/>
          </w:tcPr>
          <w:p>
            <w:pPr>
              <w:adjustRightInd w:val="0"/>
              <w:snapToGrid w:val="0"/>
              <w:jc w:val="center"/>
              <w:rPr>
                <w:rFonts w:hint="eastAsia" w:ascii="宋体"/>
                <w:b/>
                <w:color w:val="auto"/>
                <w:szCs w:val="21"/>
                <w:highlight w:val="none"/>
              </w:rPr>
            </w:pPr>
            <w:r>
              <w:rPr>
                <w:rFonts w:hint="eastAsia" w:ascii="宋体"/>
                <w:b/>
                <w:color w:val="auto"/>
                <w:szCs w:val="21"/>
                <w:highlight w:val="none"/>
              </w:rPr>
              <w:t>数量</w:t>
            </w:r>
          </w:p>
        </w:tc>
        <w:tc>
          <w:tcPr>
            <w:tcW w:w="1205" w:type="pct"/>
            <w:tcBorders>
              <w:top w:val="single" w:color="auto" w:sz="12" w:space="0"/>
              <w:bottom w:val="double" w:color="auto" w:sz="4" w:space="0"/>
            </w:tcBorders>
            <w:shd w:val="clear" w:color="auto" w:fill="EEECE1"/>
            <w:noWrap w:val="0"/>
            <w:vAlign w:val="center"/>
          </w:tcPr>
          <w:p>
            <w:pPr>
              <w:adjustRightInd w:val="0"/>
              <w:snapToGrid w:val="0"/>
              <w:jc w:val="center"/>
              <w:rPr>
                <w:rFonts w:hint="eastAsia" w:ascii="宋体"/>
                <w:b/>
                <w:color w:val="auto"/>
                <w:szCs w:val="21"/>
                <w:highlight w:val="none"/>
              </w:rPr>
            </w:pPr>
            <w:r>
              <w:rPr>
                <w:rFonts w:hint="eastAsia" w:ascii="宋体"/>
                <w:b/>
                <w:color w:val="auto"/>
                <w:szCs w:val="21"/>
                <w:highlight w:val="none"/>
              </w:rPr>
              <w:t>投标报价</w:t>
            </w:r>
          </w:p>
          <w:p>
            <w:pPr>
              <w:adjustRightInd w:val="0"/>
              <w:snapToGrid w:val="0"/>
              <w:jc w:val="center"/>
              <w:rPr>
                <w:rFonts w:hint="eastAsia" w:ascii="宋体"/>
                <w:b/>
                <w:color w:val="auto"/>
                <w:szCs w:val="21"/>
                <w:highlight w:val="none"/>
              </w:rPr>
            </w:pPr>
            <w:r>
              <w:rPr>
                <w:rFonts w:hint="eastAsia" w:ascii="宋体"/>
                <w:b/>
                <w:color w:val="auto"/>
                <w:szCs w:val="21"/>
                <w:highlight w:val="none"/>
              </w:rPr>
              <w:t>（人民币 元）</w:t>
            </w:r>
          </w:p>
        </w:tc>
        <w:tc>
          <w:tcPr>
            <w:tcW w:w="1392" w:type="pct"/>
            <w:tcBorders>
              <w:top w:val="single" w:color="auto" w:sz="12" w:space="0"/>
              <w:bottom w:val="double" w:color="auto" w:sz="4" w:space="0"/>
            </w:tcBorders>
            <w:shd w:val="clear" w:color="auto" w:fill="EEECE1"/>
            <w:noWrap w:val="0"/>
            <w:vAlign w:val="center"/>
          </w:tcPr>
          <w:p>
            <w:pPr>
              <w:adjustRightInd w:val="0"/>
              <w:snapToGrid w:val="0"/>
              <w:jc w:val="center"/>
              <w:rPr>
                <w:rFonts w:hint="eastAsia" w:ascii="宋体"/>
                <w:b/>
                <w:color w:val="auto"/>
                <w:szCs w:val="21"/>
                <w:highlight w:val="none"/>
              </w:rPr>
            </w:pPr>
            <w:r>
              <w:rPr>
                <w:rFonts w:hint="eastAsia" w:ascii="宋体"/>
                <w:b/>
                <w:color w:val="auto"/>
                <w:szCs w:val="21"/>
                <w:highlight w:val="none"/>
              </w:rPr>
              <w:t>投标</w:t>
            </w:r>
            <w:r>
              <w:rPr>
                <w:rFonts w:hint="eastAsia" w:ascii="宋体"/>
                <w:b/>
                <w:color w:val="auto"/>
                <w:szCs w:val="21"/>
                <w:highlight w:val="none"/>
                <w:lang w:val="en-US" w:eastAsia="zh-CN"/>
              </w:rPr>
              <w:t>总</w:t>
            </w:r>
            <w:r>
              <w:rPr>
                <w:rFonts w:hint="eastAsia" w:ascii="宋体"/>
                <w:b/>
                <w:color w:val="auto"/>
                <w:szCs w:val="21"/>
                <w:highlight w:val="none"/>
              </w:rPr>
              <w:t>报价</w:t>
            </w:r>
          </w:p>
          <w:p>
            <w:pPr>
              <w:adjustRightInd w:val="0"/>
              <w:snapToGrid w:val="0"/>
              <w:jc w:val="center"/>
              <w:rPr>
                <w:rFonts w:hint="eastAsia" w:ascii="宋体" w:hAnsi="Calibri" w:eastAsia="宋体" w:cs="Times New Roman"/>
                <w:b/>
                <w:color w:val="auto"/>
                <w:kern w:val="2"/>
                <w:sz w:val="21"/>
                <w:szCs w:val="21"/>
                <w:highlight w:val="none"/>
                <w:lang w:val="en-US" w:eastAsia="zh-CN" w:bidi="ar-SA"/>
              </w:rPr>
            </w:pPr>
            <w:r>
              <w:rPr>
                <w:rFonts w:hint="eastAsia" w:ascii="宋体"/>
                <w:b/>
                <w:color w:val="auto"/>
                <w:szCs w:val="21"/>
                <w:highlight w:val="none"/>
              </w:rPr>
              <w:t>（人民币 元）</w:t>
            </w:r>
          </w:p>
        </w:tc>
        <w:tc>
          <w:tcPr>
            <w:tcW w:w="1068" w:type="pct"/>
            <w:tcBorders>
              <w:top w:val="single" w:color="auto" w:sz="12" w:space="0"/>
              <w:bottom w:val="double" w:color="auto" w:sz="4" w:space="0"/>
            </w:tcBorders>
            <w:shd w:val="clear" w:color="auto" w:fill="EEECE1"/>
            <w:noWrap w:val="0"/>
            <w:vAlign w:val="center"/>
          </w:tcPr>
          <w:p>
            <w:pPr>
              <w:adjustRightInd w:val="0"/>
              <w:snapToGrid w:val="0"/>
              <w:jc w:val="center"/>
              <w:rPr>
                <w:rFonts w:hint="eastAsia" w:ascii="宋体" w:eastAsia="宋体"/>
                <w:b/>
                <w:color w:val="auto"/>
                <w:szCs w:val="21"/>
                <w:highlight w:val="none"/>
                <w:lang w:val="en-US" w:eastAsia="zh-CN"/>
              </w:rPr>
            </w:pPr>
            <w:r>
              <w:rPr>
                <w:rFonts w:hint="eastAsia" w:ascii="宋体"/>
                <w:b/>
                <w:color w:val="auto"/>
                <w:szCs w:val="21"/>
                <w:highlight w:val="none"/>
                <w:lang w:val="en-US" w:eastAsia="zh-CN"/>
              </w:rPr>
              <w:t>服务期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8" w:hRule="atLeast"/>
          <w:jc w:val="center"/>
        </w:trPr>
        <w:tc>
          <w:tcPr>
            <w:tcW w:w="896" w:type="pct"/>
            <w:tcBorders>
              <w:top w:val="single" w:color="auto" w:sz="4" w:space="0"/>
            </w:tcBorders>
            <w:noWrap w:val="0"/>
            <w:vAlign w:val="center"/>
          </w:tcPr>
          <w:p>
            <w:pPr>
              <w:spacing w:line="240" w:lineRule="auto"/>
              <w:jc w:val="center"/>
              <w:rPr>
                <w:rFonts w:hint="eastAsia" w:ascii="宋体"/>
                <w:bCs/>
                <w:color w:val="auto"/>
                <w:szCs w:val="21"/>
                <w:highlight w:val="none"/>
              </w:rPr>
            </w:pPr>
            <w:r>
              <w:rPr>
                <w:rFonts w:hint="eastAsia" w:ascii="宋体" w:hAnsi="宋体" w:eastAsia="宋体"/>
                <w:snapToGrid/>
                <w:color w:val="auto"/>
                <w:spacing w:val="0"/>
                <w:kern w:val="2"/>
                <w:sz w:val="21"/>
                <w:szCs w:val="21"/>
                <w:highlight w:val="none"/>
                <w:lang w:val="en-US" w:eastAsia="zh-CN"/>
              </w:rPr>
              <w:t>三水文化中心安保巡护</w:t>
            </w:r>
            <w:r>
              <w:rPr>
                <w:rFonts w:hint="eastAsia" w:ascii="宋体" w:hAnsi="宋体" w:cs="宋体"/>
                <w:color w:val="auto"/>
                <w:highlight w:val="none"/>
                <w:lang w:eastAsia="zh-CN"/>
              </w:rPr>
              <w:t>服务</w:t>
            </w:r>
          </w:p>
        </w:tc>
        <w:tc>
          <w:tcPr>
            <w:tcW w:w="436" w:type="pct"/>
            <w:tcBorders>
              <w:top w:val="single" w:color="auto" w:sz="4" w:space="0"/>
            </w:tcBorders>
            <w:noWrap w:val="0"/>
            <w:vAlign w:val="center"/>
          </w:tcPr>
          <w:p>
            <w:pPr>
              <w:spacing w:line="240" w:lineRule="auto"/>
              <w:jc w:val="center"/>
              <w:rPr>
                <w:rFonts w:hint="eastAsia" w:ascii="宋体"/>
                <w:bCs/>
                <w:color w:val="auto"/>
                <w:szCs w:val="21"/>
                <w:highlight w:val="none"/>
              </w:rPr>
            </w:pPr>
            <w:r>
              <w:rPr>
                <w:rFonts w:hint="eastAsia" w:ascii="宋体"/>
                <w:bCs/>
                <w:color w:val="auto"/>
                <w:szCs w:val="21"/>
                <w:highlight w:val="none"/>
                <w:lang w:val="en-US" w:eastAsia="zh-CN"/>
              </w:rPr>
              <w:t>一项</w:t>
            </w:r>
          </w:p>
        </w:tc>
        <w:tc>
          <w:tcPr>
            <w:tcW w:w="1205" w:type="pc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default" w:ascii="宋体"/>
                <w:bCs/>
                <w:color w:val="auto"/>
                <w:szCs w:val="21"/>
                <w:highlight w:val="none"/>
                <w:u w:val="single"/>
                <w:lang w:val="en-US"/>
              </w:rPr>
            </w:pPr>
            <w:r>
              <w:rPr>
                <w:rFonts w:hint="eastAsia" w:ascii="宋体"/>
                <w:bCs/>
                <w:color w:val="auto"/>
                <w:szCs w:val="21"/>
                <w:highlight w:val="none"/>
                <w:lang w:val="en-US" w:eastAsia="zh-CN"/>
              </w:rPr>
              <w:t>人民币：</w:t>
            </w:r>
            <w:r>
              <w:rPr>
                <w:rFonts w:hint="eastAsia" w:ascii="宋体"/>
                <w:bCs/>
                <w:color w:val="auto"/>
                <w:szCs w:val="21"/>
                <w:highlight w:val="none"/>
                <w:u w:val="single"/>
              </w:rPr>
              <w:t xml:space="preserve">       </w:t>
            </w:r>
            <w:r>
              <w:rPr>
                <w:rFonts w:hint="eastAsia" w:ascii="宋体"/>
                <w:bCs/>
                <w:color w:val="auto"/>
                <w:szCs w:val="21"/>
                <w:highlight w:val="none"/>
                <w:u w:val="none"/>
                <w:lang w:val="en-US" w:eastAsia="zh-CN"/>
              </w:rPr>
              <w:t>元/月</w:t>
            </w:r>
          </w:p>
        </w:tc>
        <w:tc>
          <w:tcPr>
            <w:tcW w:w="1392" w:type="pc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Cs w:val="21"/>
                <w:highlight w:val="none"/>
                <w:lang w:eastAsia="zh-CN"/>
              </w:rPr>
            </w:pPr>
            <w:r>
              <w:rPr>
                <w:rFonts w:hint="eastAsia" w:ascii="宋体"/>
                <w:bCs/>
                <w:color w:val="auto"/>
                <w:szCs w:val="21"/>
                <w:highlight w:val="none"/>
                <w:lang w:val="en-US" w:eastAsia="zh-CN"/>
              </w:rPr>
              <w:t>人民币：</w:t>
            </w:r>
            <w:r>
              <w:rPr>
                <w:rFonts w:hint="eastAsia" w:ascii="宋体"/>
                <w:bCs/>
                <w:color w:val="auto"/>
                <w:szCs w:val="21"/>
                <w:highlight w:val="none"/>
                <w:u w:val="single"/>
              </w:rPr>
              <w:t xml:space="preserve">           </w:t>
            </w:r>
            <w:r>
              <w:rPr>
                <w:rFonts w:hint="eastAsia" w:ascii="宋体"/>
                <w:bCs/>
                <w:color w:val="auto"/>
                <w:szCs w:val="21"/>
                <w:highlight w:val="none"/>
                <w:u w:val="none"/>
                <w:lang w:val="en-US" w:eastAsia="zh-CN"/>
              </w:rPr>
              <w:t>元</w:t>
            </w:r>
          </w:p>
        </w:tc>
        <w:tc>
          <w:tcPr>
            <w:tcW w:w="1068" w:type="pc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自合同签订之日起1年。</w:t>
            </w:r>
          </w:p>
        </w:tc>
      </w:tr>
    </w:tbl>
    <w:p>
      <w:pPr>
        <w:spacing w:line="500" w:lineRule="exact"/>
        <w:ind w:firstLine="496" w:firstLineChars="200"/>
        <w:rPr>
          <w:rFonts w:hint="eastAsia"/>
          <w:color w:val="auto"/>
          <w:spacing w:val="4"/>
          <w:highlight w:val="none"/>
        </w:rPr>
      </w:pPr>
    </w:p>
    <w:p>
      <w:pPr>
        <w:spacing w:line="500" w:lineRule="exact"/>
        <w:rPr>
          <w:rFonts w:hint="eastAsia" w:ascii="宋体" w:hAnsi="宋体"/>
          <w:color w:val="auto"/>
          <w:highlight w:val="none"/>
          <w:u w:val="single"/>
        </w:rPr>
      </w:pPr>
      <w:r>
        <w:rPr>
          <w:rFonts w:hint="eastAsia" w:ascii="宋体" w:hAnsi="宋体"/>
          <w:color w:val="auto"/>
          <w:highlight w:val="none"/>
        </w:rPr>
        <w:t>投标人名称</w:t>
      </w:r>
      <w:r>
        <w:rPr>
          <w:rFonts w:hint="eastAsia" w:ascii="宋体" w:hAnsi="宋体"/>
          <w:color w:val="auto"/>
          <w:highlight w:val="none"/>
          <w:lang w:eastAsia="zh-CN"/>
        </w:rPr>
        <w:t>（</w:t>
      </w:r>
      <w:r>
        <w:rPr>
          <w:rFonts w:hint="eastAsia" w:ascii="宋体" w:hAnsi="宋体"/>
          <w:color w:val="auto"/>
          <w:highlight w:val="none"/>
        </w:rPr>
        <w:t>加盖公章</w:t>
      </w:r>
      <w:r>
        <w:rPr>
          <w:rFonts w:hint="eastAsia" w:ascii="宋体" w:hAnsi="宋体"/>
          <w:color w:val="auto"/>
          <w:highlight w:val="none"/>
          <w:lang w:eastAsia="zh-CN"/>
        </w:rPr>
        <w:t>）</w:t>
      </w:r>
      <w:r>
        <w:rPr>
          <w:rFonts w:hint="eastAsia"/>
          <w:color w:val="auto"/>
          <w:spacing w:val="4"/>
          <w:highlight w:val="none"/>
        </w:rPr>
        <w:t>：</w:t>
      </w:r>
      <w:r>
        <w:rPr>
          <w:rFonts w:hint="eastAsia"/>
          <w:color w:val="auto"/>
          <w:spacing w:val="4"/>
          <w:highlight w:val="none"/>
          <w:u w:val="single"/>
        </w:rPr>
        <w:t xml:space="preserve">                             </w:t>
      </w:r>
    </w:p>
    <w:p>
      <w:pPr>
        <w:rPr>
          <w:rFonts w:hint="eastAsia"/>
          <w:color w:val="auto"/>
          <w:spacing w:val="4"/>
          <w:highlight w:val="none"/>
        </w:rPr>
      </w:pPr>
    </w:p>
    <w:p>
      <w:pPr>
        <w:spacing w:line="520" w:lineRule="exact"/>
        <w:rPr>
          <w:rFonts w:hint="eastAsia"/>
          <w:color w:val="auto"/>
          <w:spacing w:val="4"/>
          <w:highlight w:val="none"/>
        </w:rPr>
      </w:pPr>
      <w:r>
        <w:rPr>
          <w:rFonts w:hint="eastAsia"/>
          <w:color w:val="auto"/>
          <w:spacing w:val="4"/>
          <w:highlight w:val="none"/>
        </w:rPr>
        <w:t>日期</w:t>
      </w:r>
      <w:r>
        <w:rPr>
          <w:rFonts w:hint="eastAsia"/>
          <w:color w:val="auto"/>
          <w:spacing w:val="4"/>
          <w:highlight w:val="none"/>
          <w:lang w:eastAsia="zh-CN"/>
        </w:rPr>
        <w:t>：</w:t>
      </w:r>
      <w:r>
        <w:rPr>
          <w:color w:val="auto"/>
          <w:spacing w:val="4"/>
          <w:highlight w:val="none"/>
          <w:u w:val="single"/>
        </w:rPr>
        <w:t xml:space="preserve">         </w:t>
      </w:r>
    </w:p>
    <w:p>
      <w:pPr>
        <w:spacing w:line="400" w:lineRule="exact"/>
        <w:rPr>
          <w:rFonts w:hint="eastAsia" w:ascii="宋体" w:hAnsi="宋体"/>
          <w:b/>
          <w:bCs/>
          <w:color w:val="auto"/>
          <w:sz w:val="28"/>
          <w:highlight w:val="none"/>
        </w:rPr>
      </w:pPr>
    </w:p>
    <w:p>
      <w:pPr>
        <w:spacing w:line="400" w:lineRule="exact"/>
        <w:rPr>
          <w:rFonts w:hint="eastAsia" w:ascii="宋体" w:hAnsi="宋体"/>
          <w:b/>
          <w:bCs/>
          <w:color w:val="auto"/>
          <w:szCs w:val="21"/>
          <w:highlight w:val="none"/>
        </w:rPr>
      </w:pPr>
      <w:r>
        <w:rPr>
          <w:rFonts w:hint="eastAsia" w:ascii="宋体" w:hAnsi="宋体"/>
          <w:b/>
          <w:bCs/>
          <w:color w:val="auto"/>
          <w:szCs w:val="21"/>
          <w:highlight w:val="none"/>
        </w:rPr>
        <w:t>备注：</w:t>
      </w:r>
    </w:p>
    <w:p>
      <w:pPr>
        <w:numPr>
          <w:ilvl w:val="1"/>
          <w:numId w:val="46"/>
        </w:numPr>
        <w:tabs>
          <w:tab w:val="left" w:pos="360"/>
          <w:tab w:val="clear" w:pos="1620"/>
        </w:tabs>
        <w:snapToGrid w:val="0"/>
        <w:spacing w:line="360" w:lineRule="auto"/>
        <w:ind w:left="360"/>
        <w:rPr>
          <w:rFonts w:hint="eastAsia" w:ascii="宋体" w:hAnsi="宋体"/>
          <w:b/>
          <w:bCs/>
          <w:color w:val="auto"/>
          <w:szCs w:val="21"/>
          <w:highlight w:val="none"/>
        </w:rPr>
      </w:pPr>
      <w:r>
        <w:rPr>
          <w:rFonts w:hint="eastAsia"/>
          <w:b/>
          <w:color w:val="auto"/>
          <w:highlight w:val="none"/>
        </w:rPr>
        <w:t>此表内投标报价为最终价，投标文件内不得含有任何对本报价进行修改的其他说明或资料，否则为无效投标</w:t>
      </w:r>
      <w:r>
        <w:rPr>
          <w:rFonts w:hint="eastAsia" w:ascii="宋体" w:hAnsi="宋体"/>
          <w:b/>
          <w:bCs/>
          <w:color w:val="auto"/>
          <w:szCs w:val="21"/>
          <w:highlight w:val="none"/>
        </w:rPr>
        <w:t>。</w:t>
      </w:r>
    </w:p>
    <w:p>
      <w:pPr>
        <w:numPr>
          <w:ilvl w:val="1"/>
          <w:numId w:val="46"/>
        </w:numPr>
        <w:tabs>
          <w:tab w:val="left" w:pos="360"/>
          <w:tab w:val="left" w:pos="840"/>
          <w:tab w:val="clear" w:pos="1620"/>
        </w:tabs>
        <w:snapToGrid w:val="0"/>
        <w:spacing w:line="360" w:lineRule="auto"/>
        <w:ind w:left="360"/>
        <w:rPr>
          <w:rFonts w:hint="eastAsia"/>
          <w:b/>
          <w:color w:val="auto"/>
          <w:highlight w:val="none"/>
        </w:rPr>
      </w:pPr>
      <w:r>
        <w:rPr>
          <w:rFonts w:hint="eastAsia"/>
          <w:b/>
          <w:color w:val="auto"/>
          <w:highlight w:val="none"/>
        </w:rPr>
        <w:t>投标报价要求具体见第</w:t>
      </w:r>
      <w:r>
        <w:rPr>
          <w:rFonts w:hint="eastAsia"/>
          <w:b/>
          <w:color w:val="auto"/>
          <w:highlight w:val="none"/>
          <w:lang w:val="en-US" w:eastAsia="zh-CN"/>
        </w:rPr>
        <w:t>二部分 招标项目内容的要求</w:t>
      </w:r>
      <w:r>
        <w:rPr>
          <w:rFonts w:hint="eastAsia"/>
          <w:b/>
          <w:color w:val="auto"/>
          <w:highlight w:val="none"/>
        </w:rPr>
        <w:t>。</w:t>
      </w:r>
    </w:p>
    <w:p>
      <w:pPr>
        <w:numPr>
          <w:ilvl w:val="1"/>
          <w:numId w:val="46"/>
        </w:numPr>
        <w:tabs>
          <w:tab w:val="left" w:pos="360"/>
          <w:tab w:val="left" w:pos="840"/>
          <w:tab w:val="clear" w:pos="1620"/>
        </w:tabs>
        <w:snapToGrid w:val="0"/>
        <w:spacing w:line="360" w:lineRule="auto"/>
        <w:ind w:left="360"/>
        <w:rPr>
          <w:rFonts w:hint="eastAsia"/>
          <w:b/>
          <w:bCs/>
          <w:color w:val="auto"/>
          <w:highlight w:val="none"/>
        </w:rPr>
      </w:pPr>
      <w:r>
        <w:rPr>
          <w:rFonts w:hint="eastAsia"/>
          <w:b/>
          <w:bCs/>
          <w:color w:val="auto"/>
          <w:highlight w:val="none"/>
        </w:rPr>
        <w:t>本项目不接受有选择性的投标报价</w:t>
      </w:r>
      <w:r>
        <w:rPr>
          <w:rFonts w:hint="eastAsia" w:ascii="宋体" w:hAnsi="宋体" w:eastAsia="宋体"/>
          <w:b/>
          <w:color w:val="auto"/>
          <w:highlight w:val="none"/>
        </w:rPr>
        <w:t>。</w:t>
      </w:r>
    </w:p>
    <w:p>
      <w:pPr>
        <w:numPr>
          <w:ilvl w:val="1"/>
          <w:numId w:val="46"/>
        </w:numPr>
        <w:tabs>
          <w:tab w:val="left" w:pos="360"/>
          <w:tab w:val="left" w:pos="840"/>
          <w:tab w:val="clear" w:pos="1620"/>
        </w:tabs>
        <w:snapToGrid w:val="0"/>
        <w:spacing w:line="360" w:lineRule="auto"/>
        <w:ind w:left="360"/>
        <w:rPr>
          <w:rFonts w:hint="eastAsia"/>
          <w:b/>
          <w:bCs/>
          <w:color w:val="auto"/>
          <w:highlight w:val="none"/>
        </w:rPr>
      </w:pPr>
      <w:r>
        <w:rPr>
          <w:rFonts w:hint="eastAsia" w:ascii="宋体" w:hAnsi="宋体" w:eastAsia="宋体"/>
          <w:b/>
          <w:bCs/>
          <w:color w:val="auto"/>
          <w:spacing w:val="4"/>
          <w:highlight w:val="none"/>
        </w:rPr>
        <w:t>中文大写金额用汉字，如壹、贰、叁、肆、伍、陆、柒、捌、玖、拾、佰、仟、万、亿、元、角、分、零、整（正）等。</w:t>
      </w:r>
    </w:p>
    <w:p>
      <w:pPr>
        <w:numPr>
          <w:ilvl w:val="1"/>
          <w:numId w:val="46"/>
        </w:numPr>
        <w:tabs>
          <w:tab w:val="left" w:pos="360"/>
          <w:tab w:val="left" w:pos="840"/>
          <w:tab w:val="clear" w:pos="1620"/>
        </w:tabs>
        <w:snapToGrid w:val="0"/>
        <w:spacing w:line="360" w:lineRule="auto"/>
        <w:ind w:left="360"/>
        <w:rPr>
          <w:rFonts w:hint="eastAsia"/>
          <w:b/>
          <w:bCs/>
          <w:color w:val="auto"/>
          <w:highlight w:val="none"/>
        </w:rPr>
      </w:pPr>
      <w:r>
        <w:rPr>
          <w:rFonts w:hint="eastAsia" w:ascii="宋体" w:hAnsi="宋体"/>
          <w:b/>
          <w:color w:val="auto"/>
          <w:highlight w:val="none"/>
          <w:lang w:eastAsia="zh-CN"/>
        </w:rPr>
        <w:t>若报价有小数点后的数值的，保留小数点后两位小数。</w:t>
      </w:r>
    </w:p>
    <w:p>
      <w:pPr>
        <w:pStyle w:val="40"/>
        <w:outlineLvl w:val="1"/>
        <w:rPr>
          <w:color w:val="auto"/>
        </w:rPr>
      </w:pPr>
      <w:r>
        <w:rPr>
          <w:color w:val="auto"/>
        </w:rPr>
        <w:br w:type="page"/>
      </w:r>
      <w:r>
        <w:rPr>
          <w:rFonts w:hint="eastAsia"/>
          <w:color w:val="auto"/>
          <w:lang w:val="en-US" w:eastAsia="zh-CN"/>
        </w:rPr>
        <w:t>二</w:t>
      </w:r>
      <w:r>
        <w:rPr>
          <w:rFonts w:hint="eastAsia"/>
          <w:color w:val="auto"/>
        </w:rPr>
        <w:t>、</w:t>
      </w:r>
      <w:r>
        <w:rPr>
          <w:color w:val="auto"/>
        </w:rPr>
        <w:t>投标承诺函</w:t>
      </w:r>
    </w:p>
    <w:p>
      <w:pPr>
        <w:pStyle w:val="41"/>
        <w:spacing w:line="360" w:lineRule="auto"/>
        <w:jc w:val="center"/>
        <w:rPr>
          <w:b/>
          <w:color w:val="auto"/>
          <w:sz w:val="36"/>
        </w:rPr>
      </w:pPr>
      <w:r>
        <w:rPr>
          <w:rFonts w:hint="eastAsia"/>
          <w:b/>
          <w:color w:val="auto"/>
          <w:sz w:val="36"/>
        </w:rPr>
        <w:t>投标承诺函</w:t>
      </w:r>
    </w:p>
    <w:p>
      <w:pPr>
        <w:pStyle w:val="41"/>
        <w:spacing w:line="480" w:lineRule="auto"/>
        <w:ind w:left="420" w:hanging="420"/>
        <w:rPr>
          <w:rFonts w:hint="eastAsia" w:ascii="宋体" w:hAnsi="宋体" w:cs="宋体"/>
          <w:bCs/>
          <w:color w:val="auto"/>
          <w:szCs w:val="21"/>
        </w:rPr>
      </w:pPr>
      <w:r>
        <w:rPr>
          <w:rFonts w:hint="eastAsia" w:ascii="宋体" w:hAnsi="宋体" w:cs="宋体"/>
          <w:bCs/>
          <w:color w:val="auto"/>
          <w:szCs w:val="21"/>
          <w:lang w:val="en-GB"/>
        </w:rPr>
        <w:t>致</w:t>
      </w:r>
      <w:r>
        <w:rPr>
          <w:rFonts w:hint="eastAsia" w:ascii="宋体" w:hAnsi="宋体" w:cs="宋体"/>
          <w:bCs/>
          <w:color w:val="auto"/>
          <w:szCs w:val="21"/>
          <w:lang w:val="en-GB" w:eastAsia="zh-CN"/>
        </w:rPr>
        <w:t>广东中采招标有限公司</w:t>
      </w:r>
      <w:r>
        <w:rPr>
          <w:rFonts w:hint="eastAsia" w:ascii="宋体" w:hAnsi="宋体" w:cs="宋体"/>
          <w:bCs/>
          <w:color w:val="auto"/>
          <w:szCs w:val="21"/>
          <w:lang w:val="en-GB"/>
        </w:rPr>
        <w:t>：</w:t>
      </w:r>
    </w:p>
    <w:p>
      <w:pPr>
        <w:pStyle w:val="42"/>
        <w:spacing w:line="360" w:lineRule="auto"/>
        <w:ind w:firstLine="420" w:firstLineChars="200"/>
        <w:rPr>
          <w:rFonts w:hint="eastAsia" w:ascii="宋体" w:hAnsi="宋体" w:cs="宋体"/>
          <w:color w:val="auto"/>
          <w:szCs w:val="21"/>
        </w:rPr>
      </w:pPr>
      <w:r>
        <w:rPr>
          <w:rFonts w:hint="eastAsia" w:ascii="宋体" w:hAnsi="宋体" w:cs="宋体"/>
          <w:color w:val="auto"/>
          <w:szCs w:val="21"/>
        </w:rPr>
        <w:t>我方根据《公开招标文件》的要求，向贵方递交的投标文件参与下列项目的投标，现为我方的一切投标行为作</w:t>
      </w:r>
      <w:r>
        <w:rPr>
          <w:rFonts w:hint="eastAsia" w:ascii="宋体" w:hAnsi="宋体" w:cs="宋体"/>
          <w:bCs/>
          <w:color w:val="auto"/>
          <w:szCs w:val="21"/>
        </w:rPr>
        <w:t>郑重承诺及声明如下：</w:t>
      </w:r>
    </w:p>
    <w:p>
      <w:pPr>
        <w:pStyle w:val="42"/>
        <w:spacing w:line="360" w:lineRule="auto"/>
        <w:ind w:firstLine="420" w:firstLineChars="200"/>
        <w:rPr>
          <w:rFonts w:hint="eastAsia" w:ascii="宋体" w:hAnsi="宋体" w:cs="宋体"/>
          <w:color w:val="auto"/>
          <w:szCs w:val="21"/>
        </w:rPr>
      </w:pPr>
      <w:r>
        <w:rPr>
          <w:rFonts w:hint="eastAsia" w:ascii="宋体" w:hAnsi="宋体" w:cs="宋体"/>
          <w:color w:val="auto"/>
          <w:szCs w:val="21"/>
        </w:rPr>
        <w:t>1.投标项目名称：</w:t>
      </w:r>
      <w:r>
        <w:rPr>
          <w:rFonts w:hint="eastAsia" w:ascii="宋体" w:hAnsi="宋体" w:cs="宋体"/>
          <w:color w:val="auto"/>
          <w:szCs w:val="21"/>
          <w:lang w:eastAsia="zh-CN"/>
        </w:rPr>
        <w:t>三水文化中心物业管理服务项目</w:t>
      </w:r>
      <w:r>
        <w:rPr>
          <w:rFonts w:hint="eastAsia" w:ascii="宋体" w:hAnsi="宋体" w:cs="宋体"/>
          <w:color w:val="auto"/>
          <w:szCs w:val="21"/>
        </w:rPr>
        <w:fldChar w:fldCharType="begin"/>
      </w:r>
      <w:r>
        <w:rPr>
          <w:rFonts w:hint="eastAsia" w:ascii="宋体" w:hAnsi="宋体" w:cs="宋体"/>
          <w:color w:val="auto"/>
          <w:szCs w:val="21"/>
        </w:rPr>
        <w:instrText xml:space="preserve"> DOCVARIABLE  项目名称  \* MERGEFORMAT </w:instrText>
      </w:r>
      <w:r>
        <w:rPr>
          <w:rFonts w:hint="eastAsia" w:ascii="宋体" w:hAnsi="宋体" w:cs="宋体"/>
          <w:color w:val="auto"/>
          <w:szCs w:val="21"/>
        </w:rPr>
        <w:fldChar w:fldCharType="end"/>
      </w:r>
      <w:r>
        <w:rPr>
          <w:rFonts w:hint="eastAsia" w:ascii="宋体" w:hAnsi="宋体" w:cs="宋体"/>
          <w:color w:val="auto"/>
          <w:szCs w:val="21"/>
        </w:rPr>
        <w:t>；项目编号：</w:t>
      </w:r>
      <w:r>
        <w:rPr>
          <w:rFonts w:hint="eastAsia" w:ascii="宋体" w:hAnsi="宋体" w:cs="宋体"/>
          <w:color w:val="auto"/>
          <w:szCs w:val="21"/>
          <w:lang w:eastAsia="zh-CN"/>
        </w:rPr>
        <w:t>GDZC-26GZ092</w:t>
      </w:r>
      <w:r>
        <w:rPr>
          <w:rFonts w:hint="eastAsia" w:ascii="宋体" w:hAnsi="宋体" w:cs="宋体"/>
          <w:color w:val="auto"/>
          <w:szCs w:val="21"/>
        </w:rPr>
        <w:fldChar w:fldCharType="begin"/>
      </w:r>
      <w:r>
        <w:rPr>
          <w:rFonts w:hint="eastAsia" w:ascii="宋体" w:hAnsi="宋体" w:cs="宋体"/>
          <w:color w:val="auto"/>
          <w:szCs w:val="21"/>
        </w:rPr>
        <w:instrText xml:space="preserve"> DOCVARIABLE  采购编号  \* MERGEFORMAT </w:instrText>
      </w:r>
      <w:r>
        <w:rPr>
          <w:rFonts w:hint="eastAsia" w:ascii="宋体" w:hAnsi="宋体" w:cs="宋体"/>
          <w:color w:val="auto"/>
          <w:szCs w:val="21"/>
        </w:rPr>
        <w:fldChar w:fldCharType="end"/>
      </w:r>
    </w:p>
    <w:p>
      <w:pPr>
        <w:pStyle w:val="42"/>
        <w:tabs>
          <w:tab w:val="left" w:pos="9000"/>
        </w:tabs>
        <w:spacing w:line="360" w:lineRule="auto"/>
        <w:ind w:firstLine="420" w:firstLineChars="200"/>
        <w:rPr>
          <w:rFonts w:hint="eastAsia" w:ascii="宋体" w:hAnsi="宋体" w:cs="宋体"/>
          <w:color w:val="auto"/>
          <w:szCs w:val="21"/>
        </w:rPr>
      </w:pPr>
      <w:r>
        <w:rPr>
          <w:rFonts w:hint="eastAsia" w:ascii="宋体" w:hAnsi="宋体" w:cs="宋体"/>
          <w:color w:val="auto"/>
          <w:szCs w:val="21"/>
        </w:rPr>
        <w:t>2.我方已认真阅读了全部招标文件及其相关文件，完全清楚理解其内容要求及规约，对文件的合理性、公正性和程序安排均没有任何异议、质疑和误解之处。</w:t>
      </w:r>
    </w:p>
    <w:p>
      <w:pPr>
        <w:pStyle w:val="43"/>
        <w:spacing w:line="360" w:lineRule="auto"/>
        <w:ind w:firstLine="420" w:firstLineChars="200"/>
        <w:rPr>
          <w:rFonts w:hint="eastAsia" w:ascii="宋体" w:hAnsi="宋体" w:cs="宋体"/>
          <w:color w:val="auto"/>
          <w:szCs w:val="21"/>
        </w:rPr>
      </w:pPr>
      <w:r>
        <w:rPr>
          <w:rFonts w:hint="eastAsia" w:ascii="宋体" w:hAnsi="宋体" w:cs="宋体"/>
          <w:color w:val="auto"/>
          <w:szCs w:val="21"/>
        </w:rPr>
        <w:t>3.我方所提供的一切文件均已经过认真、严格的审核，其内容已充分表达了我方的真实意愿，没有任何遗漏、虚假、侵权之处，若出现违背诚实信用和商业道德之行为，愿独自承担相应的法律责任。</w:t>
      </w:r>
    </w:p>
    <w:p>
      <w:pPr>
        <w:pStyle w:val="42"/>
        <w:spacing w:line="360" w:lineRule="auto"/>
        <w:ind w:firstLine="420" w:firstLineChars="200"/>
        <w:rPr>
          <w:rFonts w:hint="eastAsia" w:ascii="宋体" w:hAnsi="宋体" w:cs="宋体"/>
          <w:color w:val="auto"/>
          <w:szCs w:val="21"/>
        </w:rPr>
      </w:pPr>
      <w:r>
        <w:rPr>
          <w:rFonts w:hint="eastAsia" w:ascii="宋体" w:hAnsi="宋体" w:cs="宋体"/>
          <w:color w:val="auto"/>
          <w:szCs w:val="21"/>
        </w:rPr>
        <w:t>4.本投标文件的有效期为从提交投标（响应）文件的截止之日起90日历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42"/>
        <w:spacing w:line="360" w:lineRule="auto"/>
        <w:ind w:firstLine="420" w:firstLineChars="200"/>
        <w:rPr>
          <w:rFonts w:hint="eastAsia" w:ascii="宋体" w:hAnsi="宋体" w:cs="宋体"/>
          <w:color w:val="auto"/>
          <w:szCs w:val="21"/>
        </w:rPr>
      </w:pPr>
      <w:r>
        <w:rPr>
          <w:rFonts w:hint="eastAsia" w:ascii="宋体" w:hAnsi="宋体" w:cs="宋体"/>
          <w:color w:val="auto"/>
          <w:szCs w:val="21"/>
        </w:rPr>
        <w:t>5.完全服从和尊重评标委员会所作的评审结果。</w:t>
      </w:r>
    </w:p>
    <w:p>
      <w:pPr>
        <w:pStyle w:val="42"/>
        <w:spacing w:line="360" w:lineRule="auto"/>
        <w:ind w:firstLine="420" w:firstLineChars="200"/>
        <w:rPr>
          <w:rFonts w:hint="eastAsia" w:ascii="宋体" w:hAnsi="宋体" w:cs="宋体"/>
          <w:color w:val="auto"/>
          <w:szCs w:val="21"/>
        </w:rPr>
      </w:pPr>
      <w:r>
        <w:rPr>
          <w:rFonts w:hint="eastAsia" w:ascii="宋体" w:hAnsi="宋体" w:cs="宋体"/>
          <w:color w:val="auto"/>
          <w:szCs w:val="21"/>
        </w:rPr>
        <w:t>6.我方愿意向贵方提供任何与本项报价有关的数据、情况和技术资料。若贵方需要，我方愿意提供我方作出的一切承诺的证明材料。</w:t>
      </w:r>
    </w:p>
    <w:p>
      <w:pPr>
        <w:pStyle w:val="42"/>
        <w:spacing w:line="360" w:lineRule="auto"/>
        <w:ind w:firstLine="420" w:firstLineChars="200"/>
        <w:rPr>
          <w:rFonts w:hint="eastAsia" w:ascii="宋体" w:hAnsi="宋体" w:cs="宋体"/>
          <w:color w:val="auto"/>
          <w:szCs w:val="21"/>
        </w:rPr>
      </w:pPr>
      <w:r>
        <w:rPr>
          <w:rFonts w:hint="eastAsia" w:ascii="宋体" w:hAnsi="宋体" w:cs="宋体"/>
          <w:color w:val="auto"/>
          <w:szCs w:val="21"/>
        </w:rPr>
        <w:t>7.我方如果中标，将保证履行招标文件及其澄清、修改文件（如果有）中的全部责任和义务，按质、按量、按期完成《采购需求》及《合同书》中的全部任务</w:t>
      </w:r>
    </w:p>
    <w:p>
      <w:pPr>
        <w:pStyle w:val="42"/>
        <w:spacing w:line="360" w:lineRule="auto"/>
        <w:ind w:firstLine="420" w:firstLineChars="200"/>
        <w:rPr>
          <w:rFonts w:hint="eastAsia" w:ascii="宋体" w:hAnsi="宋体" w:cs="宋体"/>
          <w:color w:val="auto"/>
          <w:szCs w:val="21"/>
        </w:rPr>
      </w:pPr>
      <w:r>
        <w:rPr>
          <w:rFonts w:hint="eastAsia" w:ascii="宋体" w:hAnsi="宋体" w:cs="宋体"/>
          <w:color w:val="auto"/>
          <w:szCs w:val="21"/>
        </w:rPr>
        <w:t>8.我方已依法缴纳了各项税费及社会保险费用。</w:t>
      </w:r>
    </w:p>
    <w:p>
      <w:pPr>
        <w:pStyle w:val="42"/>
        <w:spacing w:line="360" w:lineRule="auto"/>
        <w:ind w:firstLine="420" w:firstLineChars="200"/>
        <w:rPr>
          <w:rFonts w:hint="eastAsia" w:ascii="宋体" w:hAnsi="宋体" w:cs="宋体"/>
          <w:color w:val="auto"/>
          <w:szCs w:val="21"/>
        </w:rPr>
      </w:pPr>
      <w:r>
        <w:rPr>
          <w:rFonts w:hint="eastAsia" w:ascii="宋体" w:hAnsi="宋体" w:cs="宋体"/>
          <w:color w:val="auto"/>
          <w:szCs w:val="21"/>
        </w:rPr>
        <w:t>9.我方已依法建立健全的财务会计制度。</w:t>
      </w:r>
    </w:p>
    <w:p>
      <w:pPr>
        <w:pStyle w:val="42"/>
        <w:spacing w:line="360" w:lineRule="auto"/>
        <w:ind w:firstLine="420" w:firstLineChars="200"/>
        <w:rPr>
          <w:rFonts w:hint="eastAsia" w:ascii="宋体" w:hAnsi="宋体" w:cs="宋体"/>
          <w:color w:val="auto"/>
          <w:szCs w:val="21"/>
        </w:rPr>
      </w:pPr>
      <w:r>
        <w:rPr>
          <w:rFonts w:hint="eastAsia" w:ascii="宋体" w:hAnsi="宋体" w:cs="宋体"/>
          <w:color w:val="auto"/>
          <w:szCs w:val="21"/>
        </w:rPr>
        <w:t>10.我方具备履行合同所必需的设备和专业技术能力。</w:t>
      </w:r>
    </w:p>
    <w:p>
      <w:pPr>
        <w:pStyle w:val="42"/>
        <w:spacing w:line="360" w:lineRule="auto"/>
        <w:ind w:firstLine="420" w:firstLineChars="200"/>
        <w:rPr>
          <w:rFonts w:hint="eastAsia" w:ascii="宋体" w:hAnsi="宋体" w:cs="宋体"/>
          <w:color w:val="auto"/>
          <w:szCs w:val="21"/>
        </w:rPr>
      </w:pPr>
      <w:r>
        <w:rPr>
          <w:rFonts w:hint="eastAsia" w:ascii="宋体" w:hAnsi="宋体" w:cs="宋体"/>
          <w:color w:val="auto"/>
          <w:szCs w:val="21"/>
        </w:rPr>
        <w:t>11.本承诺函效力及范围均涵盖我方整套投标文件和一切补充文件。</w:t>
      </w:r>
    </w:p>
    <w:p>
      <w:pPr>
        <w:pStyle w:val="42"/>
        <w:spacing w:line="480" w:lineRule="auto"/>
        <w:ind w:firstLine="1050" w:firstLineChars="500"/>
        <w:rPr>
          <w:rFonts w:hint="eastAsia" w:ascii="宋体" w:hAnsi="宋体" w:cs="宋体"/>
          <w:color w:val="auto"/>
          <w:szCs w:val="21"/>
          <w:lang w:val="en-GB"/>
        </w:rPr>
      </w:pPr>
    </w:p>
    <w:p>
      <w:pPr>
        <w:pStyle w:val="42"/>
        <w:spacing w:line="480" w:lineRule="auto"/>
        <w:ind w:firstLine="1050" w:firstLineChars="500"/>
        <w:rPr>
          <w:rFonts w:hint="eastAsia" w:ascii="宋体" w:hAnsi="宋体" w:cs="宋体"/>
          <w:color w:val="auto"/>
          <w:szCs w:val="21"/>
          <w:lang w:val="en-GB"/>
        </w:rPr>
      </w:pPr>
    </w:p>
    <w:p>
      <w:pPr>
        <w:pStyle w:val="42"/>
        <w:spacing w:line="480" w:lineRule="auto"/>
        <w:ind w:firstLine="1050" w:firstLineChars="500"/>
        <w:rPr>
          <w:rFonts w:hint="eastAsia" w:ascii="宋体" w:hAnsi="宋体" w:cs="宋体"/>
          <w:color w:val="auto"/>
          <w:szCs w:val="21"/>
          <w:lang w:val="en-GB"/>
        </w:rPr>
      </w:pPr>
      <w:r>
        <w:rPr>
          <w:rFonts w:hint="eastAsia" w:ascii="宋体" w:hAnsi="宋体" w:cs="宋体"/>
          <w:color w:val="auto"/>
          <w:szCs w:val="21"/>
          <w:lang w:val="en-GB"/>
        </w:rPr>
        <w:t>投标人名称：</w:t>
      </w:r>
      <w:r>
        <w:rPr>
          <w:rFonts w:hint="eastAsia" w:ascii="宋体" w:hAnsi="宋体" w:cs="宋体"/>
          <w:color w:val="auto"/>
          <w:szCs w:val="21"/>
          <w:u w:val="dotted"/>
          <w:lang w:val="en-GB"/>
        </w:rPr>
        <w:t xml:space="preserve">           （全称）                </w:t>
      </w:r>
      <w:r>
        <w:rPr>
          <w:rFonts w:hint="eastAsia" w:ascii="宋体" w:hAnsi="宋体" w:cs="宋体"/>
          <w:color w:val="auto"/>
          <w:szCs w:val="21"/>
          <w:lang w:val="en-GB"/>
        </w:rPr>
        <w:t xml:space="preserve"> （单位公章）</w:t>
      </w:r>
    </w:p>
    <w:p>
      <w:pPr>
        <w:pStyle w:val="41"/>
        <w:tabs>
          <w:tab w:val="left" w:pos="-3780"/>
        </w:tabs>
        <w:spacing w:line="360" w:lineRule="auto"/>
        <w:ind w:firstLine="1260" w:firstLineChars="600"/>
        <w:rPr>
          <w:rFonts w:hint="eastAsia" w:ascii="宋体" w:hAnsi="宋体" w:cs="宋体"/>
          <w:color w:val="auto"/>
          <w:szCs w:val="21"/>
        </w:rPr>
      </w:pPr>
      <w:r>
        <w:rPr>
          <w:rFonts w:hint="eastAsia" w:ascii="宋体" w:hAnsi="宋体" w:cs="宋体"/>
          <w:color w:val="auto"/>
          <w:szCs w:val="21"/>
        </w:rPr>
        <w:t>承诺日期：    年    月    日</w:t>
      </w:r>
    </w:p>
    <w:p>
      <w:pPr>
        <w:pStyle w:val="44"/>
        <w:outlineLvl w:val="1"/>
        <w:rPr>
          <w:color w:val="auto"/>
        </w:rPr>
      </w:pPr>
      <w:r>
        <w:rPr>
          <w:color w:val="auto"/>
        </w:rPr>
        <w:br w:type="page"/>
      </w:r>
      <w:r>
        <w:rPr>
          <w:rFonts w:hint="eastAsia"/>
          <w:color w:val="auto"/>
          <w:lang w:val="en-US" w:eastAsia="zh-CN"/>
        </w:rPr>
        <w:t>三</w:t>
      </w:r>
      <w:r>
        <w:rPr>
          <w:color w:val="auto"/>
        </w:rPr>
        <w:t>、投标授权书</w:t>
      </w:r>
    </w:p>
    <w:p>
      <w:pPr>
        <w:pStyle w:val="45"/>
        <w:rPr>
          <w:rFonts w:hint="eastAsia"/>
          <w:color w:val="auto"/>
        </w:rPr>
      </w:pPr>
    </w:p>
    <w:p>
      <w:pPr>
        <w:pStyle w:val="45"/>
        <w:jc w:val="center"/>
        <w:rPr>
          <w:rFonts w:hint="eastAsia"/>
          <w:b/>
          <w:color w:val="auto"/>
          <w:sz w:val="32"/>
          <w:szCs w:val="32"/>
        </w:rPr>
      </w:pPr>
      <w:r>
        <w:rPr>
          <w:rFonts w:hint="eastAsia"/>
          <w:b/>
          <w:color w:val="auto"/>
          <w:sz w:val="32"/>
          <w:szCs w:val="32"/>
        </w:rPr>
        <w:t>法定代表人/负责人资格证明书</w:t>
      </w:r>
    </w:p>
    <w:p>
      <w:pPr>
        <w:pStyle w:val="46"/>
        <w:spacing w:line="323" w:lineRule="auto"/>
        <w:rPr>
          <w:color w:val="auto"/>
        </w:rPr>
      </w:pPr>
    </w:p>
    <w:p>
      <w:pPr>
        <w:pStyle w:val="46"/>
        <w:spacing w:line="323" w:lineRule="auto"/>
        <w:rPr>
          <w:color w:val="auto"/>
        </w:rPr>
      </w:pPr>
    </w:p>
    <w:p>
      <w:pPr>
        <w:pStyle w:val="46"/>
        <w:widowControl/>
        <w:kinsoku w:val="0"/>
        <w:autoSpaceDE w:val="0"/>
        <w:autoSpaceDN w:val="0"/>
        <w:adjustRightInd w:val="0"/>
        <w:snapToGrid w:val="0"/>
        <w:spacing w:line="440" w:lineRule="exact"/>
        <w:textAlignment w:val="baseline"/>
        <w:rPr>
          <w:rFonts w:hint="eastAsia" w:ascii="宋体" w:hAnsi="宋体" w:cs="宋体"/>
          <w:color w:val="auto"/>
          <w:szCs w:val="21"/>
        </w:rPr>
      </w:pPr>
      <w:r>
        <w:rPr>
          <w:rFonts w:hint="eastAsia" w:ascii="宋体" w:hAnsi="宋体" w:cs="宋体"/>
          <w:bCs/>
          <w:color w:val="auto"/>
          <w:szCs w:val="21"/>
          <w:lang w:val="en-GB"/>
        </w:rPr>
        <w:t>致</w:t>
      </w:r>
      <w:r>
        <w:rPr>
          <w:rFonts w:hint="eastAsia" w:ascii="宋体" w:hAnsi="宋体" w:cs="宋体"/>
          <w:color w:val="auto"/>
          <w:szCs w:val="21"/>
          <w:lang w:eastAsia="zh-CN"/>
        </w:rPr>
        <w:t>广东中采招标有限公司</w:t>
      </w:r>
      <w:r>
        <w:rPr>
          <w:rFonts w:hint="eastAsia" w:ascii="宋体" w:hAnsi="宋体" w:cs="宋体"/>
          <w:bCs/>
          <w:color w:val="auto"/>
          <w:szCs w:val="21"/>
          <w:lang w:val="en-GB"/>
        </w:rPr>
        <w:t>：</w:t>
      </w:r>
    </w:p>
    <w:p>
      <w:pPr>
        <w:pStyle w:val="46"/>
        <w:widowControl/>
        <w:kinsoku w:val="0"/>
        <w:autoSpaceDE w:val="0"/>
        <w:autoSpaceDN w:val="0"/>
        <w:adjustRightInd w:val="0"/>
        <w:snapToGrid w:val="0"/>
        <w:spacing w:line="440" w:lineRule="exact"/>
        <w:textAlignment w:val="baseline"/>
        <w:rPr>
          <w:rFonts w:hint="eastAsia" w:ascii="宋体" w:hAnsi="宋体" w:cs="宋体"/>
          <w:color w:val="auto"/>
          <w:szCs w:val="21"/>
        </w:rPr>
      </w:pPr>
    </w:p>
    <w:p>
      <w:pPr>
        <w:pStyle w:val="23"/>
        <w:spacing w:line="440" w:lineRule="exact"/>
        <w:ind w:firstLine="480"/>
        <w:rPr>
          <w:rFonts w:hint="eastAsia" w:ascii="宋体" w:hAnsi="宋体" w:cs="宋体"/>
          <w:color w:val="auto"/>
          <w:szCs w:val="21"/>
        </w:rPr>
      </w:pPr>
      <w:r>
        <w:rPr>
          <w:rFonts w:hint="eastAsia" w:ascii="宋体" w:hAnsi="宋体" w:cs="宋体"/>
          <w:color w:val="auto"/>
          <w:szCs w:val="21"/>
          <w:lang w:val="en-GB"/>
        </w:rPr>
        <w:t>姓名：</w:t>
      </w:r>
      <w:r>
        <w:rPr>
          <w:rFonts w:hint="eastAsia" w:ascii="宋体" w:hAnsi="宋体" w:cs="宋体"/>
          <w:color w:val="auto"/>
          <w:szCs w:val="21"/>
        </w:rPr>
        <w:t xml:space="preserve">    </w:t>
      </w:r>
      <w:r>
        <w:rPr>
          <w:rFonts w:hint="eastAsia" w:ascii="宋体" w:hAnsi="宋体" w:cs="宋体"/>
          <w:color w:val="auto"/>
          <w:szCs w:val="21"/>
          <w:lang w:val="en-GB"/>
        </w:rPr>
        <w:t>性别：</w:t>
      </w:r>
      <w:r>
        <w:rPr>
          <w:rFonts w:hint="eastAsia" w:ascii="宋体" w:hAnsi="宋体" w:cs="宋体"/>
          <w:color w:val="auto"/>
          <w:szCs w:val="21"/>
        </w:rPr>
        <w:t xml:space="preserve">    </w:t>
      </w:r>
      <w:r>
        <w:rPr>
          <w:rFonts w:hint="eastAsia" w:ascii="宋体" w:hAnsi="宋体" w:cs="宋体"/>
          <w:color w:val="auto"/>
          <w:szCs w:val="21"/>
          <w:lang w:val="en-GB"/>
        </w:rPr>
        <w:t>年龄：</w:t>
      </w:r>
      <w:r>
        <w:rPr>
          <w:rFonts w:hint="eastAsia" w:ascii="宋体" w:hAnsi="宋体" w:cs="宋体"/>
          <w:color w:val="auto"/>
          <w:szCs w:val="21"/>
        </w:rPr>
        <w:t xml:space="preserve">    </w:t>
      </w:r>
      <w:r>
        <w:rPr>
          <w:rFonts w:hint="eastAsia" w:ascii="宋体" w:hAnsi="宋体" w:cs="宋体"/>
          <w:color w:val="auto"/>
          <w:szCs w:val="21"/>
          <w:lang w:val="en-GB"/>
        </w:rPr>
        <w:t>职务：</w:t>
      </w:r>
      <w:r>
        <w:rPr>
          <w:rFonts w:hint="eastAsia" w:ascii="宋体" w:hAnsi="宋体" w:cs="宋体"/>
          <w:color w:val="auto"/>
          <w:szCs w:val="21"/>
        </w:rPr>
        <w:t xml:space="preserve">    </w:t>
      </w:r>
      <w:r>
        <w:rPr>
          <w:rFonts w:hint="eastAsia" w:ascii="宋体" w:hAnsi="宋体" w:cs="宋体"/>
          <w:color w:val="auto"/>
          <w:szCs w:val="21"/>
          <w:lang w:val="en-GB"/>
        </w:rPr>
        <w:t>身份证号码：</w:t>
      </w:r>
      <w:r>
        <w:rPr>
          <w:rFonts w:hint="eastAsia" w:ascii="宋体" w:hAnsi="宋体" w:cs="宋体"/>
          <w:color w:val="auto"/>
          <w:szCs w:val="21"/>
        </w:rPr>
        <w:t xml:space="preserve">       </w:t>
      </w:r>
    </w:p>
    <w:p>
      <w:pPr>
        <w:pStyle w:val="23"/>
        <w:spacing w:line="440" w:lineRule="exact"/>
        <w:ind w:firstLine="480"/>
        <w:rPr>
          <w:rFonts w:hint="eastAsia" w:ascii="宋体" w:hAnsi="宋体" w:cs="宋体"/>
          <w:color w:val="auto"/>
          <w:szCs w:val="21"/>
          <w:lang w:val="en-GB"/>
        </w:rPr>
      </w:pPr>
      <w:r>
        <w:rPr>
          <w:rFonts w:hint="eastAsia" w:ascii="宋体" w:hAnsi="宋体" w:cs="宋体"/>
          <w:color w:val="auto"/>
          <w:szCs w:val="21"/>
          <w:lang w:val="en-GB"/>
        </w:rPr>
        <w:t>系（投标人名称）的法定代表人/负责人。为参加</w:t>
      </w:r>
      <w:r>
        <w:rPr>
          <w:rFonts w:hint="eastAsia" w:ascii="宋体" w:hAnsi="宋体" w:cs="宋体"/>
          <w:color w:val="auto"/>
          <w:szCs w:val="21"/>
          <w:u w:val="single"/>
        </w:rPr>
        <w:t xml:space="preserve"> </w:t>
      </w:r>
      <w:r>
        <w:rPr>
          <w:rFonts w:hint="eastAsia" w:ascii="宋体" w:hAnsi="宋体" w:cs="宋体"/>
          <w:color w:val="auto"/>
          <w:szCs w:val="21"/>
          <w:u w:val="single"/>
          <w:lang w:val="en-GB" w:eastAsia="zh-CN"/>
        </w:rPr>
        <w:t>三水文化中心物业管理服务项目</w:t>
      </w:r>
      <w:r>
        <w:rPr>
          <w:rFonts w:hint="eastAsia" w:ascii="宋体" w:hAnsi="宋体" w:cs="宋体"/>
          <w:color w:val="auto"/>
          <w:szCs w:val="21"/>
          <w:u w:val="single"/>
          <w:lang w:val="en-GB"/>
        </w:rPr>
        <w:t>（</w:t>
      </w:r>
      <w:r>
        <w:rPr>
          <w:rFonts w:hint="eastAsia" w:ascii="宋体" w:hAnsi="宋体" w:cs="宋体"/>
          <w:color w:val="auto"/>
          <w:szCs w:val="21"/>
          <w:u w:val="single"/>
          <w:lang w:val="en-GB" w:eastAsia="zh-CN"/>
        </w:rPr>
        <w:t>项目编号</w:t>
      </w:r>
      <w:r>
        <w:rPr>
          <w:rFonts w:hint="eastAsia" w:ascii="宋体" w:hAnsi="宋体" w:cs="宋体"/>
          <w:color w:val="auto"/>
          <w:szCs w:val="21"/>
          <w:u w:val="single"/>
          <w:lang w:val="en-GB"/>
        </w:rPr>
        <w:t>：</w:t>
      </w:r>
      <w:r>
        <w:rPr>
          <w:rFonts w:hint="eastAsia" w:ascii="宋体" w:hAnsi="宋体" w:cs="宋体"/>
          <w:color w:val="auto"/>
          <w:szCs w:val="21"/>
          <w:u w:val="single"/>
          <w:lang w:val="en-GB" w:eastAsia="zh-CN"/>
        </w:rPr>
        <w:t>GDZC-26GZ092</w:t>
      </w:r>
      <w:r>
        <w:rPr>
          <w:rFonts w:hint="eastAsia" w:ascii="宋体" w:hAnsi="宋体" w:cs="宋体"/>
          <w:color w:val="auto"/>
          <w:szCs w:val="21"/>
          <w:u w:val="single"/>
          <w:lang w:val="en-GB"/>
        </w:rPr>
        <w:t>）</w:t>
      </w:r>
      <w:r>
        <w:rPr>
          <w:rFonts w:hint="eastAsia" w:ascii="宋体" w:hAnsi="宋体" w:cs="宋体"/>
          <w:color w:val="auto"/>
          <w:szCs w:val="21"/>
          <w:lang w:val="en-GB"/>
        </w:rPr>
        <w:t>的投标，签署投标文件、进行合同洽谈、签署合同和处理与之有关的一切事务。</w:t>
      </w:r>
    </w:p>
    <w:p>
      <w:pPr>
        <w:pStyle w:val="23"/>
        <w:spacing w:line="440" w:lineRule="exact"/>
        <w:ind w:firstLine="480"/>
        <w:rPr>
          <w:rFonts w:hint="eastAsia" w:ascii="宋体" w:hAnsi="宋体" w:cs="宋体"/>
          <w:color w:val="auto"/>
          <w:szCs w:val="21"/>
          <w:lang w:val="en-GB"/>
        </w:rPr>
      </w:pPr>
      <w:r>
        <w:rPr>
          <w:rFonts w:hint="eastAsia" w:ascii="宋体" w:hAnsi="宋体" w:cs="宋体"/>
          <w:color w:val="auto"/>
          <w:szCs w:val="21"/>
          <w:lang w:val="en-GB"/>
        </w:rPr>
        <w:t>特此证明。</w:t>
      </w:r>
    </w:p>
    <w:p>
      <w:pPr>
        <w:pStyle w:val="46"/>
        <w:widowControl/>
        <w:kinsoku w:val="0"/>
        <w:autoSpaceDE w:val="0"/>
        <w:autoSpaceDN w:val="0"/>
        <w:adjustRightInd w:val="0"/>
        <w:snapToGrid w:val="0"/>
        <w:spacing w:line="440" w:lineRule="exact"/>
        <w:textAlignment w:val="baseline"/>
        <w:rPr>
          <w:rFonts w:hint="eastAsia" w:ascii="宋体" w:hAnsi="宋体" w:cs="宋体"/>
          <w:color w:val="auto"/>
          <w:szCs w:val="21"/>
        </w:rPr>
      </w:pPr>
      <w:r>
        <w:rPr>
          <w:rFonts w:hint="eastAsia" w:ascii="宋体" w:hAnsi="宋体" w:cs="宋体"/>
          <w:color w:val="auto"/>
          <w:szCs w:val="21"/>
          <w:lang w:val="en-GB"/>
        </w:rPr>
        <w:t>附件：投标人法定代表人/负责人身份证。</w:t>
      </w:r>
    </w:p>
    <w:p>
      <w:pPr>
        <w:pStyle w:val="46"/>
        <w:widowControl/>
        <w:kinsoku w:val="0"/>
        <w:autoSpaceDE w:val="0"/>
        <w:autoSpaceDN w:val="0"/>
        <w:adjustRightInd w:val="0"/>
        <w:snapToGrid w:val="0"/>
        <w:spacing w:line="440" w:lineRule="exact"/>
        <w:textAlignment w:val="baseline"/>
        <w:rPr>
          <w:rFonts w:hint="eastAsia" w:ascii="宋体" w:hAnsi="宋体" w:cs="宋体"/>
          <w:color w:val="auto"/>
          <w:szCs w:val="21"/>
        </w:rPr>
      </w:pPr>
    </w:p>
    <w:p>
      <w:pPr>
        <w:pStyle w:val="45"/>
        <w:spacing w:line="440" w:lineRule="exact"/>
        <w:rPr>
          <w:rFonts w:hint="eastAsia" w:ascii="宋体" w:hAnsi="宋体" w:cs="宋体"/>
          <w:color w:val="auto"/>
          <w:szCs w:val="21"/>
        </w:rPr>
      </w:pPr>
    </w:p>
    <w:p>
      <w:pPr>
        <w:pStyle w:val="39"/>
        <w:spacing w:line="480" w:lineRule="auto"/>
        <w:rPr>
          <w:rFonts w:ascii="Calibri" w:hAnsi="Calibri"/>
          <w:b/>
          <w:color w:val="auto"/>
          <w:sz w:val="21"/>
          <w:szCs w:val="21"/>
          <w:lang w:val="en-GB"/>
        </w:rPr>
      </w:pPr>
      <w:r>
        <w:rPr>
          <w:rFonts w:hint="eastAsia" w:ascii="Calibri" w:hAnsi="Calibri"/>
          <w:b/>
          <w:color w:val="auto"/>
          <w:sz w:val="21"/>
          <w:szCs w:val="21"/>
          <w:lang w:val="en-GB"/>
        </w:rPr>
        <w:t>投标人名称：</w:t>
      </w:r>
      <w:r>
        <w:rPr>
          <w:rFonts w:ascii="Calibri" w:hAnsi="Calibri"/>
          <w:b/>
          <w:color w:val="auto"/>
          <w:sz w:val="21"/>
          <w:szCs w:val="21"/>
          <w:u w:val="single"/>
          <w:lang w:val="en-GB"/>
        </w:rPr>
        <w:t xml:space="preserve">      </w:t>
      </w:r>
      <w:r>
        <w:rPr>
          <w:rFonts w:hint="eastAsia" w:ascii="Calibri" w:hAnsi="Calibri"/>
          <w:b/>
          <w:color w:val="auto"/>
          <w:sz w:val="21"/>
          <w:szCs w:val="21"/>
          <w:u w:val="single"/>
          <w:lang w:val="en-GB"/>
        </w:rPr>
        <w:t>（全称）</w:t>
      </w:r>
      <w:r>
        <w:rPr>
          <w:rFonts w:ascii="Calibri" w:hAnsi="Calibri"/>
          <w:b/>
          <w:color w:val="auto"/>
          <w:sz w:val="21"/>
          <w:szCs w:val="21"/>
          <w:u w:val="single"/>
          <w:lang w:val="en-GB"/>
        </w:rPr>
        <w:t xml:space="preserve">             </w:t>
      </w:r>
      <w:r>
        <w:rPr>
          <w:rFonts w:ascii="Calibri" w:hAnsi="Calibri"/>
          <w:b/>
          <w:color w:val="auto"/>
          <w:sz w:val="21"/>
          <w:szCs w:val="21"/>
          <w:lang w:val="en-GB"/>
        </w:rPr>
        <w:t xml:space="preserve"> </w:t>
      </w:r>
      <w:r>
        <w:rPr>
          <w:rFonts w:hint="eastAsia" w:ascii="Calibri" w:hAnsi="Calibri"/>
          <w:b/>
          <w:color w:val="auto"/>
          <w:sz w:val="21"/>
          <w:szCs w:val="21"/>
          <w:lang w:val="en-GB"/>
        </w:rPr>
        <w:t>（单位公章）</w:t>
      </w:r>
    </w:p>
    <w:p>
      <w:pPr>
        <w:pStyle w:val="39"/>
        <w:spacing w:line="360" w:lineRule="auto"/>
        <w:rPr>
          <w:rFonts w:ascii="Calibri" w:hAnsi="Calibri"/>
          <w:b/>
          <w:color w:val="auto"/>
          <w:sz w:val="21"/>
          <w:szCs w:val="21"/>
        </w:rPr>
      </w:pPr>
      <w:r>
        <w:rPr>
          <w:rFonts w:hint="eastAsia" w:ascii="Calibri" w:hAnsi="Calibri"/>
          <w:b/>
          <w:color w:val="auto"/>
          <w:sz w:val="21"/>
          <w:szCs w:val="21"/>
        </w:rPr>
        <w:t>日期：</w:t>
      </w:r>
      <w:r>
        <w:rPr>
          <w:rFonts w:ascii="Calibri" w:hAnsi="Calibri"/>
          <w:b/>
          <w:color w:val="auto"/>
          <w:sz w:val="21"/>
          <w:szCs w:val="21"/>
        </w:rPr>
        <w:t xml:space="preserve">    </w:t>
      </w:r>
      <w:r>
        <w:rPr>
          <w:rFonts w:hint="eastAsia" w:ascii="Calibri" w:hAnsi="Calibri"/>
          <w:b/>
          <w:color w:val="auto"/>
          <w:sz w:val="21"/>
          <w:szCs w:val="21"/>
        </w:rPr>
        <w:t>年</w:t>
      </w:r>
      <w:r>
        <w:rPr>
          <w:rFonts w:ascii="Calibri" w:hAnsi="Calibri"/>
          <w:b/>
          <w:color w:val="auto"/>
          <w:sz w:val="21"/>
          <w:szCs w:val="21"/>
        </w:rPr>
        <w:t xml:space="preserve">    </w:t>
      </w:r>
      <w:r>
        <w:rPr>
          <w:rFonts w:hint="eastAsia" w:ascii="Calibri" w:hAnsi="Calibri"/>
          <w:b/>
          <w:color w:val="auto"/>
          <w:sz w:val="21"/>
          <w:szCs w:val="21"/>
        </w:rPr>
        <w:t>月</w:t>
      </w:r>
      <w:r>
        <w:rPr>
          <w:rFonts w:ascii="Calibri" w:hAnsi="Calibri"/>
          <w:b/>
          <w:color w:val="auto"/>
          <w:sz w:val="21"/>
          <w:szCs w:val="21"/>
        </w:rPr>
        <w:t xml:space="preserve">    </w:t>
      </w:r>
      <w:r>
        <w:rPr>
          <w:rFonts w:hint="eastAsia" w:ascii="Calibri" w:hAnsi="Calibri"/>
          <w:b/>
          <w:color w:val="auto"/>
          <w:sz w:val="21"/>
          <w:szCs w:val="21"/>
        </w:rPr>
        <w:t>日</w:t>
      </w:r>
    </w:p>
    <w:p>
      <w:pPr>
        <w:pStyle w:val="45"/>
        <w:spacing w:line="440" w:lineRule="exact"/>
        <w:rPr>
          <w:rFonts w:hint="eastAsia" w:ascii="宋体" w:hAnsi="宋体" w:cs="宋体"/>
          <w:color w:val="auto"/>
          <w:szCs w:val="21"/>
        </w:rPr>
      </w:pPr>
    </w:p>
    <w:p>
      <w:pPr>
        <w:pStyle w:val="45"/>
        <w:rPr>
          <w:color w:val="auto"/>
          <w:sz w:val="24"/>
          <w:szCs w:val="24"/>
        </w:rPr>
      </w:pPr>
    </w:p>
    <w:p>
      <w:pPr>
        <w:pStyle w:val="45"/>
        <w:rPr>
          <w:color w:val="auto"/>
          <w:sz w:val="24"/>
          <w:szCs w:val="24"/>
        </w:rPr>
      </w:pPr>
    </w:p>
    <w:p>
      <w:pPr>
        <w:pStyle w:val="45"/>
        <w:rPr>
          <w:color w:val="auto"/>
          <w:sz w:val="24"/>
          <w:szCs w:val="24"/>
        </w:rPr>
      </w:pPr>
    </w:p>
    <w:p>
      <w:pPr>
        <w:pStyle w:val="47"/>
        <w:keepNext/>
        <w:keepLines/>
        <w:pageBreakBefore/>
        <w:spacing w:line="360" w:lineRule="auto"/>
        <w:jc w:val="left"/>
        <w:rPr>
          <w:rFonts w:ascii="黑体" w:eastAsia="黑体"/>
          <w:color w:val="auto"/>
          <w:szCs w:val="24"/>
          <w:lang w:val="en-GB"/>
        </w:rPr>
      </w:pPr>
      <w:r>
        <w:rPr>
          <w:rFonts w:hint="eastAsia" w:ascii="黑体" w:eastAsia="黑体"/>
          <w:color w:val="auto"/>
          <w:lang w:val="en-GB"/>
        </w:rPr>
        <w:t>附件：投标人法定代表人/负责人身份证</w:t>
      </w:r>
    </w:p>
    <w:p>
      <w:pPr>
        <w:pStyle w:val="47"/>
        <w:spacing w:line="360" w:lineRule="auto"/>
        <w:jc w:val="left"/>
        <w:rPr>
          <w:rFonts w:hint="eastAsia" w:ascii="Times New Roman"/>
          <w:color w:val="auto"/>
          <w:szCs w:val="21"/>
          <w:lang w:val="en-GB"/>
        </w:rPr>
      </w:pPr>
    </w:p>
    <w:p>
      <w:pPr>
        <w:pStyle w:val="47"/>
        <w:spacing w:line="360" w:lineRule="auto"/>
        <w:jc w:val="center"/>
        <w:rPr>
          <w:b/>
          <w:color w:val="auto"/>
          <w:sz w:val="36"/>
          <w:szCs w:val="24"/>
        </w:rPr>
      </w:pPr>
      <w:r>
        <w:rPr>
          <w:rFonts w:hint="eastAsia"/>
          <w:b/>
          <w:color w:val="auto"/>
          <w:sz w:val="36"/>
        </w:rPr>
        <w:t>投标人法定代表人/负责人身份证</w:t>
      </w:r>
    </w:p>
    <w:tbl>
      <w:tblPr>
        <w:tblStyle w:val="13"/>
        <w:tblW w:w="9260" w:type="dxa"/>
        <w:jc w:val="center"/>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260"/>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40" w:hRule="atLeast"/>
          <w:jc w:val="center"/>
        </w:trPr>
        <w:tc>
          <w:tcPr>
            <w:tcW w:w="9260" w:type="dxa"/>
            <w:noWrap w:val="0"/>
            <w:vAlign w:val="top"/>
          </w:tcPr>
          <w:p>
            <w:pPr>
              <w:pStyle w:val="47"/>
              <w:spacing w:line="360" w:lineRule="auto"/>
              <w:rPr>
                <w:color w:val="auto"/>
              </w:rPr>
            </w:pPr>
          </w:p>
          <w:tbl>
            <w:tblPr>
              <w:tblStyle w:val="13"/>
              <w:tblW w:w="0" w:type="auto"/>
              <w:tblInd w:w="431"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shd w:val="clear" w:color="auto" w:fill="F3F3F3"/>
              <w:tblLayout w:type="fixed"/>
              <w:tblCellMar>
                <w:top w:w="0" w:type="dxa"/>
                <w:left w:w="108" w:type="dxa"/>
                <w:bottom w:w="0" w:type="dxa"/>
                <w:right w:w="108" w:type="dxa"/>
              </w:tblCellMar>
            </w:tblPr>
            <w:tblGrid>
              <w:gridCol w:w="815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shd w:val="clear" w:color="auto" w:fill="F3F3F3"/>
                <w:tblCellMar>
                  <w:top w:w="0" w:type="dxa"/>
                  <w:left w:w="108" w:type="dxa"/>
                  <w:bottom w:w="0" w:type="dxa"/>
                  <w:right w:w="108" w:type="dxa"/>
                </w:tblCellMar>
              </w:tblPrEx>
              <w:trPr>
                <w:trHeight w:val="3313" w:hRule="atLeast"/>
              </w:trPr>
              <w:tc>
                <w:tcPr>
                  <w:tcW w:w="8153" w:type="dxa"/>
                  <w:tcBorders>
                    <w:top w:val="dotted" w:color="auto" w:sz="4" w:space="0"/>
                    <w:left w:val="dotted" w:color="auto" w:sz="4" w:space="0"/>
                    <w:bottom w:val="dotted" w:color="auto" w:sz="4" w:space="0"/>
                    <w:right w:val="dotted" w:color="auto" w:sz="4" w:space="0"/>
                  </w:tcBorders>
                  <w:shd w:val="clear" w:color="auto" w:fill="F3F3F3"/>
                  <w:noWrap w:val="0"/>
                  <w:vAlign w:val="top"/>
                </w:tcPr>
                <w:p>
                  <w:pPr>
                    <w:pStyle w:val="47"/>
                    <w:spacing w:line="360" w:lineRule="auto"/>
                    <w:rPr>
                      <w:color w:val="auto"/>
                    </w:rPr>
                  </w:pPr>
                </w:p>
                <w:p>
                  <w:pPr>
                    <w:pStyle w:val="47"/>
                    <w:spacing w:line="360" w:lineRule="auto"/>
                    <w:rPr>
                      <w:rFonts w:ascii="Times New Roman" w:hAnsi="Times New Roman"/>
                      <w:color w:val="auto"/>
                      <w:sz w:val="24"/>
                      <w:szCs w:val="24"/>
                    </w:rPr>
                  </w:pPr>
                </w:p>
                <w:p>
                  <w:pPr>
                    <w:pStyle w:val="47"/>
                    <w:spacing w:line="360" w:lineRule="auto"/>
                    <w:rPr>
                      <w:color w:val="auto"/>
                    </w:rPr>
                  </w:pPr>
                </w:p>
                <w:p>
                  <w:pPr>
                    <w:pStyle w:val="47"/>
                    <w:spacing w:line="360" w:lineRule="auto"/>
                    <w:jc w:val="center"/>
                    <w:rPr>
                      <w:color w:val="auto"/>
                      <w:sz w:val="24"/>
                      <w:szCs w:val="24"/>
                    </w:rPr>
                  </w:pPr>
                </w:p>
                <w:p>
                  <w:pPr>
                    <w:pStyle w:val="47"/>
                    <w:spacing w:line="360" w:lineRule="auto"/>
                    <w:jc w:val="center"/>
                    <w:rPr>
                      <w:color w:val="auto"/>
                    </w:rPr>
                  </w:pPr>
                </w:p>
                <w:p>
                  <w:pPr>
                    <w:pStyle w:val="47"/>
                    <w:spacing w:line="360" w:lineRule="auto"/>
                    <w:jc w:val="center"/>
                    <w:rPr>
                      <w:color w:val="auto"/>
                    </w:rPr>
                  </w:pPr>
                </w:p>
                <w:p>
                  <w:pPr>
                    <w:pStyle w:val="47"/>
                    <w:spacing w:line="360" w:lineRule="auto"/>
                    <w:jc w:val="center"/>
                    <w:rPr>
                      <w:color w:val="auto"/>
                    </w:rPr>
                  </w:pPr>
                  <w:r>
                    <w:rPr>
                      <w:rFonts w:hint="eastAsia"/>
                      <w:color w:val="auto"/>
                    </w:rPr>
                    <w:t>法定代表人/负责人身份证（人像页）</w:t>
                  </w:r>
                </w:p>
                <w:p>
                  <w:pPr>
                    <w:pStyle w:val="47"/>
                    <w:spacing w:line="360" w:lineRule="auto"/>
                    <w:rPr>
                      <w:color w:val="auto"/>
                    </w:rPr>
                  </w:pPr>
                </w:p>
              </w:tc>
            </w:tr>
          </w:tbl>
          <w:p>
            <w:pPr>
              <w:pStyle w:val="47"/>
              <w:spacing w:line="360" w:lineRule="auto"/>
              <w:rPr>
                <w:color w:val="auto"/>
              </w:rPr>
            </w:pPr>
          </w:p>
          <w:p>
            <w:pPr>
              <w:pStyle w:val="47"/>
              <w:spacing w:line="360" w:lineRule="auto"/>
              <w:rPr>
                <w:rFonts w:ascii="Times New Roman" w:hAnsi="Times New Roman"/>
                <w:color w:val="auto"/>
                <w:sz w:val="24"/>
                <w:szCs w:val="24"/>
                <w:u w:val="single"/>
              </w:rPr>
            </w:pPr>
            <w:r>
              <w:rPr>
                <w:rFonts w:hint="eastAsia" w:ascii="宋体" w:hAnsi="宋体"/>
                <w:color w:val="auto"/>
              </w:rPr>
              <w:t xml:space="preserve">  </w:t>
            </w:r>
          </w:p>
          <w:tbl>
            <w:tblPr>
              <w:tblStyle w:val="13"/>
              <w:tblW w:w="0" w:type="auto"/>
              <w:tblInd w:w="431"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shd w:val="clear" w:color="auto" w:fill="F3F3F3"/>
              <w:tblLayout w:type="fixed"/>
              <w:tblCellMar>
                <w:top w:w="0" w:type="dxa"/>
                <w:left w:w="108" w:type="dxa"/>
                <w:bottom w:w="0" w:type="dxa"/>
                <w:right w:w="108" w:type="dxa"/>
              </w:tblCellMar>
            </w:tblPr>
            <w:tblGrid>
              <w:gridCol w:w="815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shd w:val="clear" w:color="auto" w:fill="F3F3F3"/>
              </w:tblPrEx>
              <w:trPr>
                <w:trHeight w:val="2676" w:hRule="atLeast"/>
              </w:trPr>
              <w:tc>
                <w:tcPr>
                  <w:tcW w:w="8153" w:type="dxa"/>
                  <w:tcBorders>
                    <w:top w:val="dotted" w:color="auto" w:sz="4" w:space="0"/>
                    <w:left w:val="dotted" w:color="auto" w:sz="4" w:space="0"/>
                    <w:bottom w:val="dotted" w:color="auto" w:sz="4" w:space="0"/>
                    <w:right w:val="dotted" w:color="auto" w:sz="4" w:space="0"/>
                  </w:tcBorders>
                  <w:shd w:val="clear" w:color="auto" w:fill="F3F3F3"/>
                  <w:noWrap w:val="0"/>
                  <w:vAlign w:val="top"/>
                </w:tcPr>
                <w:p>
                  <w:pPr>
                    <w:pStyle w:val="47"/>
                    <w:spacing w:line="360" w:lineRule="auto"/>
                    <w:rPr>
                      <w:color w:val="auto"/>
                    </w:rPr>
                  </w:pPr>
                </w:p>
                <w:p>
                  <w:pPr>
                    <w:pStyle w:val="47"/>
                    <w:spacing w:line="360" w:lineRule="auto"/>
                    <w:rPr>
                      <w:rFonts w:ascii="Times New Roman" w:hAnsi="Times New Roman"/>
                      <w:color w:val="auto"/>
                      <w:sz w:val="24"/>
                      <w:szCs w:val="24"/>
                    </w:rPr>
                  </w:pPr>
                </w:p>
                <w:p>
                  <w:pPr>
                    <w:pStyle w:val="47"/>
                    <w:spacing w:line="360" w:lineRule="auto"/>
                    <w:rPr>
                      <w:color w:val="auto"/>
                    </w:rPr>
                  </w:pPr>
                </w:p>
                <w:p>
                  <w:pPr>
                    <w:pStyle w:val="47"/>
                    <w:spacing w:line="360" w:lineRule="auto"/>
                    <w:jc w:val="center"/>
                    <w:rPr>
                      <w:color w:val="auto"/>
                      <w:sz w:val="24"/>
                      <w:szCs w:val="24"/>
                    </w:rPr>
                  </w:pPr>
                </w:p>
                <w:p>
                  <w:pPr>
                    <w:pStyle w:val="47"/>
                    <w:spacing w:line="360" w:lineRule="auto"/>
                    <w:jc w:val="center"/>
                    <w:rPr>
                      <w:color w:val="auto"/>
                    </w:rPr>
                  </w:pPr>
                </w:p>
                <w:p>
                  <w:pPr>
                    <w:pStyle w:val="47"/>
                    <w:spacing w:line="360" w:lineRule="auto"/>
                    <w:jc w:val="center"/>
                    <w:rPr>
                      <w:color w:val="auto"/>
                    </w:rPr>
                  </w:pPr>
                </w:p>
                <w:p>
                  <w:pPr>
                    <w:pStyle w:val="47"/>
                    <w:spacing w:line="360" w:lineRule="auto"/>
                    <w:jc w:val="center"/>
                    <w:rPr>
                      <w:color w:val="auto"/>
                    </w:rPr>
                  </w:pPr>
                </w:p>
                <w:p>
                  <w:pPr>
                    <w:pStyle w:val="47"/>
                    <w:spacing w:line="360" w:lineRule="auto"/>
                    <w:jc w:val="center"/>
                    <w:rPr>
                      <w:color w:val="auto"/>
                    </w:rPr>
                  </w:pPr>
                  <w:r>
                    <w:rPr>
                      <w:rFonts w:hint="eastAsia"/>
                      <w:color w:val="auto"/>
                    </w:rPr>
                    <w:t>法定代表人/负责人身份证（国徽页）</w:t>
                  </w:r>
                </w:p>
                <w:p>
                  <w:pPr>
                    <w:pStyle w:val="47"/>
                    <w:spacing w:line="360" w:lineRule="auto"/>
                    <w:rPr>
                      <w:color w:val="auto"/>
                    </w:rPr>
                  </w:pPr>
                </w:p>
                <w:p>
                  <w:pPr>
                    <w:pStyle w:val="47"/>
                    <w:spacing w:line="360" w:lineRule="auto"/>
                    <w:rPr>
                      <w:color w:val="auto"/>
                    </w:rPr>
                  </w:pPr>
                </w:p>
              </w:tc>
            </w:tr>
          </w:tbl>
          <w:p>
            <w:pPr>
              <w:pStyle w:val="47"/>
              <w:spacing w:line="360" w:lineRule="auto"/>
              <w:rPr>
                <w:color w:val="auto"/>
              </w:rPr>
            </w:pPr>
          </w:p>
          <w:p>
            <w:pPr>
              <w:pStyle w:val="47"/>
              <w:spacing w:line="360" w:lineRule="auto"/>
              <w:rPr>
                <w:rFonts w:ascii="Times New Roman" w:hAnsi="Times New Roman"/>
                <w:color w:val="auto"/>
                <w:sz w:val="24"/>
                <w:szCs w:val="24"/>
              </w:rPr>
            </w:pPr>
            <w:r>
              <w:rPr>
                <w:rFonts w:hint="eastAsia"/>
                <w:color w:val="auto"/>
              </w:rPr>
              <w:t>注：</w:t>
            </w:r>
          </w:p>
          <w:p>
            <w:pPr>
              <w:pStyle w:val="47"/>
              <w:spacing w:line="360" w:lineRule="auto"/>
              <w:rPr>
                <w:color w:val="auto"/>
              </w:rPr>
            </w:pPr>
            <w:r>
              <w:rPr>
                <w:rFonts w:hint="eastAsia"/>
                <w:color w:val="auto"/>
              </w:rPr>
              <w:t>注：本证明书投标人必须提供。此处所述“法定代表人/负责人”，须与投标人的“营业执照” 或“事业单位法人证书”上的内容一致。</w:t>
            </w:r>
          </w:p>
        </w:tc>
      </w:tr>
    </w:tbl>
    <w:p>
      <w:pPr>
        <w:pStyle w:val="45"/>
        <w:rPr>
          <w:color w:val="auto"/>
          <w:sz w:val="24"/>
          <w:szCs w:val="24"/>
        </w:rPr>
      </w:pPr>
    </w:p>
    <w:p>
      <w:pPr>
        <w:pStyle w:val="45"/>
        <w:rPr>
          <w:color w:val="auto"/>
          <w:sz w:val="24"/>
          <w:szCs w:val="24"/>
        </w:rPr>
      </w:pPr>
    </w:p>
    <w:p>
      <w:pPr>
        <w:pStyle w:val="45"/>
        <w:rPr>
          <w:color w:val="auto"/>
          <w:sz w:val="24"/>
          <w:szCs w:val="24"/>
        </w:rPr>
      </w:pPr>
    </w:p>
    <w:p>
      <w:pPr>
        <w:pStyle w:val="45"/>
        <w:rPr>
          <w:color w:val="auto"/>
          <w:sz w:val="24"/>
          <w:szCs w:val="24"/>
        </w:rPr>
      </w:pPr>
    </w:p>
    <w:p>
      <w:pPr>
        <w:pStyle w:val="45"/>
        <w:jc w:val="center"/>
        <w:rPr>
          <w:b/>
          <w:color w:val="auto"/>
          <w:sz w:val="32"/>
          <w:szCs w:val="32"/>
        </w:rPr>
      </w:pPr>
      <w:r>
        <w:rPr>
          <w:rFonts w:hint="eastAsia"/>
          <w:b/>
          <w:color w:val="auto"/>
          <w:sz w:val="32"/>
          <w:szCs w:val="32"/>
        </w:rPr>
        <w:t>投标授权书（如有）</w:t>
      </w:r>
    </w:p>
    <w:p>
      <w:pPr>
        <w:pStyle w:val="23"/>
        <w:spacing w:line="360" w:lineRule="auto"/>
        <w:jc w:val="center"/>
        <w:rPr>
          <w:rFonts w:ascii="黑体" w:hAnsi="黑体" w:eastAsia="黑体" w:cs="黑体"/>
          <w:b/>
          <w:color w:val="auto"/>
          <w:kern w:val="0"/>
          <w:sz w:val="32"/>
        </w:rPr>
      </w:pPr>
    </w:p>
    <w:p>
      <w:pPr>
        <w:pStyle w:val="45"/>
        <w:spacing w:line="440" w:lineRule="exact"/>
        <w:rPr>
          <w:rFonts w:hint="eastAsia" w:ascii="宋体" w:hAnsi="宋体" w:cs="宋体"/>
          <w:color w:val="auto"/>
          <w:szCs w:val="21"/>
        </w:rPr>
      </w:pPr>
      <w:r>
        <w:rPr>
          <w:rFonts w:hint="eastAsia" w:ascii="宋体" w:hAnsi="宋体" w:cs="宋体"/>
          <w:bCs/>
          <w:color w:val="auto"/>
          <w:szCs w:val="21"/>
          <w:lang w:val="en-GB"/>
        </w:rPr>
        <w:t>致</w:t>
      </w:r>
      <w:r>
        <w:rPr>
          <w:rFonts w:hint="eastAsia" w:ascii="宋体" w:hAnsi="宋体" w:cs="宋体"/>
          <w:color w:val="auto"/>
          <w:szCs w:val="21"/>
          <w:lang w:eastAsia="zh-CN"/>
        </w:rPr>
        <w:t>广东中采招标有限公司</w:t>
      </w:r>
      <w:r>
        <w:rPr>
          <w:rFonts w:hint="eastAsia" w:ascii="宋体" w:hAnsi="宋体" w:cs="宋体"/>
          <w:bCs/>
          <w:color w:val="auto"/>
          <w:szCs w:val="21"/>
          <w:lang w:val="en-GB"/>
        </w:rPr>
        <w:t>：</w:t>
      </w:r>
    </w:p>
    <w:p>
      <w:pPr>
        <w:pStyle w:val="23"/>
        <w:spacing w:line="440" w:lineRule="exact"/>
        <w:ind w:firstLine="480"/>
        <w:rPr>
          <w:rFonts w:hint="eastAsia" w:ascii="宋体" w:hAnsi="宋体" w:cs="宋体"/>
          <w:color w:val="auto"/>
          <w:szCs w:val="21"/>
          <w:lang w:val="en-GB"/>
        </w:rPr>
      </w:pPr>
      <w:r>
        <w:rPr>
          <w:rFonts w:hint="eastAsia" w:ascii="宋体" w:hAnsi="宋体" w:cs="宋体"/>
          <w:color w:val="auto"/>
          <w:szCs w:val="21"/>
          <w:lang w:val="en-GB"/>
        </w:rPr>
        <w:t>我单位特授权委任：以下为本单位现职员工，作为我方唯一全权代表，亲自出席参与贵方承办的采购项目投标，对该代表人所提供、签署的一切文书均视为符合我方的合法利益和真实意愿，我方愿为其投标行为承担全部责任。</w:t>
      </w:r>
    </w:p>
    <w:p>
      <w:pPr>
        <w:pStyle w:val="23"/>
        <w:spacing w:line="440" w:lineRule="exact"/>
        <w:ind w:firstLine="480"/>
        <w:jc w:val="left"/>
        <w:rPr>
          <w:rFonts w:hint="eastAsia" w:ascii="宋体" w:hAnsi="宋体" w:cs="宋体"/>
          <w:color w:val="auto"/>
          <w:szCs w:val="21"/>
        </w:rPr>
      </w:pPr>
      <w:r>
        <w:rPr>
          <w:rFonts w:hint="eastAsia" w:ascii="宋体" w:hAnsi="宋体" w:cs="宋体"/>
          <w:color w:val="auto"/>
          <w:szCs w:val="21"/>
          <w:lang w:eastAsia="zh-CN"/>
        </w:rPr>
        <w:t>项目编号</w:t>
      </w:r>
      <w:r>
        <w:rPr>
          <w:rFonts w:hint="eastAsia" w:ascii="宋体" w:hAnsi="宋体" w:cs="宋体"/>
          <w:color w:val="auto"/>
          <w:szCs w:val="21"/>
        </w:rPr>
        <w:t>：</w:t>
      </w:r>
      <w:r>
        <w:rPr>
          <w:rFonts w:hint="eastAsia" w:ascii="宋体" w:hAnsi="宋体" w:cs="宋体"/>
          <w:color w:val="auto"/>
          <w:szCs w:val="21"/>
          <w:lang w:eastAsia="zh-CN"/>
        </w:rPr>
        <w:t>GDZC-26GZ092</w:t>
      </w:r>
      <w:r>
        <w:rPr>
          <w:rFonts w:hint="eastAsia" w:ascii="宋体" w:hAnsi="宋体" w:cs="宋体"/>
          <w:color w:val="auto"/>
          <w:szCs w:val="21"/>
        </w:rPr>
        <w:fldChar w:fldCharType="begin"/>
      </w:r>
      <w:r>
        <w:rPr>
          <w:rFonts w:hint="eastAsia" w:ascii="宋体" w:hAnsi="宋体" w:cs="宋体"/>
          <w:color w:val="auto"/>
          <w:szCs w:val="21"/>
        </w:rPr>
        <w:instrText xml:space="preserve"> DOCVARIABLE  采购编号  \* MERGEFORMAT </w:instrText>
      </w:r>
      <w:r>
        <w:rPr>
          <w:rFonts w:hint="eastAsia" w:ascii="宋体" w:hAnsi="宋体" w:cs="宋体"/>
          <w:color w:val="auto"/>
          <w:szCs w:val="21"/>
        </w:rPr>
        <w:fldChar w:fldCharType="end"/>
      </w:r>
    </w:p>
    <w:p>
      <w:pPr>
        <w:pStyle w:val="23"/>
        <w:spacing w:line="440" w:lineRule="exact"/>
        <w:ind w:firstLine="480"/>
        <w:jc w:val="left"/>
        <w:rPr>
          <w:rFonts w:hint="eastAsia" w:ascii="宋体" w:hAnsi="宋体" w:cs="宋体"/>
          <w:bCs/>
          <w:color w:val="auto"/>
          <w:szCs w:val="21"/>
          <w:lang w:eastAsia="zh-CN"/>
        </w:rPr>
      </w:pPr>
      <w:r>
        <w:rPr>
          <w:rFonts w:hint="eastAsia" w:ascii="宋体" w:hAnsi="宋体" w:cs="宋体"/>
          <w:color w:val="auto"/>
          <w:szCs w:val="21"/>
        </w:rPr>
        <w:t>项目名称：</w:t>
      </w:r>
      <w:r>
        <w:rPr>
          <w:rFonts w:hint="eastAsia" w:ascii="宋体" w:hAnsi="宋体" w:cs="宋体"/>
          <w:color w:val="auto"/>
          <w:szCs w:val="21"/>
          <w:lang w:eastAsia="zh-CN"/>
        </w:rPr>
        <w:t>三水文化中心物业管理服务项目</w:t>
      </w:r>
    </w:p>
    <w:p>
      <w:pPr>
        <w:pStyle w:val="48"/>
        <w:spacing w:line="440" w:lineRule="exact"/>
        <w:ind w:firstLine="480"/>
        <w:jc w:val="left"/>
        <w:rPr>
          <w:rFonts w:hint="eastAsia" w:ascii="宋体" w:hAnsi="宋体" w:cs="宋体"/>
          <w:color w:val="auto"/>
          <w:sz w:val="21"/>
          <w:szCs w:val="21"/>
        </w:rPr>
      </w:pPr>
      <w:r>
        <w:rPr>
          <w:rFonts w:hint="eastAsia" w:ascii="宋体" w:hAnsi="宋体" w:cs="宋体"/>
          <w:color w:val="auto"/>
          <w:sz w:val="21"/>
          <w:szCs w:val="21"/>
        </w:rPr>
        <w:t>委任授权代表姓名：</w:t>
      </w:r>
      <w:r>
        <w:rPr>
          <w:rFonts w:hint="eastAsia" w:ascii="宋体" w:hAnsi="宋体" w:cs="宋体"/>
          <w:color w:val="auto"/>
          <w:sz w:val="21"/>
          <w:szCs w:val="21"/>
          <w:u w:val="dotted"/>
        </w:rPr>
        <w:t xml:space="preserve">                </w:t>
      </w:r>
      <w:r>
        <w:rPr>
          <w:rFonts w:hint="eastAsia" w:ascii="宋体" w:hAnsi="宋体" w:cs="宋体"/>
          <w:color w:val="auto"/>
          <w:sz w:val="21"/>
          <w:szCs w:val="21"/>
        </w:rPr>
        <w:t>，身份证号码：</w:t>
      </w:r>
      <w:r>
        <w:rPr>
          <w:rFonts w:hint="eastAsia" w:ascii="宋体" w:hAnsi="宋体" w:cs="宋体"/>
          <w:color w:val="auto"/>
          <w:sz w:val="21"/>
          <w:szCs w:val="21"/>
          <w:u w:val="dotted"/>
        </w:rPr>
        <w:t xml:space="preserve">                  </w:t>
      </w:r>
      <w:r>
        <w:rPr>
          <w:rFonts w:hint="eastAsia" w:ascii="宋体" w:hAnsi="宋体" w:cs="宋体"/>
          <w:color w:val="auto"/>
          <w:sz w:val="21"/>
          <w:szCs w:val="21"/>
        </w:rPr>
        <w:t>，</w:t>
      </w:r>
    </w:p>
    <w:p>
      <w:pPr>
        <w:pStyle w:val="48"/>
        <w:spacing w:line="440" w:lineRule="exact"/>
        <w:ind w:firstLine="480"/>
        <w:jc w:val="left"/>
        <w:rPr>
          <w:rFonts w:hint="eastAsia" w:ascii="宋体" w:hAnsi="宋体" w:cs="宋体"/>
          <w:color w:val="auto"/>
          <w:sz w:val="21"/>
          <w:szCs w:val="21"/>
        </w:rPr>
      </w:pPr>
      <w:r>
        <w:rPr>
          <w:rFonts w:hint="eastAsia" w:ascii="宋体" w:hAnsi="宋体" w:cs="宋体"/>
          <w:color w:val="auto"/>
          <w:sz w:val="21"/>
          <w:szCs w:val="21"/>
        </w:rPr>
        <w:t>工作单位：</w:t>
      </w:r>
      <w:r>
        <w:rPr>
          <w:rFonts w:hint="eastAsia" w:ascii="宋体" w:hAnsi="宋体" w:cs="宋体"/>
          <w:color w:val="auto"/>
          <w:sz w:val="21"/>
          <w:szCs w:val="21"/>
          <w:u w:val="dotted"/>
        </w:rPr>
        <w:t xml:space="preserve">                       </w:t>
      </w:r>
      <w:r>
        <w:rPr>
          <w:rFonts w:hint="eastAsia" w:ascii="宋体" w:hAnsi="宋体" w:cs="宋体"/>
          <w:color w:val="auto"/>
          <w:sz w:val="21"/>
          <w:szCs w:val="21"/>
        </w:rPr>
        <w:t>，职务：</w:t>
      </w:r>
      <w:r>
        <w:rPr>
          <w:rFonts w:hint="eastAsia" w:ascii="宋体" w:hAnsi="宋体" w:cs="宋体"/>
          <w:color w:val="auto"/>
          <w:sz w:val="21"/>
          <w:szCs w:val="21"/>
          <w:u w:val="dotted"/>
        </w:rPr>
        <w:t xml:space="preserve">                        </w:t>
      </w:r>
      <w:r>
        <w:rPr>
          <w:rFonts w:hint="eastAsia" w:ascii="宋体" w:hAnsi="宋体" w:cs="宋体"/>
          <w:color w:val="auto"/>
          <w:sz w:val="21"/>
          <w:szCs w:val="21"/>
        </w:rPr>
        <w:t>，</w:t>
      </w:r>
    </w:p>
    <w:p>
      <w:pPr>
        <w:pStyle w:val="48"/>
        <w:spacing w:line="440" w:lineRule="exact"/>
        <w:ind w:firstLine="480"/>
        <w:jc w:val="left"/>
        <w:rPr>
          <w:rFonts w:hint="eastAsia" w:ascii="宋体" w:hAnsi="宋体" w:cs="宋体"/>
          <w:color w:val="auto"/>
          <w:sz w:val="21"/>
          <w:szCs w:val="21"/>
        </w:rPr>
      </w:pPr>
      <w:r>
        <w:rPr>
          <w:rFonts w:hint="eastAsia" w:ascii="宋体" w:hAnsi="宋体" w:cs="宋体"/>
          <w:color w:val="auto"/>
          <w:sz w:val="21"/>
          <w:szCs w:val="21"/>
          <w:lang w:val="en-GB"/>
        </w:rPr>
        <w:t>联系电话：</w:t>
      </w:r>
      <w:r>
        <w:rPr>
          <w:rFonts w:hint="eastAsia" w:ascii="宋体" w:hAnsi="宋体" w:cs="宋体"/>
          <w:color w:val="auto"/>
          <w:sz w:val="21"/>
          <w:szCs w:val="21"/>
          <w:u w:val="dotted"/>
        </w:rPr>
        <w:t xml:space="preserve">           </w:t>
      </w:r>
      <w:r>
        <w:rPr>
          <w:rFonts w:hint="eastAsia" w:ascii="宋体" w:hAnsi="宋体" w:cs="宋体"/>
          <w:color w:val="auto"/>
          <w:sz w:val="21"/>
          <w:szCs w:val="21"/>
          <w:lang w:val="en-GB"/>
        </w:rPr>
        <w:t>； 传真号码：</w:t>
      </w:r>
      <w:r>
        <w:rPr>
          <w:rFonts w:hint="eastAsia" w:ascii="宋体" w:hAnsi="宋体" w:cs="宋体"/>
          <w:color w:val="auto"/>
          <w:sz w:val="21"/>
          <w:szCs w:val="21"/>
          <w:u w:val="dotted"/>
        </w:rPr>
        <w:t xml:space="preserve">             </w:t>
      </w:r>
      <w:r>
        <w:rPr>
          <w:rFonts w:hint="eastAsia" w:ascii="宋体" w:hAnsi="宋体" w:cs="宋体"/>
          <w:color w:val="auto"/>
          <w:sz w:val="21"/>
          <w:szCs w:val="21"/>
          <w:lang w:val="en-GB"/>
        </w:rPr>
        <w:t>；手机：</w:t>
      </w:r>
      <w:r>
        <w:rPr>
          <w:rFonts w:hint="eastAsia" w:ascii="宋体" w:hAnsi="宋体" w:cs="宋体"/>
          <w:color w:val="auto"/>
          <w:sz w:val="21"/>
          <w:szCs w:val="21"/>
          <w:u w:val="dotted"/>
        </w:rPr>
        <w:t xml:space="preserve">             </w:t>
      </w:r>
      <w:r>
        <w:rPr>
          <w:rFonts w:hint="eastAsia" w:ascii="宋体" w:hAnsi="宋体" w:cs="宋体"/>
          <w:color w:val="auto"/>
          <w:sz w:val="21"/>
          <w:szCs w:val="21"/>
          <w:lang w:val="en-GB"/>
        </w:rPr>
        <w:t>；</w:t>
      </w:r>
    </w:p>
    <w:p>
      <w:pPr>
        <w:pStyle w:val="23"/>
        <w:spacing w:line="440" w:lineRule="exact"/>
        <w:ind w:firstLine="480"/>
        <w:jc w:val="left"/>
        <w:rPr>
          <w:rFonts w:hint="eastAsia" w:ascii="宋体" w:hAnsi="宋体" w:cs="宋体"/>
          <w:color w:val="auto"/>
          <w:szCs w:val="21"/>
        </w:rPr>
      </w:pPr>
      <w:r>
        <w:rPr>
          <w:rFonts w:hint="eastAsia" w:ascii="宋体" w:hAnsi="宋体" w:cs="宋体"/>
          <w:color w:val="auto"/>
          <w:szCs w:val="21"/>
        </w:rPr>
        <w:t>授权权限：全权代表本单位参与上述项目的投标</w:t>
      </w:r>
      <w:r>
        <w:rPr>
          <w:rFonts w:hint="eastAsia" w:ascii="宋体" w:hAnsi="宋体" w:cs="宋体"/>
          <w:color w:val="auto"/>
          <w:szCs w:val="21"/>
          <w:lang w:val="en-GB"/>
        </w:rPr>
        <w:t>、出席开标全程，按照采购人和评标委员会的要求现场处理投标相关事宜，</w:t>
      </w:r>
      <w:r>
        <w:rPr>
          <w:rFonts w:hint="eastAsia" w:ascii="宋体" w:hAnsi="宋体" w:cs="宋体"/>
          <w:color w:val="auto"/>
          <w:szCs w:val="21"/>
        </w:rPr>
        <w:t>负责提供与签署确认一切文书资料，以及向贵方递交的任何补充承诺。</w:t>
      </w:r>
    </w:p>
    <w:p>
      <w:pPr>
        <w:pStyle w:val="23"/>
        <w:spacing w:line="440" w:lineRule="exact"/>
        <w:ind w:firstLine="480"/>
        <w:jc w:val="left"/>
        <w:rPr>
          <w:rFonts w:hint="eastAsia" w:ascii="宋体" w:hAnsi="宋体" w:cs="宋体"/>
          <w:color w:val="auto"/>
          <w:szCs w:val="21"/>
        </w:rPr>
      </w:pPr>
      <w:r>
        <w:rPr>
          <w:rFonts w:hint="eastAsia" w:ascii="宋体" w:hAnsi="宋体" w:cs="宋体"/>
          <w:color w:val="auto"/>
          <w:szCs w:val="21"/>
        </w:rPr>
        <w:t>有效期限：与本单位投标文件标注的投标有效期相同，自本单位盖章之日起生效。</w:t>
      </w:r>
    </w:p>
    <w:p>
      <w:pPr>
        <w:pStyle w:val="23"/>
        <w:spacing w:line="440" w:lineRule="exact"/>
        <w:ind w:firstLine="480"/>
        <w:jc w:val="left"/>
        <w:rPr>
          <w:rFonts w:hint="eastAsia" w:ascii="宋体" w:hAnsi="宋体" w:cs="宋体"/>
          <w:color w:val="auto"/>
          <w:szCs w:val="21"/>
        </w:rPr>
      </w:pPr>
      <w:r>
        <w:rPr>
          <w:rFonts w:hint="eastAsia" w:ascii="宋体" w:hAnsi="宋体" w:cs="宋体"/>
          <w:color w:val="auto"/>
          <w:szCs w:val="21"/>
        </w:rPr>
        <w:t>特此授权证明。</w:t>
      </w:r>
    </w:p>
    <w:p>
      <w:pPr>
        <w:pStyle w:val="23"/>
        <w:spacing w:line="440" w:lineRule="exact"/>
        <w:ind w:firstLine="480"/>
        <w:rPr>
          <w:rFonts w:hint="eastAsia" w:ascii="宋体" w:hAnsi="宋体" w:cs="宋体"/>
          <w:b/>
          <w:color w:val="auto"/>
          <w:szCs w:val="21"/>
        </w:rPr>
      </w:pPr>
      <w:r>
        <w:rPr>
          <w:rFonts w:hint="eastAsia" w:ascii="宋体" w:hAnsi="宋体" w:cs="宋体"/>
          <w:color w:val="auto"/>
          <w:szCs w:val="21"/>
          <w:lang w:val="en-GB"/>
        </w:rPr>
        <w:t>附件：投标人授权代表身份证</w:t>
      </w:r>
    </w:p>
    <w:p>
      <w:pPr>
        <w:pStyle w:val="23"/>
        <w:spacing w:line="440" w:lineRule="exact"/>
        <w:ind w:firstLine="480"/>
        <w:rPr>
          <w:rFonts w:hint="eastAsia" w:ascii="宋体" w:hAnsi="宋体" w:cs="宋体"/>
          <w:color w:val="auto"/>
          <w:szCs w:val="21"/>
          <w:lang w:val="en-GB"/>
        </w:rPr>
      </w:pPr>
    </w:p>
    <w:p>
      <w:pPr>
        <w:pStyle w:val="39"/>
        <w:spacing w:line="480" w:lineRule="auto"/>
        <w:rPr>
          <w:rFonts w:ascii="Calibri" w:hAnsi="Calibri"/>
          <w:b/>
          <w:color w:val="auto"/>
          <w:sz w:val="21"/>
          <w:szCs w:val="21"/>
          <w:lang w:val="en-GB"/>
        </w:rPr>
      </w:pPr>
      <w:r>
        <w:rPr>
          <w:rFonts w:hint="eastAsia" w:ascii="Calibri" w:hAnsi="Calibri"/>
          <w:b/>
          <w:color w:val="auto"/>
          <w:sz w:val="21"/>
          <w:szCs w:val="21"/>
          <w:lang w:val="en-GB"/>
        </w:rPr>
        <w:t>投标人名称：</w:t>
      </w:r>
      <w:r>
        <w:rPr>
          <w:rFonts w:ascii="Calibri" w:hAnsi="Calibri"/>
          <w:b/>
          <w:color w:val="auto"/>
          <w:sz w:val="21"/>
          <w:szCs w:val="21"/>
          <w:u w:val="single"/>
          <w:lang w:val="en-GB"/>
        </w:rPr>
        <w:t xml:space="preserve">      </w:t>
      </w:r>
      <w:r>
        <w:rPr>
          <w:rFonts w:hint="eastAsia" w:ascii="Calibri" w:hAnsi="Calibri"/>
          <w:b/>
          <w:color w:val="auto"/>
          <w:sz w:val="21"/>
          <w:szCs w:val="21"/>
          <w:u w:val="single"/>
          <w:lang w:val="en-GB"/>
        </w:rPr>
        <w:t>（全称）</w:t>
      </w:r>
      <w:r>
        <w:rPr>
          <w:rFonts w:ascii="Calibri" w:hAnsi="Calibri"/>
          <w:b/>
          <w:color w:val="auto"/>
          <w:sz w:val="21"/>
          <w:szCs w:val="21"/>
          <w:u w:val="single"/>
          <w:lang w:val="en-GB"/>
        </w:rPr>
        <w:t xml:space="preserve">             </w:t>
      </w:r>
      <w:r>
        <w:rPr>
          <w:rFonts w:ascii="Calibri" w:hAnsi="Calibri"/>
          <w:b/>
          <w:color w:val="auto"/>
          <w:sz w:val="21"/>
          <w:szCs w:val="21"/>
          <w:lang w:val="en-GB"/>
        </w:rPr>
        <w:t xml:space="preserve"> </w:t>
      </w:r>
      <w:r>
        <w:rPr>
          <w:rFonts w:hint="eastAsia" w:ascii="Calibri" w:hAnsi="Calibri"/>
          <w:b/>
          <w:color w:val="auto"/>
          <w:sz w:val="21"/>
          <w:szCs w:val="21"/>
          <w:lang w:val="en-GB"/>
        </w:rPr>
        <w:t>（单位公章）</w:t>
      </w:r>
    </w:p>
    <w:p>
      <w:pPr>
        <w:pStyle w:val="39"/>
        <w:spacing w:line="360" w:lineRule="auto"/>
        <w:rPr>
          <w:rFonts w:ascii="Calibri" w:hAnsi="Calibri"/>
          <w:b/>
          <w:color w:val="auto"/>
          <w:sz w:val="21"/>
          <w:szCs w:val="21"/>
        </w:rPr>
      </w:pPr>
      <w:r>
        <w:rPr>
          <w:rFonts w:hint="eastAsia" w:ascii="Calibri" w:hAnsi="Calibri"/>
          <w:b/>
          <w:color w:val="auto"/>
          <w:sz w:val="21"/>
          <w:szCs w:val="21"/>
        </w:rPr>
        <w:t>日期：</w:t>
      </w:r>
      <w:r>
        <w:rPr>
          <w:rFonts w:ascii="Calibri" w:hAnsi="Calibri"/>
          <w:b/>
          <w:color w:val="auto"/>
          <w:sz w:val="21"/>
          <w:szCs w:val="21"/>
        </w:rPr>
        <w:t xml:space="preserve">    </w:t>
      </w:r>
      <w:r>
        <w:rPr>
          <w:rFonts w:hint="eastAsia" w:ascii="Calibri" w:hAnsi="Calibri"/>
          <w:b/>
          <w:color w:val="auto"/>
          <w:sz w:val="21"/>
          <w:szCs w:val="21"/>
        </w:rPr>
        <w:t>年</w:t>
      </w:r>
      <w:r>
        <w:rPr>
          <w:rFonts w:ascii="Calibri" w:hAnsi="Calibri"/>
          <w:b/>
          <w:color w:val="auto"/>
          <w:sz w:val="21"/>
          <w:szCs w:val="21"/>
        </w:rPr>
        <w:t xml:space="preserve">    </w:t>
      </w:r>
      <w:r>
        <w:rPr>
          <w:rFonts w:hint="eastAsia" w:ascii="Calibri" w:hAnsi="Calibri"/>
          <w:b/>
          <w:color w:val="auto"/>
          <w:sz w:val="21"/>
          <w:szCs w:val="21"/>
        </w:rPr>
        <w:t>月</w:t>
      </w:r>
      <w:r>
        <w:rPr>
          <w:rFonts w:ascii="Calibri" w:hAnsi="Calibri"/>
          <w:b/>
          <w:color w:val="auto"/>
          <w:sz w:val="21"/>
          <w:szCs w:val="21"/>
        </w:rPr>
        <w:t xml:space="preserve">    </w:t>
      </w:r>
      <w:r>
        <w:rPr>
          <w:rFonts w:hint="eastAsia" w:ascii="Calibri" w:hAnsi="Calibri"/>
          <w:b/>
          <w:color w:val="auto"/>
          <w:sz w:val="21"/>
          <w:szCs w:val="21"/>
        </w:rPr>
        <w:t>日</w:t>
      </w:r>
    </w:p>
    <w:p>
      <w:pPr>
        <w:pStyle w:val="26"/>
        <w:spacing w:line="300" w:lineRule="exact"/>
        <w:rPr>
          <w:rFonts w:hint="eastAsia"/>
          <w:color w:val="auto"/>
          <w:szCs w:val="21"/>
          <w:lang w:val="en-GB"/>
        </w:rPr>
      </w:pPr>
    </w:p>
    <w:p>
      <w:pPr>
        <w:pStyle w:val="47"/>
        <w:keepNext/>
        <w:keepLines/>
        <w:pageBreakBefore/>
        <w:spacing w:line="360" w:lineRule="auto"/>
        <w:jc w:val="left"/>
        <w:rPr>
          <w:rFonts w:ascii="黑体" w:eastAsia="黑体"/>
          <w:color w:val="auto"/>
          <w:szCs w:val="24"/>
          <w:lang w:val="en-GB"/>
        </w:rPr>
      </w:pPr>
      <w:r>
        <w:rPr>
          <w:rFonts w:hint="eastAsia" w:ascii="黑体" w:eastAsia="黑体"/>
          <w:color w:val="auto"/>
          <w:lang w:val="en-GB"/>
        </w:rPr>
        <w:t>附件：投标人授权代表身份证</w:t>
      </w:r>
    </w:p>
    <w:p>
      <w:pPr>
        <w:pStyle w:val="47"/>
        <w:spacing w:line="360" w:lineRule="auto"/>
        <w:jc w:val="left"/>
        <w:rPr>
          <w:rFonts w:hint="eastAsia" w:ascii="Times New Roman"/>
          <w:color w:val="auto"/>
          <w:szCs w:val="21"/>
          <w:lang w:val="en-GB"/>
        </w:rPr>
      </w:pPr>
    </w:p>
    <w:p>
      <w:pPr>
        <w:pStyle w:val="47"/>
        <w:spacing w:line="360" w:lineRule="auto"/>
        <w:jc w:val="center"/>
        <w:rPr>
          <w:b/>
          <w:color w:val="auto"/>
          <w:sz w:val="36"/>
          <w:szCs w:val="24"/>
        </w:rPr>
      </w:pPr>
      <w:r>
        <w:rPr>
          <w:rFonts w:hint="eastAsia"/>
          <w:b/>
          <w:color w:val="auto"/>
          <w:sz w:val="36"/>
        </w:rPr>
        <w:t>投标人授权代表身份证</w:t>
      </w:r>
    </w:p>
    <w:tbl>
      <w:tblPr>
        <w:tblStyle w:val="13"/>
        <w:tblW w:w="9240" w:type="dxa"/>
        <w:tblInd w:w="108"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240"/>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050" w:hRule="atLeast"/>
        </w:trPr>
        <w:tc>
          <w:tcPr>
            <w:tcW w:w="9240" w:type="dxa"/>
            <w:noWrap w:val="0"/>
            <w:vAlign w:val="top"/>
          </w:tcPr>
          <w:p>
            <w:pPr>
              <w:pStyle w:val="47"/>
              <w:spacing w:line="360" w:lineRule="auto"/>
              <w:rPr>
                <w:color w:val="auto"/>
              </w:rPr>
            </w:pPr>
          </w:p>
          <w:tbl>
            <w:tblPr>
              <w:tblStyle w:val="13"/>
              <w:tblW w:w="0" w:type="auto"/>
              <w:tblInd w:w="431"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shd w:val="clear" w:color="auto" w:fill="F3F3F3"/>
              <w:tblLayout w:type="fixed"/>
              <w:tblCellMar>
                <w:top w:w="0" w:type="dxa"/>
                <w:left w:w="108" w:type="dxa"/>
                <w:bottom w:w="0" w:type="dxa"/>
                <w:right w:w="108" w:type="dxa"/>
              </w:tblCellMar>
            </w:tblPr>
            <w:tblGrid>
              <w:gridCol w:w="815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shd w:val="clear" w:color="auto" w:fill="F3F3F3"/>
              </w:tblPrEx>
              <w:trPr>
                <w:trHeight w:val="3313" w:hRule="atLeast"/>
              </w:trPr>
              <w:tc>
                <w:tcPr>
                  <w:tcW w:w="8153" w:type="dxa"/>
                  <w:tcBorders>
                    <w:top w:val="dotted" w:color="auto" w:sz="4" w:space="0"/>
                    <w:left w:val="dotted" w:color="auto" w:sz="4" w:space="0"/>
                    <w:bottom w:val="dotted" w:color="auto" w:sz="4" w:space="0"/>
                    <w:right w:val="dotted" w:color="auto" w:sz="4" w:space="0"/>
                  </w:tcBorders>
                  <w:shd w:val="clear" w:color="auto" w:fill="F3F3F3"/>
                  <w:noWrap w:val="0"/>
                  <w:vAlign w:val="top"/>
                </w:tcPr>
                <w:p>
                  <w:pPr>
                    <w:pStyle w:val="47"/>
                    <w:spacing w:line="360" w:lineRule="auto"/>
                    <w:rPr>
                      <w:color w:val="auto"/>
                    </w:rPr>
                  </w:pPr>
                </w:p>
                <w:p>
                  <w:pPr>
                    <w:pStyle w:val="47"/>
                    <w:spacing w:line="360" w:lineRule="auto"/>
                    <w:rPr>
                      <w:rFonts w:ascii="Times New Roman" w:hAnsi="Times New Roman"/>
                      <w:color w:val="auto"/>
                      <w:sz w:val="24"/>
                      <w:szCs w:val="24"/>
                    </w:rPr>
                  </w:pPr>
                </w:p>
                <w:p>
                  <w:pPr>
                    <w:pStyle w:val="47"/>
                    <w:spacing w:line="360" w:lineRule="auto"/>
                    <w:rPr>
                      <w:color w:val="auto"/>
                    </w:rPr>
                  </w:pPr>
                </w:p>
                <w:p>
                  <w:pPr>
                    <w:pStyle w:val="47"/>
                    <w:spacing w:line="360" w:lineRule="auto"/>
                    <w:jc w:val="center"/>
                    <w:rPr>
                      <w:color w:val="auto"/>
                      <w:sz w:val="24"/>
                      <w:szCs w:val="24"/>
                    </w:rPr>
                  </w:pPr>
                </w:p>
                <w:p>
                  <w:pPr>
                    <w:pStyle w:val="47"/>
                    <w:spacing w:line="360" w:lineRule="auto"/>
                    <w:jc w:val="center"/>
                    <w:rPr>
                      <w:color w:val="auto"/>
                    </w:rPr>
                  </w:pPr>
                </w:p>
                <w:p>
                  <w:pPr>
                    <w:pStyle w:val="47"/>
                    <w:spacing w:line="360" w:lineRule="auto"/>
                    <w:jc w:val="center"/>
                    <w:rPr>
                      <w:color w:val="auto"/>
                    </w:rPr>
                  </w:pPr>
                </w:p>
                <w:p>
                  <w:pPr>
                    <w:pStyle w:val="47"/>
                    <w:spacing w:line="360" w:lineRule="auto"/>
                    <w:jc w:val="center"/>
                    <w:rPr>
                      <w:color w:val="auto"/>
                    </w:rPr>
                  </w:pPr>
                  <w:r>
                    <w:rPr>
                      <w:rFonts w:hint="eastAsia"/>
                      <w:color w:val="auto"/>
                    </w:rPr>
                    <w:t>授权代表身份证（人像页）</w:t>
                  </w:r>
                </w:p>
                <w:p>
                  <w:pPr>
                    <w:pStyle w:val="47"/>
                    <w:spacing w:line="360" w:lineRule="auto"/>
                    <w:rPr>
                      <w:color w:val="auto"/>
                    </w:rPr>
                  </w:pPr>
                </w:p>
              </w:tc>
            </w:tr>
          </w:tbl>
          <w:p>
            <w:pPr>
              <w:pStyle w:val="47"/>
              <w:spacing w:line="360" w:lineRule="auto"/>
              <w:rPr>
                <w:color w:val="auto"/>
              </w:rPr>
            </w:pPr>
          </w:p>
          <w:p>
            <w:pPr>
              <w:pStyle w:val="47"/>
              <w:spacing w:line="360" w:lineRule="auto"/>
              <w:rPr>
                <w:rFonts w:ascii="Times New Roman" w:hAnsi="Times New Roman"/>
                <w:color w:val="auto"/>
                <w:sz w:val="24"/>
                <w:szCs w:val="24"/>
                <w:u w:val="single"/>
              </w:rPr>
            </w:pPr>
            <w:r>
              <w:rPr>
                <w:rFonts w:hint="eastAsia" w:ascii="宋体" w:hAnsi="宋体"/>
                <w:color w:val="auto"/>
              </w:rPr>
              <w:t xml:space="preserve">  </w:t>
            </w:r>
          </w:p>
          <w:tbl>
            <w:tblPr>
              <w:tblStyle w:val="13"/>
              <w:tblW w:w="0" w:type="auto"/>
              <w:tblInd w:w="431"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shd w:val="clear" w:color="auto" w:fill="F3F3F3"/>
              <w:tblLayout w:type="fixed"/>
              <w:tblCellMar>
                <w:top w:w="0" w:type="dxa"/>
                <w:left w:w="108" w:type="dxa"/>
                <w:bottom w:w="0" w:type="dxa"/>
                <w:right w:w="108" w:type="dxa"/>
              </w:tblCellMar>
            </w:tblPr>
            <w:tblGrid>
              <w:gridCol w:w="815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shd w:val="clear" w:color="auto" w:fill="F3F3F3"/>
                <w:tblCellMar>
                  <w:top w:w="0" w:type="dxa"/>
                  <w:left w:w="108" w:type="dxa"/>
                  <w:bottom w:w="0" w:type="dxa"/>
                  <w:right w:w="108" w:type="dxa"/>
                </w:tblCellMar>
              </w:tblPrEx>
              <w:trPr>
                <w:trHeight w:val="2676" w:hRule="atLeast"/>
              </w:trPr>
              <w:tc>
                <w:tcPr>
                  <w:tcW w:w="8153" w:type="dxa"/>
                  <w:tcBorders>
                    <w:top w:val="dotted" w:color="auto" w:sz="4" w:space="0"/>
                    <w:left w:val="dotted" w:color="auto" w:sz="4" w:space="0"/>
                    <w:bottom w:val="dotted" w:color="auto" w:sz="4" w:space="0"/>
                    <w:right w:val="dotted" w:color="auto" w:sz="4" w:space="0"/>
                  </w:tcBorders>
                  <w:shd w:val="clear" w:color="auto" w:fill="F3F3F3"/>
                  <w:noWrap w:val="0"/>
                  <w:vAlign w:val="top"/>
                </w:tcPr>
                <w:p>
                  <w:pPr>
                    <w:pStyle w:val="47"/>
                    <w:spacing w:line="360" w:lineRule="auto"/>
                    <w:rPr>
                      <w:color w:val="auto"/>
                    </w:rPr>
                  </w:pPr>
                </w:p>
                <w:p>
                  <w:pPr>
                    <w:pStyle w:val="47"/>
                    <w:spacing w:line="360" w:lineRule="auto"/>
                    <w:rPr>
                      <w:rFonts w:ascii="Times New Roman" w:hAnsi="Times New Roman"/>
                      <w:color w:val="auto"/>
                      <w:sz w:val="24"/>
                      <w:szCs w:val="24"/>
                    </w:rPr>
                  </w:pPr>
                </w:p>
                <w:p>
                  <w:pPr>
                    <w:pStyle w:val="47"/>
                    <w:spacing w:line="360" w:lineRule="auto"/>
                    <w:rPr>
                      <w:color w:val="auto"/>
                    </w:rPr>
                  </w:pPr>
                </w:p>
                <w:p>
                  <w:pPr>
                    <w:pStyle w:val="47"/>
                    <w:spacing w:line="360" w:lineRule="auto"/>
                    <w:jc w:val="center"/>
                    <w:rPr>
                      <w:color w:val="auto"/>
                      <w:sz w:val="24"/>
                      <w:szCs w:val="24"/>
                    </w:rPr>
                  </w:pPr>
                </w:p>
                <w:p>
                  <w:pPr>
                    <w:pStyle w:val="47"/>
                    <w:spacing w:line="360" w:lineRule="auto"/>
                    <w:jc w:val="center"/>
                    <w:rPr>
                      <w:color w:val="auto"/>
                    </w:rPr>
                  </w:pPr>
                </w:p>
                <w:p>
                  <w:pPr>
                    <w:pStyle w:val="47"/>
                    <w:spacing w:line="360" w:lineRule="auto"/>
                    <w:jc w:val="center"/>
                    <w:rPr>
                      <w:color w:val="auto"/>
                    </w:rPr>
                  </w:pPr>
                </w:p>
                <w:p>
                  <w:pPr>
                    <w:pStyle w:val="47"/>
                    <w:spacing w:line="360" w:lineRule="auto"/>
                    <w:jc w:val="center"/>
                    <w:rPr>
                      <w:color w:val="auto"/>
                    </w:rPr>
                  </w:pPr>
                </w:p>
                <w:p>
                  <w:pPr>
                    <w:pStyle w:val="47"/>
                    <w:spacing w:line="360" w:lineRule="auto"/>
                    <w:jc w:val="center"/>
                    <w:rPr>
                      <w:color w:val="auto"/>
                    </w:rPr>
                  </w:pPr>
                  <w:r>
                    <w:rPr>
                      <w:rFonts w:hint="eastAsia"/>
                      <w:color w:val="auto"/>
                    </w:rPr>
                    <w:t>授权代表身份证（国徽页）</w:t>
                  </w:r>
                </w:p>
                <w:p>
                  <w:pPr>
                    <w:pStyle w:val="47"/>
                    <w:spacing w:line="360" w:lineRule="auto"/>
                    <w:rPr>
                      <w:color w:val="auto"/>
                    </w:rPr>
                  </w:pPr>
                </w:p>
                <w:p>
                  <w:pPr>
                    <w:pStyle w:val="47"/>
                    <w:spacing w:line="360" w:lineRule="auto"/>
                    <w:rPr>
                      <w:color w:val="auto"/>
                    </w:rPr>
                  </w:pPr>
                </w:p>
              </w:tc>
            </w:tr>
          </w:tbl>
          <w:p>
            <w:pPr>
              <w:pStyle w:val="47"/>
              <w:spacing w:line="360" w:lineRule="auto"/>
              <w:rPr>
                <w:color w:val="auto"/>
              </w:rPr>
            </w:pPr>
          </w:p>
          <w:p>
            <w:pPr>
              <w:pStyle w:val="47"/>
              <w:spacing w:line="360" w:lineRule="auto"/>
              <w:rPr>
                <w:rFonts w:ascii="Times New Roman" w:hAnsi="Times New Roman"/>
                <w:color w:val="auto"/>
                <w:sz w:val="24"/>
                <w:szCs w:val="24"/>
              </w:rPr>
            </w:pPr>
            <w:r>
              <w:rPr>
                <w:rFonts w:hint="eastAsia"/>
                <w:color w:val="auto"/>
              </w:rPr>
              <w:t>注：</w:t>
            </w:r>
          </w:p>
          <w:p>
            <w:pPr>
              <w:pStyle w:val="47"/>
              <w:spacing w:line="360" w:lineRule="auto"/>
              <w:rPr>
                <w:color w:val="auto"/>
              </w:rPr>
            </w:pPr>
            <w:r>
              <w:rPr>
                <w:color w:val="auto"/>
              </w:rPr>
              <w:t xml:space="preserve">1. </w:t>
            </w:r>
            <w:r>
              <w:rPr>
                <w:rFonts w:hint="eastAsia"/>
                <w:color w:val="auto"/>
              </w:rPr>
              <w:t>须与《投标授权书》委任的全权代表一致。</w:t>
            </w:r>
          </w:p>
          <w:p>
            <w:pPr>
              <w:pStyle w:val="47"/>
              <w:spacing w:line="360" w:lineRule="auto"/>
              <w:rPr>
                <w:color w:val="auto"/>
              </w:rPr>
            </w:pPr>
            <w:r>
              <w:rPr>
                <w:color w:val="auto"/>
              </w:rPr>
              <w:t xml:space="preserve">2. </w:t>
            </w:r>
            <w:r>
              <w:rPr>
                <w:rFonts w:hint="eastAsia"/>
                <w:color w:val="auto"/>
              </w:rPr>
              <w:t>上传全权代表的身份证扫描件。</w:t>
            </w:r>
          </w:p>
        </w:tc>
      </w:tr>
    </w:tbl>
    <w:p>
      <w:pPr>
        <w:pStyle w:val="49"/>
        <w:outlineLvl w:val="1"/>
        <w:rPr>
          <w:color w:val="auto"/>
        </w:rPr>
      </w:pPr>
      <w:r>
        <w:rPr>
          <w:color w:val="auto"/>
        </w:rPr>
        <w:br w:type="page"/>
      </w:r>
      <w:r>
        <w:rPr>
          <w:rFonts w:hint="eastAsia"/>
          <w:color w:val="auto"/>
          <w:lang w:val="en-US" w:eastAsia="zh-CN"/>
        </w:rPr>
        <w:t>四</w:t>
      </w:r>
      <w:r>
        <w:rPr>
          <w:color w:val="auto"/>
        </w:rPr>
        <w:t>、企业资格性证明材料</w:t>
      </w:r>
    </w:p>
    <w:p>
      <w:pPr>
        <w:pStyle w:val="50"/>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highlight w:val="none"/>
          <w:shd w:val="clear" w:color="auto" w:fill="FFFFFF"/>
        </w:rPr>
        <w:t>★</w:t>
      </w:r>
      <w:r>
        <w:rPr>
          <w:rFonts w:hint="eastAsia" w:ascii="宋体" w:hAnsi="宋体" w:eastAsia="宋体" w:cs="宋体"/>
          <w:b/>
          <w:color w:val="auto"/>
          <w:sz w:val="24"/>
          <w:szCs w:val="24"/>
          <w:highlight w:val="white"/>
        </w:rPr>
        <w:t>企业</w:t>
      </w:r>
      <w:r>
        <w:rPr>
          <w:rFonts w:hint="eastAsia" w:ascii="宋体" w:hAnsi="宋体" w:eastAsia="宋体" w:cs="宋体"/>
          <w:b/>
          <w:color w:val="auto"/>
          <w:sz w:val="24"/>
          <w:szCs w:val="24"/>
        </w:rPr>
        <w:t>资格性证明</w:t>
      </w:r>
    </w:p>
    <w:p>
      <w:pPr>
        <w:pStyle w:val="50"/>
        <w:spacing w:line="360" w:lineRule="auto"/>
        <w:rPr>
          <w:rFonts w:hint="eastAsia" w:ascii="宋体" w:hAnsi="宋体" w:eastAsia="宋体" w:cs="宋体"/>
          <w:b/>
          <w:color w:val="auto"/>
          <w:sz w:val="24"/>
          <w:szCs w:val="24"/>
          <w:highlight w:val="white"/>
          <w:lang w:val="en-GB"/>
        </w:rPr>
      </w:pPr>
    </w:p>
    <w:p>
      <w:pPr>
        <w:pStyle w:val="50"/>
        <w:spacing w:line="360" w:lineRule="auto"/>
        <w:rPr>
          <w:rFonts w:hint="eastAsia" w:ascii="宋体" w:hAnsi="宋体" w:eastAsia="宋体" w:cs="宋体"/>
          <w:b/>
          <w:color w:val="auto"/>
          <w:sz w:val="24"/>
          <w:szCs w:val="24"/>
          <w:lang w:val="en-GB"/>
        </w:rPr>
      </w:pPr>
      <w:r>
        <w:rPr>
          <w:rFonts w:hint="eastAsia" w:ascii="宋体" w:hAnsi="宋体" w:eastAsia="宋体" w:cs="宋体"/>
          <w:b/>
          <w:color w:val="auto"/>
          <w:sz w:val="24"/>
          <w:szCs w:val="24"/>
          <w:highlight w:val="white"/>
          <w:lang w:val="en-GB"/>
        </w:rPr>
        <w:t>以下材料须按照采购文件“投标人资格要求”所列述的内容和要求提供：</w:t>
      </w:r>
    </w:p>
    <w:p>
      <w:pPr>
        <w:pStyle w:val="50"/>
        <w:spacing w:line="360" w:lineRule="auto"/>
        <w:ind w:left="510"/>
        <w:rPr>
          <w:rFonts w:hint="eastAsia" w:ascii="宋体" w:hAnsi="宋体" w:eastAsia="宋体" w:cs="宋体"/>
          <w:color w:val="auto"/>
          <w:sz w:val="24"/>
          <w:szCs w:val="24"/>
          <w:lang w:val="en-GB"/>
        </w:rPr>
      </w:pPr>
    </w:p>
    <w:p>
      <w:pPr>
        <w:pStyle w:val="50"/>
        <w:numPr>
          <w:ilvl w:val="0"/>
          <w:numId w:val="47"/>
        </w:numPr>
        <w:spacing w:line="360" w:lineRule="auto"/>
        <w:rPr>
          <w:rFonts w:hint="eastAsia" w:ascii="宋体" w:hAnsi="宋体" w:eastAsia="宋体" w:cs="宋体"/>
          <w:color w:val="auto"/>
          <w:sz w:val="24"/>
          <w:szCs w:val="24"/>
          <w:lang w:val="en-GB"/>
        </w:rPr>
      </w:pPr>
      <w:r>
        <w:rPr>
          <w:rFonts w:hint="eastAsia" w:ascii="宋体" w:hAnsi="宋体" w:cs="宋体"/>
          <w:b/>
          <w:color w:val="auto"/>
          <w:sz w:val="24"/>
          <w:szCs w:val="24"/>
          <w:highlight w:val="white"/>
          <w:lang w:val="en-US" w:eastAsia="zh-CN"/>
        </w:rPr>
        <w:t>资格</w:t>
      </w:r>
      <w:r>
        <w:rPr>
          <w:rFonts w:hint="eastAsia" w:ascii="宋体" w:hAnsi="宋体" w:eastAsia="宋体" w:cs="宋体"/>
          <w:b/>
          <w:color w:val="auto"/>
          <w:sz w:val="24"/>
          <w:szCs w:val="24"/>
          <w:highlight w:val="white"/>
        </w:rPr>
        <w:t>证明：</w:t>
      </w:r>
    </w:p>
    <w:p>
      <w:pPr>
        <w:keepNext w:val="0"/>
        <w:keepLines w:val="0"/>
        <w:pageBreakBefore w:val="0"/>
        <w:widowControl w:val="0"/>
        <w:numPr>
          <w:ilvl w:val="1"/>
          <w:numId w:val="48"/>
        </w:numPr>
        <w:kinsoku/>
        <w:wordWrap/>
        <w:overflowPunct/>
        <w:topLinePunct w:val="0"/>
        <w:autoSpaceDE/>
        <w:autoSpaceDN/>
        <w:bidi w:val="0"/>
        <w:adjustRightInd/>
        <w:snapToGrid w:val="0"/>
        <w:spacing w:line="440" w:lineRule="exact"/>
        <w:ind w:left="567" w:leftChars="0" w:hanging="347"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具备以下资格条件，提供下列材料</w:t>
      </w:r>
      <w:r>
        <w:rPr>
          <w:rFonts w:hint="eastAsia" w:ascii="宋体" w:hAnsi="宋体" w:eastAsia="宋体" w:cs="宋体"/>
          <w:bCs/>
          <w:color w:val="auto"/>
          <w:sz w:val="24"/>
          <w:szCs w:val="24"/>
          <w:highlight w:val="none"/>
        </w:rPr>
        <w:t>：</w:t>
      </w:r>
    </w:p>
    <w:p>
      <w:pPr>
        <w:keepNext w:val="0"/>
        <w:keepLines w:val="0"/>
        <w:pageBreakBefore w:val="0"/>
        <w:widowControl w:val="0"/>
        <w:numPr>
          <w:ilvl w:val="0"/>
          <w:numId w:val="49"/>
        </w:numPr>
        <w:tabs>
          <w:tab w:val="left" w:pos="567"/>
        </w:tabs>
        <w:kinsoku/>
        <w:wordWrap/>
        <w:overflowPunct/>
        <w:topLinePunct w:val="0"/>
        <w:autoSpaceDE/>
        <w:autoSpaceDN/>
        <w:bidi w:val="0"/>
        <w:adjustRightInd/>
        <w:snapToGrid w:val="0"/>
        <w:spacing w:line="440" w:lineRule="exact"/>
        <w:ind w:left="825" w:leftChars="0" w:hanging="405"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在中华人民共和国境内注册的法人或其他组织或自然人，</w:t>
      </w:r>
      <w:r>
        <w:rPr>
          <w:rFonts w:hint="eastAsia" w:ascii="宋体" w:hAnsi="宋体" w:eastAsia="宋体" w:cs="宋体"/>
          <w:bCs/>
          <w:color w:val="auto"/>
          <w:sz w:val="24"/>
          <w:szCs w:val="24"/>
          <w:highlight w:val="none"/>
          <w:lang w:eastAsia="zh-CN"/>
        </w:rPr>
        <w:t>投标时提供有效的营业执照</w:t>
      </w:r>
      <w:r>
        <w:rPr>
          <w:rFonts w:hint="eastAsia" w:ascii="宋体" w:hAnsi="宋体" w:eastAsia="宋体" w:cs="宋体"/>
          <w:bCs/>
          <w:color w:val="auto"/>
          <w:sz w:val="24"/>
          <w:szCs w:val="24"/>
          <w:highlight w:val="none"/>
        </w:rPr>
        <w:t>（或事业法人登记证或身份证等相关证明） 副本复印件，如投标人为自然人的需提供自然人身份证明复印件；</w:t>
      </w:r>
    </w:p>
    <w:p>
      <w:pPr>
        <w:keepNext w:val="0"/>
        <w:keepLines w:val="0"/>
        <w:pageBreakBefore w:val="0"/>
        <w:widowControl w:val="0"/>
        <w:numPr>
          <w:ilvl w:val="0"/>
          <w:numId w:val="49"/>
        </w:numPr>
        <w:tabs>
          <w:tab w:val="left" w:pos="567"/>
        </w:tabs>
        <w:kinsoku/>
        <w:wordWrap/>
        <w:overflowPunct/>
        <w:topLinePunct w:val="0"/>
        <w:autoSpaceDE/>
        <w:autoSpaceDN/>
        <w:bidi w:val="0"/>
        <w:adjustRightInd/>
        <w:snapToGrid w:val="0"/>
        <w:spacing w:line="440" w:lineRule="exact"/>
        <w:ind w:left="825" w:leftChars="0" w:hanging="405"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财务会计制度情况，须提供下列任一项证明材料：</w:t>
      </w:r>
    </w:p>
    <w:p>
      <w:pPr>
        <w:keepNext w:val="0"/>
        <w:keepLines w:val="0"/>
        <w:pageBreakBefore w:val="0"/>
        <w:widowControl w:val="0"/>
        <w:numPr>
          <w:ilvl w:val="0"/>
          <w:numId w:val="50"/>
        </w:numPr>
        <w:tabs>
          <w:tab w:val="left" w:pos="840"/>
        </w:tabs>
        <w:kinsoku/>
        <w:wordWrap/>
        <w:overflowPunct/>
        <w:topLinePunct w:val="0"/>
        <w:autoSpaceDE/>
        <w:autoSpaceDN/>
        <w:bidi w:val="0"/>
        <w:adjustRightInd/>
        <w:snapToGrid w:val="0"/>
        <w:spacing w:line="440" w:lineRule="exact"/>
        <w:ind w:left="960" w:leftChars="200" w:hanging="480" w:hanging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提供202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年度的财务状况报告，财务状况报告须由第三方会计师事务所出具，并能清晰显示第三方会计师事务所的印章和注册会计师签字盖章，且能反映审计结论</w:t>
      </w:r>
      <w:r>
        <w:rPr>
          <w:rFonts w:hint="eastAsia" w:ascii="宋体" w:hAnsi="宋体" w:eastAsia="宋体" w:cs="宋体"/>
          <w:color w:val="auto"/>
          <w:sz w:val="24"/>
          <w:szCs w:val="24"/>
          <w:highlight w:val="none"/>
          <w:lang w:eastAsia="zh-CN"/>
        </w:rPr>
        <w:t>；</w:t>
      </w:r>
    </w:p>
    <w:p>
      <w:pPr>
        <w:keepNext w:val="0"/>
        <w:keepLines w:val="0"/>
        <w:pageBreakBefore w:val="0"/>
        <w:widowControl w:val="0"/>
        <w:numPr>
          <w:ilvl w:val="0"/>
          <w:numId w:val="50"/>
        </w:numPr>
        <w:tabs>
          <w:tab w:val="left" w:pos="840"/>
        </w:tabs>
        <w:kinsoku/>
        <w:wordWrap/>
        <w:overflowPunct/>
        <w:topLinePunct w:val="0"/>
        <w:autoSpaceDE/>
        <w:autoSpaceDN/>
        <w:bidi w:val="0"/>
        <w:adjustRightInd/>
        <w:snapToGrid w:val="0"/>
        <w:spacing w:line="440" w:lineRule="exact"/>
        <w:ind w:left="960" w:leftChars="200" w:hanging="480" w:hanging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开户银行出具投标截止前6个月内（含投标截止当月，并往前顺推）任意1个月的资信证明，并同时提供基本开户银行的《开户许可证》或《基本存款账户信息》（公户账户主档）或其他可证明资信证明为基本开户银行出具的相关证明资料，以上文件均需加盖银行印章</w:t>
      </w:r>
      <w:r>
        <w:rPr>
          <w:rFonts w:hint="eastAsia" w:ascii="宋体" w:hAnsi="宋体" w:eastAsia="宋体" w:cs="宋体"/>
          <w:color w:val="auto"/>
          <w:sz w:val="24"/>
          <w:szCs w:val="24"/>
          <w:highlight w:val="none"/>
          <w:lang w:eastAsia="zh-CN"/>
        </w:rPr>
        <w:t>。</w:t>
      </w:r>
    </w:p>
    <w:p>
      <w:pPr>
        <w:keepNext w:val="0"/>
        <w:keepLines w:val="0"/>
        <w:pageBreakBefore w:val="0"/>
        <w:widowControl w:val="0"/>
        <w:numPr>
          <w:ilvl w:val="0"/>
          <w:numId w:val="49"/>
        </w:numPr>
        <w:tabs>
          <w:tab w:val="left" w:pos="567"/>
        </w:tabs>
        <w:kinsoku/>
        <w:wordWrap/>
        <w:overflowPunct/>
        <w:topLinePunct w:val="0"/>
        <w:autoSpaceDE/>
        <w:autoSpaceDN/>
        <w:bidi w:val="0"/>
        <w:adjustRightInd/>
        <w:snapToGrid w:val="0"/>
        <w:spacing w:line="440" w:lineRule="exact"/>
        <w:ind w:left="825" w:leftChars="0" w:hanging="405" w:firstLineChars="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eastAsia="zh-CN"/>
        </w:rPr>
        <w:t>提供投标截止日前6个月内（含投标截止时间当月）任意1个月依法缴纳税收和社会保障资金的相关材料。如依法免税或不需要缴纳社会保障资金的，提供相应证明材料</w:t>
      </w:r>
      <w:r>
        <w:rPr>
          <w:rFonts w:hint="eastAsia" w:ascii="宋体" w:hAnsi="宋体" w:eastAsia="宋体" w:cs="宋体"/>
          <w:color w:val="auto"/>
          <w:sz w:val="24"/>
          <w:szCs w:val="24"/>
          <w:highlight w:val="none"/>
        </w:rPr>
        <w:t>；</w:t>
      </w:r>
    </w:p>
    <w:p>
      <w:pPr>
        <w:keepNext w:val="0"/>
        <w:keepLines w:val="0"/>
        <w:pageBreakBefore w:val="0"/>
        <w:widowControl w:val="0"/>
        <w:numPr>
          <w:ilvl w:val="0"/>
          <w:numId w:val="49"/>
        </w:numPr>
        <w:tabs>
          <w:tab w:val="left" w:pos="567"/>
        </w:tabs>
        <w:kinsoku/>
        <w:wordWrap/>
        <w:overflowPunct/>
        <w:topLinePunct w:val="0"/>
        <w:autoSpaceDE/>
        <w:autoSpaceDN/>
        <w:bidi w:val="0"/>
        <w:adjustRightInd/>
        <w:snapToGrid w:val="0"/>
        <w:spacing w:line="440" w:lineRule="exact"/>
        <w:ind w:left="825" w:leftChars="0" w:hanging="405" w:firstLineChars="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履行合同所必需的设备和专业技术能力的书面声明</w:t>
      </w:r>
      <w:r>
        <w:rPr>
          <w:rFonts w:hint="eastAsia" w:ascii="宋体" w:hAnsi="宋体" w:eastAsia="宋体" w:cs="宋体"/>
          <w:color w:val="auto"/>
          <w:kern w:val="0"/>
          <w:sz w:val="24"/>
          <w:szCs w:val="24"/>
          <w:highlight w:val="none"/>
        </w:rPr>
        <w:t>（提供《投标人资格声明函》）；</w:t>
      </w:r>
    </w:p>
    <w:p>
      <w:pPr>
        <w:keepNext w:val="0"/>
        <w:keepLines w:val="0"/>
        <w:pageBreakBefore w:val="0"/>
        <w:widowControl w:val="0"/>
        <w:numPr>
          <w:ilvl w:val="0"/>
          <w:numId w:val="49"/>
        </w:numPr>
        <w:tabs>
          <w:tab w:val="left" w:pos="567"/>
        </w:tabs>
        <w:kinsoku/>
        <w:wordWrap/>
        <w:overflowPunct/>
        <w:topLinePunct w:val="0"/>
        <w:autoSpaceDE/>
        <w:autoSpaceDN/>
        <w:bidi w:val="0"/>
        <w:adjustRightInd/>
        <w:snapToGrid w:val="0"/>
        <w:spacing w:line="440" w:lineRule="exact"/>
        <w:ind w:left="825" w:leftChars="0" w:hanging="405" w:firstLineChars="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参加政府采购活动前3年内在经营活动中没有重大违法记录的书面声明（提供《投标人资格声明函》）。</w:t>
      </w:r>
    </w:p>
    <w:p>
      <w:pPr>
        <w:keepNext w:val="0"/>
        <w:keepLines w:val="0"/>
        <w:pageBreakBefore w:val="0"/>
        <w:widowControl w:val="0"/>
        <w:numPr>
          <w:ilvl w:val="1"/>
          <w:numId w:val="48"/>
        </w:numPr>
        <w:kinsoku/>
        <w:wordWrap/>
        <w:overflowPunct/>
        <w:topLinePunct w:val="0"/>
        <w:autoSpaceDE/>
        <w:autoSpaceDN/>
        <w:bidi w:val="0"/>
        <w:adjustRightInd/>
        <w:snapToGrid w:val="0"/>
        <w:spacing w:line="440" w:lineRule="exact"/>
        <w:ind w:left="567" w:leftChars="0" w:hanging="347"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未被列入“信用中国”网站</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www.creditchina.gov.cn</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“记录失信被执行人或重大税收违法失信主体或政府采购严重违法失信行为”记录名单；不处于中国政府采购网</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www.ccgp.gov.cn</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“政府采购严重违法失信行为信息记录”中的禁止参加</w:t>
      </w:r>
      <w:r>
        <w:rPr>
          <w:rFonts w:hint="eastAsia" w:ascii="宋体" w:hAnsi="宋体" w:eastAsia="宋体" w:cs="宋体"/>
          <w:bCs/>
          <w:color w:val="auto"/>
          <w:sz w:val="24"/>
          <w:szCs w:val="24"/>
          <w:highlight w:val="none"/>
          <w:lang w:eastAsia="zh-CN"/>
        </w:rPr>
        <w:t>政府采购活动期间【</w:t>
      </w:r>
      <w:r>
        <w:rPr>
          <w:rFonts w:hint="eastAsia" w:ascii="宋体" w:hAnsi="宋体" w:eastAsia="宋体" w:cs="宋体"/>
          <w:bCs/>
          <w:color w:val="auto"/>
          <w:sz w:val="24"/>
          <w:szCs w:val="24"/>
          <w:highlight w:val="none"/>
        </w:rPr>
        <w:t>以采购代理机构于</w:t>
      </w:r>
      <w:r>
        <w:rPr>
          <w:rFonts w:hint="eastAsia" w:ascii="宋体" w:hAnsi="宋体" w:eastAsia="宋体" w:cs="宋体"/>
          <w:bCs/>
          <w:color w:val="auto"/>
          <w:sz w:val="24"/>
          <w:szCs w:val="24"/>
          <w:highlight w:val="none"/>
          <w:lang w:val="en-US" w:eastAsia="zh-CN"/>
        </w:rPr>
        <w:t>投标</w:t>
      </w:r>
      <w:r>
        <w:rPr>
          <w:rFonts w:hint="eastAsia" w:ascii="宋体" w:hAnsi="宋体" w:eastAsia="宋体" w:cs="宋体"/>
          <w:bCs/>
          <w:color w:val="auto"/>
          <w:sz w:val="24"/>
          <w:szCs w:val="24"/>
          <w:highlight w:val="none"/>
        </w:rPr>
        <w:t>截止日当天在“信用中国”网站（www.creditchina.gov.cn）及中国政府采购网</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www.ccgp.gov.cn</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查询结果为准，如相关失信记录已失效，供应商需提供相关证明资料】。</w:t>
      </w:r>
    </w:p>
    <w:p>
      <w:pPr>
        <w:keepNext w:val="0"/>
        <w:keepLines w:val="0"/>
        <w:pageBreakBefore w:val="0"/>
        <w:widowControl w:val="0"/>
        <w:numPr>
          <w:ilvl w:val="1"/>
          <w:numId w:val="48"/>
        </w:numPr>
        <w:kinsoku/>
        <w:wordWrap/>
        <w:overflowPunct/>
        <w:topLinePunct w:val="0"/>
        <w:autoSpaceDE/>
        <w:autoSpaceDN/>
        <w:bidi w:val="0"/>
        <w:adjustRightInd/>
        <w:snapToGrid w:val="0"/>
        <w:spacing w:line="440" w:lineRule="exact"/>
        <w:ind w:left="567" w:leftChars="0" w:hanging="347"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为采购项目提供整体设计、规范编制或者项目管理、监理、检测等服务的供应商，不得再参加该采购项目的其他采购活动（提供《投标人资格声明函》）。</w:t>
      </w:r>
    </w:p>
    <w:p>
      <w:pPr>
        <w:keepNext w:val="0"/>
        <w:keepLines w:val="0"/>
        <w:pageBreakBefore w:val="0"/>
        <w:widowControl w:val="0"/>
        <w:numPr>
          <w:ilvl w:val="1"/>
          <w:numId w:val="48"/>
        </w:numPr>
        <w:kinsoku/>
        <w:wordWrap/>
        <w:overflowPunct/>
        <w:topLinePunct w:val="0"/>
        <w:autoSpaceDE/>
        <w:autoSpaceDN/>
        <w:bidi w:val="0"/>
        <w:adjustRightInd/>
        <w:snapToGrid w:val="0"/>
        <w:spacing w:line="440" w:lineRule="exact"/>
        <w:ind w:left="567" w:leftChars="0" w:hanging="347"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单位负责人为同一人或者存在直接控股、管理关系的不同供应商，不得参加同一合同项下的政府采购活动（提供《投标人资格声明函》）。</w:t>
      </w:r>
    </w:p>
    <w:p>
      <w:pPr>
        <w:keepNext w:val="0"/>
        <w:keepLines w:val="0"/>
        <w:pageBreakBefore w:val="0"/>
        <w:widowControl w:val="0"/>
        <w:numPr>
          <w:ilvl w:val="1"/>
          <w:numId w:val="48"/>
        </w:numPr>
        <w:kinsoku/>
        <w:wordWrap/>
        <w:overflowPunct/>
        <w:topLinePunct w:val="0"/>
        <w:autoSpaceDE/>
        <w:autoSpaceDN/>
        <w:bidi w:val="0"/>
        <w:adjustRightInd/>
        <w:snapToGrid w:val="0"/>
        <w:spacing w:line="440" w:lineRule="exact"/>
        <w:ind w:left="567" w:leftChars="0" w:hanging="347"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本项目不接受联合体投标</w:t>
      </w:r>
      <w:r>
        <w:rPr>
          <w:rFonts w:hint="eastAsia" w:ascii="宋体" w:hAnsi="宋体" w:eastAsia="宋体" w:cs="宋体"/>
          <w:color w:val="auto"/>
          <w:sz w:val="24"/>
          <w:szCs w:val="24"/>
          <w:highlight w:val="none"/>
          <w:lang w:eastAsia="zh-CN"/>
        </w:rPr>
        <w:t>。</w:t>
      </w:r>
    </w:p>
    <w:p>
      <w:pPr>
        <w:pStyle w:val="50"/>
        <w:spacing w:line="240" w:lineRule="exact"/>
        <w:ind w:left="510"/>
        <w:rPr>
          <w:rFonts w:hint="eastAsia" w:ascii="宋体" w:hAnsi="宋体" w:eastAsia="宋体" w:cs="宋体"/>
          <w:color w:val="auto"/>
          <w:sz w:val="24"/>
          <w:szCs w:val="24"/>
          <w:lang w:val="en-GB"/>
        </w:rPr>
      </w:pPr>
    </w:p>
    <w:p>
      <w:pPr>
        <w:pStyle w:val="50"/>
        <w:spacing w:line="360" w:lineRule="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二、其他证明材料：</w:t>
      </w:r>
    </w:p>
    <w:p>
      <w:pPr>
        <w:pStyle w:val="5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投标人认为有必要提供的其他资格性材料，无则不需提供</w:t>
      </w:r>
      <w:r>
        <w:rPr>
          <w:rFonts w:hint="eastAsia" w:ascii="宋体" w:hAnsi="宋体" w:eastAsia="宋体" w:cs="宋体"/>
          <w:color w:val="auto"/>
          <w:sz w:val="24"/>
          <w:szCs w:val="24"/>
          <w:highlight w:val="none"/>
        </w:rPr>
        <w:t>）</w:t>
      </w:r>
    </w:p>
    <w:p>
      <w:pPr>
        <w:pStyle w:val="50"/>
        <w:spacing w:line="360" w:lineRule="auto"/>
        <w:ind w:firstLine="482" w:firstLineChars="200"/>
        <w:rPr>
          <w:rFonts w:hint="eastAsia" w:ascii="宋体" w:hAnsi="宋体" w:eastAsia="宋体" w:cs="宋体"/>
          <w:b/>
          <w:color w:val="auto"/>
          <w:sz w:val="24"/>
          <w:szCs w:val="24"/>
          <w:highlight w:val="white"/>
        </w:rPr>
      </w:pPr>
    </w:p>
    <w:p>
      <w:pPr>
        <w:pStyle w:val="50"/>
        <w:spacing w:line="440" w:lineRule="exact"/>
        <w:rPr>
          <w:rFonts w:hint="eastAsia" w:ascii="Calibri" w:hAnsi="Calibri"/>
          <w:b/>
          <w:color w:val="auto"/>
          <w:sz w:val="21"/>
          <w:szCs w:val="21"/>
        </w:rPr>
      </w:pPr>
    </w:p>
    <w:p>
      <w:pPr>
        <w:pStyle w:val="50"/>
        <w:spacing w:line="440" w:lineRule="exact"/>
        <w:rPr>
          <w:rFonts w:hint="eastAsia" w:ascii="Calibri" w:hAnsi="Calibri"/>
          <w:b/>
          <w:color w:val="auto"/>
          <w:sz w:val="21"/>
          <w:szCs w:val="21"/>
        </w:rPr>
      </w:pPr>
    </w:p>
    <w:p>
      <w:pPr>
        <w:pStyle w:val="50"/>
        <w:spacing w:line="360" w:lineRule="auto"/>
        <w:rPr>
          <w:rFonts w:hint="eastAsia" w:ascii="Calibri" w:hAnsi="Calibri"/>
          <w:b/>
          <w:color w:val="auto"/>
        </w:rPr>
      </w:pPr>
    </w:p>
    <w:p>
      <w:pPr>
        <w:pStyle w:val="50"/>
        <w:spacing w:line="360" w:lineRule="auto"/>
        <w:rPr>
          <w:rFonts w:hint="eastAsia" w:ascii="Calibri" w:hAnsi="Calibri"/>
          <w:b/>
          <w:color w:val="auto"/>
        </w:rPr>
      </w:pPr>
    </w:p>
    <w:p>
      <w:pPr>
        <w:pStyle w:val="50"/>
        <w:spacing w:line="360" w:lineRule="auto"/>
        <w:rPr>
          <w:rFonts w:hint="eastAsia" w:ascii="Calibri" w:hAnsi="Calibri"/>
          <w:b/>
          <w:color w:val="auto"/>
        </w:rPr>
      </w:pPr>
    </w:p>
    <w:p>
      <w:pPr>
        <w:pStyle w:val="49"/>
        <w:outlineLvl w:val="1"/>
        <w:rPr>
          <w:color w:val="auto"/>
        </w:rPr>
      </w:pPr>
      <w:r>
        <w:rPr>
          <w:rFonts w:hint="eastAsia" w:ascii="宋体" w:hAnsi="宋体" w:cs="宋体"/>
          <w:color w:val="auto"/>
        </w:rPr>
        <w:br w:type="page"/>
      </w:r>
      <w:r>
        <w:rPr>
          <w:rFonts w:hint="eastAsia" w:cs="Times New Roman"/>
          <w:color w:val="auto"/>
          <w:lang w:val="en-US" w:eastAsia="zh-CN"/>
        </w:rPr>
        <w:t>五、其他资格文件</w:t>
      </w:r>
    </w:p>
    <w:p>
      <w:pPr>
        <w:pStyle w:val="51"/>
        <w:spacing w:line="360" w:lineRule="auto"/>
        <w:jc w:val="center"/>
        <w:rPr>
          <w:rFonts w:hint="eastAsia" w:ascii="宋体" w:hAnsi="宋体" w:eastAsia="宋体" w:cs="宋体"/>
          <w:b/>
          <w:color w:val="auto"/>
          <w:sz w:val="24"/>
          <w:szCs w:val="24"/>
          <w:highlight w:val="white"/>
          <w:lang w:val="en-US" w:eastAsia="zh-CN"/>
        </w:rPr>
      </w:pPr>
      <w:r>
        <w:rPr>
          <w:rFonts w:hint="eastAsia" w:ascii="宋体" w:hAnsi="宋体" w:eastAsia="宋体" w:cs="宋体"/>
          <w:b/>
          <w:color w:val="auto"/>
          <w:sz w:val="24"/>
          <w:szCs w:val="24"/>
          <w:highlight w:val="white"/>
          <w:lang w:val="en-US" w:eastAsia="zh-CN"/>
        </w:rPr>
        <w:t>其他资格文件</w:t>
      </w:r>
    </w:p>
    <w:p>
      <w:pPr>
        <w:pStyle w:val="52"/>
        <w:tabs>
          <w:tab w:val="left" w:pos="0"/>
          <w:tab w:val="left" w:pos="540"/>
        </w:tabs>
        <w:spacing w:line="360" w:lineRule="auto"/>
        <w:rPr>
          <w:b/>
          <w:color w:val="auto"/>
          <w:sz w:val="24"/>
          <w:szCs w:val="24"/>
          <w:highlight w:val="white"/>
        </w:rPr>
      </w:pPr>
    </w:p>
    <w:p>
      <w:pPr>
        <w:pStyle w:val="52"/>
        <w:tabs>
          <w:tab w:val="left" w:pos="0"/>
          <w:tab w:val="left" w:pos="540"/>
        </w:tabs>
        <w:spacing w:line="360" w:lineRule="auto"/>
        <w:ind w:left="510"/>
        <w:jc w:val="left"/>
        <w:rPr>
          <w:rFonts w:hint="default" w:eastAsia="宋体"/>
          <w:color w:val="auto"/>
          <w:szCs w:val="24"/>
          <w:highlight w:val="none"/>
          <w:lang w:val="en-US" w:eastAsia="zh-CN"/>
        </w:rPr>
      </w:pPr>
      <w:r>
        <w:rPr>
          <w:rFonts w:hint="eastAsia"/>
          <w:b/>
          <w:color w:val="auto"/>
          <w:sz w:val="24"/>
          <w:szCs w:val="24"/>
          <w:highlight w:val="none"/>
          <w:lang w:val="en-US" w:eastAsia="zh-CN"/>
        </w:rPr>
        <w:t>投标人认为有必要提供的相关材料。</w:t>
      </w:r>
    </w:p>
    <w:p>
      <w:pPr>
        <w:pStyle w:val="52"/>
        <w:widowControl/>
        <w:spacing w:line="360" w:lineRule="auto"/>
        <w:ind w:firstLine="600"/>
        <w:jc w:val="left"/>
        <w:rPr>
          <w:rFonts w:hint="eastAsia" w:ascii="宋体" w:hAnsi="宋体" w:cs="宋体"/>
          <w:color w:val="auto"/>
          <w:kern w:val="0"/>
          <w:sz w:val="24"/>
          <w:szCs w:val="24"/>
        </w:rPr>
      </w:pPr>
    </w:p>
    <w:p>
      <w:pPr>
        <w:pStyle w:val="52"/>
        <w:widowControl/>
        <w:spacing w:line="360" w:lineRule="auto"/>
        <w:jc w:val="left"/>
        <w:rPr>
          <w:rFonts w:ascii="宋体" w:hAnsi="宋体" w:cs="宋体"/>
          <w:b/>
          <w:color w:val="auto"/>
          <w:kern w:val="0"/>
          <w:szCs w:val="21"/>
        </w:rPr>
      </w:pPr>
      <w:r>
        <w:rPr>
          <w:rFonts w:hint="eastAsia" w:ascii="宋体" w:hAnsi="宋体" w:cs="宋体"/>
          <w:b/>
          <w:color w:val="auto"/>
          <w:kern w:val="0"/>
          <w:szCs w:val="21"/>
          <w:highlight w:val="white"/>
        </w:rPr>
        <w:t>说明：</w:t>
      </w:r>
    </w:p>
    <w:p>
      <w:pPr>
        <w:pStyle w:val="53"/>
        <w:outlineLvl w:val="1"/>
        <w:rPr>
          <w:color w:val="auto"/>
        </w:rPr>
      </w:pPr>
    </w:p>
    <w:p>
      <w:pPr>
        <w:pStyle w:val="53"/>
        <w:outlineLvl w:val="1"/>
        <w:rPr>
          <w:color w:val="auto"/>
        </w:rPr>
      </w:pPr>
      <w:r>
        <w:rPr>
          <w:color w:val="auto"/>
        </w:rPr>
        <w:br w:type="page"/>
      </w:r>
      <w:r>
        <w:rPr>
          <w:rFonts w:hint="eastAsia"/>
          <w:color w:val="auto"/>
          <w:lang w:val="en-US" w:eastAsia="zh-CN"/>
        </w:rPr>
        <w:t>六、</w:t>
      </w:r>
      <w:r>
        <w:rPr>
          <w:color w:val="auto"/>
        </w:rPr>
        <w:t>营业执照等证明文件</w:t>
      </w:r>
    </w:p>
    <w:p>
      <w:pPr>
        <w:pStyle w:val="30"/>
        <w:jc w:val="center"/>
        <w:rPr>
          <w:color w:val="auto"/>
          <w:sz w:val="32"/>
          <w:szCs w:val="32"/>
        </w:rPr>
      </w:pPr>
    </w:p>
    <w:tbl>
      <w:tblPr>
        <w:tblStyle w:val="13"/>
        <w:tblW w:w="8214" w:type="dxa"/>
        <w:jc w:val="center"/>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0" w:type="dxa"/>
          <w:left w:w="0" w:type="dxa"/>
          <w:bottom w:w="0" w:type="dxa"/>
          <w:right w:w="0" w:type="dxa"/>
        </w:tblCellMar>
      </w:tblPr>
      <w:tblGrid>
        <w:gridCol w:w="5662"/>
        <w:gridCol w:w="2552"/>
      </w:tblGrid>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5662" w:type="dxa"/>
            <w:tcBorders>
              <w:top w:val="single" w:color="auto" w:sz="6" w:space="0"/>
              <w:left w:val="single" w:color="auto" w:sz="6" w:space="0"/>
              <w:bottom w:val="single" w:color="auto" w:sz="6" w:space="0"/>
              <w:right w:val="single" w:color="auto" w:sz="6" w:space="0"/>
            </w:tcBorders>
            <w:noWrap w:val="0"/>
            <w:vAlign w:val="center"/>
          </w:tcPr>
          <w:p>
            <w:pPr>
              <w:pStyle w:val="54"/>
              <w:widowControl/>
              <w:wordWrap w:val="0"/>
              <w:jc w:val="center"/>
              <w:rPr>
                <w:rFonts w:hint="eastAsia" w:ascii="Verdana" w:hAnsi="Verdana" w:cs="宋体"/>
                <w:color w:val="auto"/>
                <w:kern w:val="0"/>
                <w:sz w:val="18"/>
                <w:szCs w:val="18"/>
              </w:rPr>
            </w:pPr>
            <w:r>
              <w:rPr>
                <w:rFonts w:ascii="Verdana" w:hAnsi="Verdana" w:cs="宋体"/>
                <w:color w:val="auto"/>
                <w:kern w:val="0"/>
                <w:sz w:val="18"/>
                <w:szCs w:val="18"/>
              </w:rPr>
              <w:t xml:space="preserve">材料名称 </w:t>
            </w:r>
          </w:p>
        </w:tc>
        <w:tc>
          <w:tcPr>
            <w:tcW w:w="2552" w:type="dxa"/>
            <w:tcBorders>
              <w:top w:val="single" w:color="auto" w:sz="6" w:space="0"/>
              <w:left w:val="single" w:color="auto" w:sz="6" w:space="0"/>
              <w:bottom w:val="single" w:color="auto" w:sz="6" w:space="0"/>
              <w:right w:val="single" w:color="auto" w:sz="6" w:space="0"/>
            </w:tcBorders>
            <w:noWrap w:val="0"/>
            <w:vAlign w:val="center"/>
          </w:tcPr>
          <w:p>
            <w:pPr>
              <w:pStyle w:val="54"/>
              <w:widowControl/>
              <w:wordWrap w:val="0"/>
              <w:jc w:val="center"/>
              <w:rPr>
                <w:rFonts w:ascii="Verdana" w:hAnsi="Verdana" w:cs="宋体"/>
                <w:color w:val="auto"/>
                <w:kern w:val="0"/>
                <w:sz w:val="18"/>
                <w:szCs w:val="18"/>
              </w:rPr>
            </w:pPr>
            <w:r>
              <w:rPr>
                <w:rFonts w:ascii="Verdana" w:hAnsi="Verdana" w:cs="宋体"/>
                <w:color w:val="auto"/>
                <w:kern w:val="0"/>
                <w:sz w:val="18"/>
                <w:szCs w:val="18"/>
              </w:rPr>
              <w:t xml:space="preserve">查看 </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5662" w:type="dxa"/>
            <w:tcBorders>
              <w:top w:val="single" w:color="auto" w:sz="6" w:space="0"/>
              <w:left w:val="single" w:color="auto" w:sz="6" w:space="0"/>
              <w:bottom w:val="single" w:color="auto" w:sz="6" w:space="0"/>
              <w:right w:val="single" w:color="auto" w:sz="6" w:space="0"/>
            </w:tcBorders>
            <w:noWrap w:val="0"/>
            <w:vAlign w:val="center"/>
          </w:tcPr>
          <w:p>
            <w:pPr>
              <w:pStyle w:val="54"/>
              <w:widowControl/>
              <w:wordWrap w:val="0"/>
              <w:jc w:val="left"/>
              <w:rPr>
                <w:rFonts w:ascii="Verdana" w:hAnsi="Verdana" w:cs="宋体"/>
                <w:color w:val="auto"/>
                <w:kern w:val="0"/>
                <w:sz w:val="18"/>
                <w:szCs w:val="18"/>
              </w:rPr>
            </w:pPr>
          </w:p>
        </w:tc>
        <w:tc>
          <w:tcPr>
            <w:tcW w:w="2552" w:type="dxa"/>
            <w:tcBorders>
              <w:top w:val="single" w:color="auto" w:sz="6" w:space="0"/>
              <w:left w:val="single" w:color="auto" w:sz="6" w:space="0"/>
              <w:bottom w:val="single" w:color="auto" w:sz="6" w:space="0"/>
              <w:right w:val="single" w:color="auto" w:sz="6" w:space="0"/>
            </w:tcBorders>
            <w:noWrap w:val="0"/>
            <w:vAlign w:val="center"/>
          </w:tcPr>
          <w:p>
            <w:pPr>
              <w:pStyle w:val="54"/>
              <w:widowControl/>
              <w:wordWrap w:val="0"/>
              <w:jc w:val="left"/>
              <w:rPr>
                <w:rFonts w:ascii="Verdana" w:hAnsi="Verdana" w:cs="宋体"/>
                <w:color w:val="auto"/>
                <w:kern w:val="0"/>
                <w:sz w:val="18"/>
                <w:szCs w:val="18"/>
              </w:rPr>
            </w:pPr>
          </w:p>
        </w:tc>
      </w:tr>
    </w:tbl>
    <w:p>
      <w:pPr>
        <w:pStyle w:val="54"/>
        <w:widowControl/>
        <w:wordWrap w:val="0"/>
        <w:spacing w:line="360" w:lineRule="auto"/>
        <w:jc w:val="left"/>
        <w:rPr>
          <w:rFonts w:hint="eastAsia"/>
          <w:b/>
          <w:color w:val="auto"/>
          <w:kern w:val="0"/>
        </w:rPr>
      </w:pPr>
    </w:p>
    <w:p>
      <w:pPr>
        <w:pStyle w:val="54"/>
        <w:widowControl/>
        <w:wordWrap w:val="0"/>
        <w:spacing w:line="360" w:lineRule="auto"/>
        <w:jc w:val="left"/>
        <w:rPr>
          <w:color w:val="auto"/>
          <w:kern w:val="0"/>
        </w:rPr>
      </w:pPr>
      <w:r>
        <w:rPr>
          <w:rFonts w:hint="eastAsia"/>
          <w:color w:val="auto"/>
          <w:kern w:val="0"/>
        </w:rPr>
        <w:t>说明：</w:t>
      </w:r>
    </w:p>
    <w:p>
      <w:pPr>
        <w:pStyle w:val="55"/>
        <w:widowControl/>
        <w:wordWrap w:val="0"/>
        <w:spacing w:line="360" w:lineRule="auto"/>
        <w:ind w:firstLine="420" w:firstLineChars="200"/>
        <w:jc w:val="left"/>
        <w:rPr>
          <w:color w:val="auto"/>
          <w:kern w:val="0"/>
        </w:rPr>
      </w:pPr>
      <w:r>
        <w:rPr>
          <w:rFonts w:hint="eastAsia"/>
          <w:color w:val="auto"/>
          <w:kern w:val="0"/>
        </w:rPr>
        <w:t>1.该信息从供应商库获取，供应商是企业或个体工商户的，提供营业执照；供应商是事业单位的，提供事业单位法人证；供应商是自然人的，提供自然人身份证明。</w:t>
      </w:r>
    </w:p>
    <w:p>
      <w:pPr>
        <w:pStyle w:val="54"/>
        <w:widowControl/>
        <w:wordWrap w:val="0"/>
        <w:spacing w:line="360" w:lineRule="auto"/>
        <w:ind w:firstLine="420" w:firstLineChars="200"/>
        <w:jc w:val="left"/>
        <w:rPr>
          <w:color w:val="auto"/>
          <w:kern w:val="0"/>
        </w:rPr>
      </w:pPr>
      <w:r>
        <w:rPr>
          <w:rFonts w:hint="eastAsia"/>
          <w:color w:val="auto"/>
          <w:kern w:val="0"/>
        </w:rPr>
        <w:t>2.上述证明文件的机构名称与投标人名称应一致。</w:t>
      </w:r>
    </w:p>
    <w:p>
      <w:pPr>
        <w:pStyle w:val="56"/>
        <w:outlineLvl w:val="1"/>
        <w:rPr>
          <w:color w:val="auto"/>
        </w:rPr>
      </w:pPr>
      <w:r>
        <w:rPr>
          <w:color w:val="auto"/>
        </w:rPr>
        <w:br w:type="page"/>
      </w:r>
      <w:r>
        <w:rPr>
          <w:rFonts w:hint="eastAsia"/>
          <w:color w:val="auto"/>
          <w:lang w:val="en-US" w:eastAsia="zh-CN"/>
        </w:rPr>
        <w:t>七</w:t>
      </w:r>
      <w:r>
        <w:rPr>
          <w:color w:val="auto"/>
        </w:rPr>
        <w:t>、商务条款响应表</w:t>
      </w:r>
    </w:p>
    <w:tbl>
      <w:tblPr>
        <w:tblStyle w:val="13"/>
        <w:tblW w:w="9017" w:type="dxa"/>
        <w:tblInd w:w="-15" w:type="dxa"/>
        <w:tblLayout w:type="fixed"/>
        <w:tblCellMar>
          <w:top w:w="0" w:type="dxa"/>
          <w:left w:w="108" w:type="dxa"/>
          <w:bottom w:w="0" w:type="dxa"/>
          <w:right w:w="108" w:type="dxa"/>
        </w:tblCellMar>
      </w:tblPr>
      <w:tblGrid>
        <w:gridCol w:w="890"/>
        <w:gridCol w:w="6735"/>
        <w:gridCol w:w="1392"/>
      </w:tblGrid>
      <w:tr>
        <w:tblPrEx>
          <w:tblCellMar>
            <w:top w:w="0" w:type="dxa"/>
            <w:left w:w="108" w:type="dxa"/>
            <w:bottom w:w="0" w:type="dxa"/>
            <w:right w:w="108" w:type="dxa"/>
          </w:tblCellMar>
        </w:tblPrEx>
        <w:trPr>
          <w:trHeight w:val="505" w:hRule="atLeast"/>
          <w:tblHeader/>
        </w:trPr>
        <w:tc>
          <w:tcPr>
            <w:tcW w:w="9017" w:type="dxa"/>
            <w:gridSpan w:val="3"/>
            <w:tcBorders>
              <w:top w:val="single" w:color="000000" w:sz="4" w:space="0"/>
              <w:left w:val="single" w:color="000000" w:sz="4" w:space="0"/>
              <w:bottom w:val="single" w:color="000000" w:sz="4" w:space="0"/>
              <w:right w:val="single" w:color="000000" w:sz="4" w:space="0"/>
            </w:tcBorders>
            <w:shd w:val="clear" w:color="auto" w:fill="F3F3F3"/>
            <w:noWrap w:val="0"/>
            <w:vAlign w:val="center"/>
          </w:tcPr>
          <w:p>
            <w:pPr>
              <w:rPr>
                <w:color w:val="auto"/>
              </w:rPr>
            </w:pPr>
            <w:r>
              <w:rPr>
                <w:rFonts w:hint="eastAsia" w:ascii="宋体" w:hAnsi="宋体" w:cs="宋体"/>
                <w:color w:val="auto"/>
              </w:rPr>
              <w:t>一、</w:t>
            </w:r>
            <w:r>
              <w:rPr>
                <w:rFonts w:hint="eastAsia" w:ascii="宋体" w:hAnsi="宋体" w:cs="宋体"/>
                <w:color w:val="auto"/>
                <w:lang w:eastAsia="zh-CN"/>
              </w:rPr>
              <w:t>商务</w:t>
            </w:r>
            <w:r>
              <w:rPr>
                <w:rFonts w:hint="eastAsia" w:ascii="宋体" w:hAnsi="宋体" w:cs="宋体"/>
                <w:color w:val="auto"/>
              </w:rPr>
              <w:t>条款</w:t>
            </w:r>
            <w:r>
              <w:rPr>
                <w:rFonts w:hint="eastAsia" w:ascii="宋体" w:hAnsi="宋体" w:cs="宋体"/>
                <w:color w:val="auto"/>
                <w:lang w:eastAsia="zh-CN"/>
              </w:rPr>
              <w:t>响应</w:t>
            </w:r>
            <w:r>
              <w:rPr>
                <w:rFonts w:hint="eastAsia" w:ascii="宋体" w:hAnsi="宋体" w:cs="宋体"/>
                <w:color w:val="auto"/>
              </w:rPr>
              <w:t>情况</w:t>
            </w:r>
          </w:p>
        </w:tc>
      </w:tr>
      <w:tr>
        <w:tblPrEx>
          <w:tblCellMar>
            <w:top w:w="0" w:type="dxa"/>
            <w:left w:w="108" w:type="dxa"/>
            <w:bottom w:w="0" w:type="dxa"/>
            <w:right w:w="108" w:type="dxa"/>
          </w:tblCellMar>
        </w:tblPrEx>
        <w:trPr>
          <w:trHeight w:val="505" w:hRule="atLeast"/>
          <w:tblHeader/>
        </w:trPr>
        <w:tc>
          <w:tcPr>
            <w:tcW w:w="890" w:type="dxa"/>
            <w:tcBorders>
              <w:top w:val="single" w:color="000000" w:sz="4" w:space="0"/>
              <w:left w:val="single" w:color="000000" w:sz="4" w:space="0"/>
              <w:bottom w:val="single" w:color="000000" w:sz="4" w:space="0"/>
            </w:tcBorders>
            <w:shd w:val="clear" w:color="auto" w:fill="F3F3F3"/>
            <w:noWrap w:val="0"/>
            <w:vAlign w:val="center"/>
          </w:tcPr>
          <w:p>
            <w:pPr>
              <w:rPr>
                <w:rFonts w:hint="eastAsia" w:ascii="宋体" w:hAnsi="宋体" w:cs="宋体"/>
                <w:color w:val="auto"/>
              </w:rPr>
            </w:pPr>
            <w:r>
              <w:rPr>
                <w:rFonts w:hint="eastAsia" w:ascii="宋体" w:hAnsi="宋体" w:cs="宋体"/>
                <w:color w:val="auto"/>
              </w:rPr>
              <w:t>序号</w:t>
            </w:r>
          </w:p>
        </w:tc>
        <w:tc>
          <w:tcPr>
            <w:tcW w:w="6735" w:type="dxa"/>
            <w:tcBorders>
              <w:top w:val="single" w:color="000000" w:sz="4" w:space="0"/>
              <w:left w:val="single" w:color="000000" w:sz="4" w:space="0"/>
              <w:bottom w:val="single" w:color="000000" w:sz="4" w:space="0"/>
            </w:tcBorders>
            <w:shd w:val="clear" w:color="auto" w:fill="F3F3F3"/>
            <w:noWrap w:val="0"/>
            <w:vAlign w:val="center"/>
          </w:tcPr>
          <w:p>
            <w:pPr>
              <w:rPr>
                <w:rFonts w:hint="eastAsia" w:ascii="宋体" w:hAnsi="宋体" w:cs="宋体"/>
                <w:color w:val="auto"/>
              </w:rPr>
            </w:pPr>
            <w:r>
              <w:rPr>
                <w:rFonts w:hint="eastAsia" w:ascii="宋体" w:hAnsi="宋体" w:cs="宋体"/>
                <w:color w:val="auto"/>
              </w:rPr>
              <w:t>主要条款</w:t>
            </w:r>
          </w:p>
        </w:tc>
        <w:tc>
          <w:tcPr>
            <w:tcW w:w="1392" w:type="dxa"/>
            <w:tcBorders>
              <w:top w:val="single" w:color="000000" w:sz="4" w:space="0"/>
              <w:left w:val="single" w:color="000000" w:sz="4" w:space="0"/>
              <w:bottom w:val="single" w:color="000000" w:sz="4" w:space="0"/>
              <w:right w:val="single" w:color="000000" w:sz="4" w:space="0"/>
            </w:tcBorders>
            <w:shd w:val="clear" w:color="auto" w:fill="F3F3F3"/>
            <w:noWrap w:val="0"/>
            <w:vAlign w:val="center"/>
          </w:tcPr>
          <w:p>
            <w:pPr>
              <w:jc w:val="center"/>
              <w:rPr>
                <w:rFonts w:hint="eastAsia"/>
                <w:color w:val="auto"/>
                <w:lang w:eastAsia="zh-CN"/>
              </w:rPr>
            </w:pPr>
            <w:r>
              <w:rPr>
                <w:rFonts w:hint="eastAsia" w:ascii="宋体" w:hAnsi="宋体" w:cs="宋体"/>
                <w:color w:val="auto"/>
              </w:rPr>
              <w:t>是否</w:t>
            </w:r>
            <w:r>
              <w:rPr>
                <w:rFonts w:hint="eastAsia" w:ascii="宋体" w:hAnsi="宋体" w:cs="宋体"/>
                <w:color w:val="auto"/>
                <w:lang w:eastAsia="zh-CN"/>
              </w:rPr>
              <w:t>偏离</w:t>
            </w:r>
          </w:p>
        </w:tc>
      </w:tr>
      <w:tr>
        <w:tblPrEx>
          <w:tblCellMar>
            <w:top w:w="0" w:type="dxa"/>
            <w:left w:w="108" w:type="dxa"/>
            <w:bottom w:w="0" w:type="dxa"/>
            <w:right w:w="108" w:type="dxa"/>
          </w:tblCellMar>
        </w:tblPrEx>
        <w:trPr>
          <w:trHeight w:val="354" w:hRule="atLeast"/>
        </w:trPr>
        <w:tc>
          <w:tcPr>
            <w:tcW w:w="890" w:type="dxa"/>
            <w:tcBorders>
              <w:top w:val="single" w:color="000000" w:sz="4" w:space="0"/>
              <w:left w:val="single" w:color="000000" w:sz="4" w:space="0"/>
              <w:bottom w:val="single" w:color="000000" w:sz="4" w:space="0"/>
            </w:tcBorders>
            <w:noWrap w:val="0"/>
            <w:vAlign w:val="center"/>
          </w:tcPr>
          <w:p>
            <w:pPr>
              <w:jc w:val="center"/>
              <w:rPr>
                <w:rFonts w:hint="eastAsia" w:ascii="宋体" w:hAnsi="宋体" w:cs="宋体"/>
                <w:color w:val="auto"/>
              </w:rPr>
            </w:pPr>
            <w:r>
              <w:rPr>
                <w:rFonts w:hint="eastAsia" w:ascii="宋体" w:hAnsi="宋体" w:cs="宋体"/>
                <w:color w:val="auto"/>
              </w:rPr>
              <w:t>1</w:t>
            </w:r>
          </w:p>
        </w:tc>
        <w:tc>
          <w:tcPr>
            <w:tcW w:w="6735" w:type="dxa"/>
            <w:tcBorders>
              <w:top w:val="single" w:color="000000" w:sz="4" w:space="0"/>
              <w:left w:val="single" w:color="000000" w:sz="4" w:space="0"/>
              <w:bottom w:val="single" w:color="000000" w:sz="4" w:space="0"/>
            </w:tcBorders>
            <w:noWrap w:val="0"/>
            <w:vAlign w:val="center"/>
          </w:tcPr>
          <w:p>
            <w:pPr>
              <w:widowControl/>
              <w:spacing w:line="360" w:lineRule="auto"/>
              <w:jc w:val="left"/>
              <w:rPr>
                <w:rFonts w:ascii="宋体" w:hAnsi="宋体" w:cs="宋体"/>
                <w:color w:val="auto"/>
              </w:rPr>
            </w:pPr>
            <w:r>
              <w:rPr>
                <w:rFonts w:hint="eastAsia" w:ascii="宋体" w:hAnsi="宋体" w:cs="宋体"/>
                <w:color w:val="auto"/>
              </w:rPr>
              <w:t>完全理解并接受对合格</w:t>
            </w:r>
            <w:r>
              <w:rPr>
                <w:rFonts w:hint="eastAsia" w:ascii="宋体" w:hAnsi="宋体" w:cs="宋体"/>
                <w:color w:val="auto"/>
                <w:lang w:eastAsia="zh-CN"/>
              </w:rPr>
              <w:t>投标人</w:t>
            </w:r>
            <w:r>
              <w:rPr>
                <w:rFonts w:hint="eastAsia" w:ascii="宋体" w:hAnsi="宋体" w:cs="宋体"/>
                <w:color w:val="auto"/>
              </w:rPr>
              <w:t>的</w:t>
            </w:r>
            <w:r>
              <w:rPr>
                <w:rFonts w:hint="eastAsia" w:ascii="宋体" w:hAnsi="宋体" w:cs="宋体"/>
                <w:color w:val="auto"/>
                <w:lang w:eastAsia="zh-CN"/>
              </w:rPr>
              <w:t>产品和</w:t>
            </w:r>
            <w:r>
              <w:rPr>
                <w:rFonts w:hint="eastAsia" w:ascii="宋体" w:hAnsi="宋体" w:cs="宋体"/>
                <w:color w:val="auto"/>
              </w:rPr>
              <w:t>服务要求及“</w:t>
            </w:r>
            <w:r>
              <w:rPr>
                <w:rFonts w:hint="eastAsia" w:ascii="宋体" w:hAnsi="宋体" w:cs="宋体"/>
                <w:b/>
                <w:color w:val="auto"/>
                <w:szCs w:val="21"/>
              </w:rPr>
              <w:t>★</w:t>
            </w:r>
            <w:r>
              <w:rPr>
                <w:rFonts w:hint="eastAsia" w:ascii="宋体" w:hAnsi="宋体" w:cs="宋体"/>
                <w:bCs/>
                <w:color w:val="auto"/>
                <w:szCs w:val="21"/>
              </w:rPr>
              <w:t xml:space="preserve"> ”条款</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cs="宋体"/>
                <w:color w:val="auto"/>
              </w:rPr>
            </w:pPr>
          </w:p>
        </w:tc>
      </w:tr>
      <w:tr>
        <w:tblPrEx>
          <w:tblCellMar>
            <w:top w:w="0" w:type="dxa"/>
            <w:left w:w="108" w:type="dxa"/>
            <w:bottom w:w="0" w:type="dxa"/>
            <w:right w:w="108" w:type="dxa"/>
          </w:tblCellMar>
        </w:tblPrEx>
        <w:trPr>
          <w:trHeight w:val="354" w:hRule="atLeast"/>
        </w:trPr>
        <w:tc>
          <w:tcPr>
            <w:tcW w:w="890" w:type="dxa"/>
            <w:tcBorders>
              <w:top w:val="single" w:color="000000" w:sz="4" w:space="0"/>
              <w:left w:val="single" w:color="000000" w:sz="4" w:space="0"/>
              <w:bottom w:val="single" w:color="000000" w:sz="4" w:space="0"/>
            </w:tcBorders>
            <w:noWrap w:val="0"/>
            <w:vAlign w:val="center"/>
          </w:tcPr>
          <w:p>
            <w:pPr>
              <w:jc w:val="center"/>
              <w:rPr>
                <w:rFonts w:hint="eastAsia" w:ascii="宋体" w:hAnsi="宋体" w:cs="宋体"/>
                <w:color w:val="auto"/>
              </w:rPr>
            </w:pPr>
            <w:r>
              <w:rPr>
                <w:rFonts w:hint="eastAsia" w:ascii="宋体" w:hAnsi="宋体" w:cs="宋体"/>
                <w:color w:val="auto"/>
              </w:rPr>
              <w:t>2</w:t>
            </w:r>
          </w:p>
        </w:tc>
        <w:tc>
          <w:tcPr>
            <w:tcW w:w="6735" w:type="dxa"/>
            <w:tcBorders>
              <w:top w:val="single" w:color="000000" w:sz="4" w:space="0"/>
              <w:left w:val="single" w:color="000000" w:sz="4" w:space="0"/>
              <w:bottom w:val="single" w:color="000000" w:sz="4" w:space="0"/>
            </w:tcBorders>
            <w:noWrap w:val="0"/>
            <w:vAlign w:val="center"/>
          </w:tcPr>
          <w:p>
            <w:pPr>
              <w:rPr>
                <w:rFonts w:ascii="宋体" w:hAnsi="宋体" w:cs="宋体"/>
                <w:color w:val="auto"/>
              </w:rPr>
            </w:pPr>
            <w:r>
              <w:rPr>
                <w:rFonts w:hint="eastAsia" w:ascii="宋体" w:hAnsi="宋体" w:cs="宋体"/>
                <w:color w:val="auto"/>
              </w:rPr>
              <w:t>完全理解并接受对</w:t>
            </w:r>
            <w:r>
              <w:rPr>
                <w:rFonts w:hint="eastAsia" w:ascii="宋体" w:hAnsi="宋体" w:cs="宋体"/>
                <w:color w:val="auto"/>
                <w:lang w:eastAsia="zh-CN"/>
              </w:rPr>
              <w:t>投标人</w:t>
            </w:r>
            <w:r>
              <w:rPr>
                <w:rFonts w:hint="eastAsia" w:ascii="宋体" w:hAnsi="宋体" w:cs="宋体"/>
                <w:color w:val="auto"/>
              </w:rPr>
              <w:t>的各项须知、规约要求和责任义务</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cs="宋体"/>
                <w:color w:val="auto"/>
              </w:rPr>
            </w:pPr>
          </w:p>
        </w:tc>
      </w:tr>
      <w:tr>
        <w:tblPrEx>
          <w:tblCellMar>
            <w:top w:w="0" w:type="dxa"/>
            <w:left w:w="108" w:type="dxa"/>
            <w:bottom w:w="0" w:type="dxa"/>
            <w:right w:w="108" w:type="dxa"/>
          </w:tblCellMar>
        </w:tblPrEx>
        <w:trPr>
          <w:trHeight w:val="354" w:hRule="atLeast"/>
        </w:trPr>
        <w:tc>
          <w:tcPr>
            <w:tcW w:w="890" w:type="dxa"/>
            <w:tcBorders>
              <w:top w:val="single" w:color="000000" w:sz="4" w:space="0"/>
              <w:left w:val="single" w:color="000000" w:sz="4" w:space="0"/>
              <w:bottom w:val="single" w:color="000000" w:sz="4" w:space="0"/>
            </w:tcBorders>
            <w:noWrap w:val="0"/>
            <w:vAlign w:val="center"/>
          </w:tcPr>
          <w:p>
            <w:pPr>
              <w:jc w:val="center"/>
              <w:rPr>
                <w:rFonts w:hint="eastAsia" w:ascii="宋体" w:hAnsi="宋体" w:cs="宋体"/>
                <w:color w:val="auto"/>
              </w:rPr>
            </w:pPr>
            <w:r>
              <w:rPr>
                <w:rFonts w:hint="eastAsia" w:ascii="宋体" w:hAnsi="宋体" w:cs="宋体"/>
                <w:color w:val="auto"/>
              </w:rPr>
              <w:t>3</w:t>
            </w:r>
          </w:p>
        </w:tc>
        <w:tc>
          <w:tcPr>
            <w:tcW w:w="6735" w:type="dxa"/>
            <w:tcBorders>
              <w:top w:val="single" w:color="000000" w:sz="4" w:space="0"/>
              <w:left w:val="single" w:color="000000" w:sz="4" w:space="0"/>
              <w:bottom w:val="single" w:color="000000" w:sz="4" w:space="0"/>
            </w:tcBorders>
            <w:noWrap w:val="0"/>
            <w:vAlign w:val="center"/>
          </w:tcPr>
          <w:p>
            <w:pPr>
              <w:rPr>
                <w:rFonts w:ascii="宋体" w:hAnsi="宋体" w:cs="宋体"/>
                <w:color w:val="auto"/>
              </w:rPr>
            </w:pPr>
            <w:r>
              <w:rPr>
                <w:rFonts w:hint="eastAsia" w:ascii="宋体" w:hAnsi="宋体" w:cs="宋体"/>
                <w:color w:val="auto"/>
              </w:rPr>
              <w:t>同意接受合同范本所列述的各项条款</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cs="宋体"/>
                <w:color w:val="auto"/>
              </w:rPr>
            </w:pPr>
          </w:p>
        </w:tc>
      </w:tr>
      <w:tr>
        <w:tblPrEx>
          <w:tblCellMar>
            <w:top w:w="0" w:type="dxa"/>
            <w:left w:w="108" w:type="dxa"/>
            <w:bottom w:w="0" w:type="dxa"/>
            <w:right w:w="108" w:type="dxa"/>
          </w:tblCellMar>
        </w:tblPrEx>
        <w:trPr>
          <w:trHeight w:val="354" w:hRule="atLeast"/>
        </w:trPr>
        <w:tc>
          <w:tcPr>
            <w:tcW w:w="890" w:type="dxa"/>
            <w:tcBorders>
              <w:top w:val="single" w:color="000000" w:sz="4" w:space="0"/>
              <w:left w:val="single" w:color="000000" w:sz="4" w:space="0"/>
              <w:bottom w:val="single" w:color="000000" w:sz="4" w:space="0"/>
            </w:tcBorders>
            <w:noWrap w:val="0"/>
            <w:vAlign w:val="center"/>
          </w:tcPr>
          <w:p>
            <w:pPr>
              <w:jc w:val="center"/>
              <w:rPr>
                <w:rFonts w:hint="eastAsia" w:ascii="宋体" w:hAnsi="宋体" w:cs="宋体"/>
                <w:color w:val="auto"/>
              </w:rPr>
            </w:pPr>
            <w:r>
              <w:rPr>
                <w:rFonts w:hint="eastAsia" w:ascii="宋体" w:hAnsi="宋体" w:cs="宋体"/>
                <w:color w:val="auto"/>
              </w:rPr>
              <w:t>4</w:t>
            </w:r>
          </w:p>
        </w:tc>
        <w:tc>
          <w:tcPr>
            <w:tcW w:w="6735" w:type="dxa"/>
            <w:tcBorders>
              <w:top w:val="single" w:color="000000" w:sz="4" w:space="0"/>
              <w:left w:val="single" w:color="000000" w:sz="4" w:space="0"/>
              <w:bottom w:val="single" w:color="000000" w:sz="4" w:space="0"/>
            </w:tcBorders>
            <w:noWrap w:val="0"/>
            <w:vAlign w:val="center"/>
          </w:tcPr>
          <w:p>
            <w:pPr>
              <w:rPr>
                <w:rFonts w:ascii="宋体" w:hAnsi="宋体" w:cs="宋体"/>
                <w:color w:val="auto"/>
              </w:rPr>
            </w:pPr>
            <w:r>
              <w:rPr>
                <w:rFonts w:hint="eastAsia" w:ascii="宋体" w:hAnsi="宋体" w:cs="宋体"/>
                <w:color w:val="auto"/>
              </w:rPr>
              <w:t>同意按本项目要求缴付相关款项</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cs="宋体"/>
                <w:color w:val="auto"/>
              </w:rPr>
            </w:pPr>
          </w:p>
        </w:tc>
      </w:tr>
      <w:tr>
        <w:tblPrEx>
          <w:tblCellMar>
            <w:top w:w="0" w:type="dxa"/>
            <w:left w:w="108" w:type="dxa"/>
            <w:bottom w:w="0" w:type="dxa"/>
            <w:right w:w="108" w:type="dxa"/>
          </w:tblCellMar>
        </w:tblPrEx>
        <w:trPr>
          <w:trHeight w:val="477" w:hRule="atLeast"/>
        </w:trPr>
        <w:tc>
          <w:tcPr>
            <w:tcW w:w="890" w:type="dxa"/>
            <w:tcBorders>
              <w:top w:val="single" w:color="000000" w:sz="4" w:space="0"/>
              <w:left w:val="single" w:color="000000" w:sz="4" w:space="0"/>
              <w:bottom w:val="single" w:color="000000" w:sz="4" w:space="0"/>
            </w:tcBorders>
            <w:noWrap w:val="0"/>
            <w:vAlign w:val="center"/>
          </w:tcPr>
          <w:p>
            <w:pPr>
              <w:jc w:val="center"/>
              <w:rPr>
                <w:rFonts w:hint="eastAsia" w:ascii="宋体" w:hAnsi="宋体" w:cs="宋体"/>
                <w:color w:val="auto"/>
              </w:rPr>
            </w:pPr>
            <w:r>
              <w:rPr>
                <w:rFonts w:hint="eastAsia" w:ascii="宋体" w:hAnsi="宋体" w:cs="宋体"/>
                <w:color w:val="auto"/>
              </w:rPr>
              <w:t>5</w:t>
            </w:r>
          </w:p>
        </w:tc>
        <w:tc>
          <w:tcPr>
            <w:tcW w:w="6735" w:type="dxa"/>
            <w:tcBorders>
              <w:top w:val="single" w:color="000000" w:sz="4" w:space="0"/>
              <w:left w:val="single" w:color="000000" w:sz="4" w:space="0"/>
              <w:bottom w:val="single" w:color="000000" w:sz="4" w:space="0"/>
            </w:tcBorders>
            <w:noWrap w:val="0"/>
            <w:vAlign w:val="center"/>
          </w:tcPr>
          <w:p>
            <w:pPr>
              <w:rPr>
                <w:rFonts w:ascii="宋体" w:hAnsi="宋体" w:cs="宋体"/>
                <w:color w:val="auto"/>
              </w:rPr>
            </w:pPr>
            <w:r>
              <w:rPr>
                <w:rFonts w:hint="eastAsia" w:ascii="宋体" w:hAnsi="宋体" w:cs="宋体"/>
                <w:color w:val="auto"/>
              </w:rPr>
              <w:t>招标文件中的全部</w:t>
            </w:r>
            <w:r>
              <w:rPr>
                <w:rFonts w:hint="eastAsia" w:ascii="宋体" w:hAnsi="宋体" w:cs="宋体"/>
                <w:color w:val="auto"/>
                <w:lang w:eastAsia="zh-CN"/>
              </w:rPr>
              <w:t>商务</w:t>
            </w:r>
            <w:r>
              <w:rPr>
                <w:rFonts w:hint="eastAsia" w:ascii="宋体" w:hAnsi="宋体" w:cs="宋体"/>
                <w:color w:val="auto"/>
              </w:rPr>
              <w:t>条款均能完全响应</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cs="宋体"/>
                <w:color w:val="auto"/>
              </w:rPr>
            </w:pPr>
          </w:p>
        </w:tc>
      </w:tr>
      <w:tr>
        <w:tblPrEx>
          <w:tblCellMar>
            <w:top w:w="0" w:type="dxa"/>
            <w:left w:w="108" w:type="dxa"/>
            <w:bottom w:w="0" w:type="dxa"/>
            <w:right w:w="108" w:type="dxa"/>
          </w:tblCellMar>
        </w:tblPrEx>
        <w:trPr>
          <w:trHeight w:val="440" w:hRule="atLeast"/>
        </w:trPr>
        <w:tc>
          <w:tcPr>
            <w:tcW w:w="890" w:type="dxa"/>
            <w:tcBorders>
              <w:top w:val="single" w:color="000000" w:sz="4" w:space="0"/>
              <w:left w:val="single" w:color="000000" w:sz="4" w:space="0"/>
              <w:bottom w:val="single" w:color="000000" w:sz="4" w:space="0"/>
            </w:tcBorders>
            <w:noWrap w:val="0"/>
            <w:vAlign w:val="center"/>
          </w:tcPr>
          <w:p>
            <w:pPr>
              <w:jc w:val="center"/>
              <w:rPr>
                <w:rFonts w:hint="eastAsia" w:ascii="宋体" w:hAnsi="宋体" w:cs="宋体"/>
                <w:color w:val="auto"/>
              </w:rPr>
            </w:pPr>
            <w:r>
              <w:rPr>
                <w:rFonts w:hint="eastAsia" w:ascii="宋体" w:hAnsi="宋体" w:cs="宋体"/>
                <w:color w:val="auto"/>
              </w:rPr>
              <w:t>6</w:t>
            </w:r>
          </w:p>
        </w:tc>
        <w:tc>
          <w:tcPr>
            <w:tcW w:w="6735" w:type="dxa"/>
            <w:tcBorders>
              <w:top w:val="single" w:color="000000" w:sz="4" w:space="0"/>
              <w:left w:val="single" w:color="000000" w:sz="4" w:space="0"/>
              <w:bottom w:val="single" w:color="000000" w:sz="4" w:space="0"/>
            </w:tcBorders>
            <w:noWrap w:val="0"/>
            <w:vAlign w:val="center"/>
          </w:tcPr>
          <w:p>
            <w:pPr>
              <w:rPr>
                <w:rFonts w:ascii="宋体" w:hAnsi="宋体" w:cs="宋体"/>
                <w:color w:val="auto"/>
              </w:rPr>
            </w:pPr>
            <w:r>
              <w:rPr>
                <w:rFonts w:hint="eastAsia" w:ascii="宋体" w:hAnsi="宋体" w:cs="宋体"/>
                <w:color w:val="auto"/>
              </w:rPr>
              <w:t>同意接受采购方发布的补充通知中各项商务要求（如有）</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cs="宋体"/>
                <w:color w:val="auto"/>
              </w:rPr>
            </w:pPr>
          </w:p>
        </w:tc>
      </w:tr>
      <w:tr>
        <w:tblPrEx>
          <w:tblCellMar>
            <w:top w:w="0" w:type="dxa"/>
            <w:left w:w="108" w:type="dxa"/>
            <w:bottom w:w="0" w:type="dxa"/>
            <w:right w:w="108" w:type="dxa"/>
          </w:tblCellMar>
        </w:tblPrEx>
        <w:trPr>
          <w:trHeight w:val="590" w:hRule="atLeast"/>
        </w:trPr>
        <w:tc>
          <w:tcPr>
            <w:tcW w:w="890" w:type="dxa"/>
            <w:tcBorders>
              <w:top w:val="single" w:color="000000" w:sz="4" w:space="0"/>
              <w:left w:val="single" w:color="000000" w:sz="4" w:space="0"/>
              <w:bottom w:val="single" w:color="000000" w:sz="4" w:space="0"/>
            </w:tcBorders>
            <w:noWrap w:val="0"/>
            <w:vAlign w:val="center"/>
          </w:tcPr>
          <w:p>
            <w:pPr>
              <w:jc w:val="center"/>
              <w:rPr>
                <w:rFonts w:hint="eastAsia" w:ascii="宋体" w:hAnsi="宋体" w:cs="宋体"/>
                <w:color w:val="auto"/>
              </w:rPr>
            </w:pPr>
            <w:r>
              <w:rPr>
                <w:rFonts w:hint="eastAsia" w:ascii="宋体" w:hAnsi="宋体" w:cs="宋体"/>
                <w:color w:val="auto"/>
              </w:rPr>
              <w:t>7</w:t>
            </w:r>
          </w:p>
        </w:tc>
        <w:tc>
          <w:tcPr>
            <w:tcW w:w="6735" w:type="dxa"/>
            <w:tcBorders>
              <w:top w:val="single" w:color="000000" w:sz="4" w:space="0"/>
              <w:left w:val="single" w:color="000000" w:sz="4" w:space="0"/>
              <w:bottom w:val="single" w:color="000000" w:sz="4" w:space="0"/>
            </w:tcBorders>
            <w:noWrap w:val="0"/>
            <w:vAlign w:val="center"/>
          </w:tcPr>
          <w:p>
            <w:pPr>
              <w:rPr>
                <w:rFonts w:ascii="宋体" w:hAnsi="宋体" w:cs="宋体"/>
                <w:color w:val="auto"/>
              </w:rPr>
            </w:pPr>
            <w:r>
              <w:rPr>
                <w:rFonts w:hint="eastAsia" w:ascii="宋体" w:hAnsi="宋体" w:cs="宋体"/>
                <w:color w:val="auto"/>
              </w:rPr>
              <w:t>同意采购人以任何形式对我方提供的商务部分内容的真实性和有效性进行公开审查验证</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cs="宋体"/>
                <w:color w:val="auto"/>
              </w:rPr>
            </w:pPr>
          </w:p>
        </w:tc>
      </w:tr>
      <w:tr>
        <w:tblPrEx>
          <w:tblCellMar>
            <w:top w:w="0" w:type="dxa"/>
            <w:left w:w="108" w:type="dxa"/>
            <w:bottom w:w="0" w:type="dxa"/>
            <w:right w:w="108" w:type="dxa"/>
          </w:tblCellMar>
        </w:tblPrEx>
        <w:trPr>
          <w:trHeight w:val="477" w:hRule="atLeast"/>
        </w:trPr>
        <w:tc>
          <w:tcPr>
            <w:tcW w:w="9017" w:type="dxa"/>
            <w:gridSpan w:val="3"/>
            <w:tcBorders>
              <w:top w:val="single" w:color="000000" w:sz="4" w:space="0"/>
              <w:left w:val="single" w:color="000000" w:sz="4" w:space="0"/>
              <w:bottom w:val="single" w:color="000000" w:sz="4" w:space="0"/>
              <w:right w:val="single" w:color="000000" w:sz="4" w:space="0"/>
            </w:tcBorders>
            <w:shd w:val="clear" w:color="auto" w:fill="E6E6E6"/>
            <w:noWrap w:val="0"/>
            <w:vAlign w:val="center"/>
          </w:tcPr>
          <w:p>
            <w:pPr>
              <w:rPr>
                <w:color w:val="auto"/>
              </w:rPr>
            </w:pPr>
            <w:r>
              <w:rPr>
                <w:rFonts w:hint="eastAsia" w:ascii="宋体" w:hAnsi="宋体" w:cs="宋体"/>
                <w:color w:val="auto"/>
              </w:rPr>
              <w:t>二、</w:t>
            </w:r>
            <w:r>
              <w:rPr>
                <w:rFonts w:hint="eastAsia" w:ascii="宋体" w:hAnsi="宋体" w:cs="宋体"/>
                <w:color w:val="auto"/>
                <w:lang w:eastAsia="zh-CN"/>
              </w:rPr>
              <w:t>商务</w:t>
            </w:r>
            <w:r>
              <w:rPr>
                <w:rFonts w:hint="eastAsia" w:ascii="宋体" w:hAnsi="宋体" w:cs="宋体"/>
                <w:color w:val="auto"/>
              </w:rPr>
              <w:t>条款偏离情况说明（如有）：</w:t>
            </w:r>
          </w:p>
        </w:tc>
      </w:tr>
      <w:tr>
        <w:tblPrEx>
          <w:tblCellMar>
            <w:top w:w="0" w:type="dxa"/>
            <w:left w:w="108" w:type="dxa"/>
            <w:bottom w:w="0" w:type="dxa"/>
            <w:right w:w="108" w:type="dxa"/>
          </w:tblCellMar>
        </w:tblPrEx>
        <w:trPr>
          <w:trHeight w:val="472" w:hRule="atLeast"/>
        </w:trPr>
        <w:tc>
          <w:tcPr>
            <w:tcW w:w="890" w:type="dxa"/>
            <w:tcBorders>
              <w:top w:val="single" w:color="000000" w:sz="4" w:space="0"/>
              <w:left w:val="single" w:color="000000" w:sz="4" w:space="0"/>
              <w:bottom w:val="single" w:color="000000" w:sz="4" w:space="0"/>
            </w:tcBorders>
            <w:noWrap w:val="0"/>
            <w:vAlign w:val="center"/>
          </w:tcPr>
          <w:p>
            <w:pPr>
              <w:jc w:val="center"/>
              <w:rPr>
                <w:rFonts w:ascii="宋体" w:hAnsi="宋体" w:cs="宋体"/>
                <w:color w:val="auto"/>
              </w:rPr>
            </w:pPr>
            <w:r>
              <w:rPr>
                <w:rFonts w:hint="eastAsia" w:ascii="宋体" w:hAnsi="宋体" w:cs="宋体"/>
                <w:color w:val="auto"/>
              </w:rPr>
              <w:t>1</w:t>
            </w:r>
          </w:p>
        </w:tc>
        <w:tc>
          <w:tcPr>
            <w:tcW w:w="8127" w:type="dxa"/>
            <w:gridSpan w:val="2"/>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cs="宋体"/>
                <w:color w:val="auto"/>
              </w:rPr>
            </w:pPr>
          </w:p>
        </w:tc>
      </w:tr>
      <w:tr>
        <w:tblPrEx>
          <w:tblCellMar>
            <w:top w:w="0" w:type="dxa"/>
            <w:left w:w="108" w:type="dxa"/>
            <w:bottom w:w="0" w:type="dxa"/>
            <w:right w:w="108" w:type="dxa"/>
          </w:tblCellMar>
        </w:tblPrEx>
        <w:trPr>
          <w:trHeight w:val="477" w:hRule="atLeast"/>
        </w:trPr>
        <w:tc>
          <w:tcPr>
            <w:tcW w:w="9017" w:type="dxa"/>
            <w:gridSpan w:val="3"/>
            <w:tcBorders>
              <w:top w:val="single" w:color="000000" w:sz="4" w:space="0"/>
              <w:left w:val="single" w:color="000000" w:sz="4" w:space="0"/>
              <w:bottom w:val="single" w:color="000000" w:sz="4" w:space="0"/>
              <w:right w:val="single" w:color="000000" w:sz="4" w:space="0"/>
            </w:tcBorders>
            <w:shd w:val="clear" w:color="auto" w:fill="E6E6E6"/>
            <w:noWrap w:val="0"/>
            <w:vAlign w:val="center"/>
          </w:tcPr>
          <w:p>
            <w:pPr>
              <w:rPr>
                <w:color w:val="auto"/>
              </w:rPr>
            </w:pPr>
            <w:r>
              <w:rPr>
                <w:rFonts w:hint="eastAsia" w:ascii="宋体" w:hAnsi="宋体" w:cs="宋体"/>
                <w:color w:val="auto"/>
                <w:lang w:eastAsia="zh-CN"/>
              </w:rPr>
              <w:t>三</w:t>
            </w:r>
            <w:r>
              <w:rPr>
                <w:rFonts w:hint="eastAsia" w:ascii="宋体" w:hAnsi="宋体" w:cs="宋体"/>
                <w:color w:val="auto"/>
              </w:rPr>
              <w:t>、不同意公开的商务部分内容（★法律法规规定必须公开的信息，不得作为不同意公开的内容，否则视为实质性条款不响应，作投标无效处理）：：</w:t>
            </w:r>
          </w:p>
        </w:tc>
      </w:tr>
      <w:tr>
        <w:tblPrEx>
          <w:tblCellMar>
            <w:top w:w="0" w:type="dxa"/>
            <w:left w:w="108" w:type="dxa"/>
            <w:bottom w:w="0" w:type="dxa"/>
            <w:right w:w="108" w:type="dxa"/>
          </w:tblCellMar>
        </w:tblPrEx>
        <w:trPr>
          <w:trHeight w:val="472" w:hRule="atLeast"/>
        </w:trPr>
        <w:tc>
          <w:tcPr>
            <w:tcW w:w="890" w:type="dxa"/>
            <w:tcBorders>
              <w:top w:val="single" w:color="000000" w:sz="4" w:space="0"/>
              <w:left w:val="single" w:color="000000" w:sz="4" w:space="0"/>
              <w:bottom w:val="single" w:color="000000" w:sz="4" w:space="0"/>
            </w:tcBorders>
            <w:noWrap w:val="0"/>
            <w:vAlign w:val="center"/>
          </w:tcPr>
          <w:p>
            <w:pPr>
              <w:jc w:val="center"/>
              <w:rPr>
                <w:rFonts w:ascii="宋体" w:hAnsi="宋体" w:cs="宋体"/>
                <w:color w:val="auto"/>
              </w:rPr>
            </w:pPr>
            <w:r>
              <w:rPr>
                <w:rFonts w:hint="eastAsia" w:ascii="宋体" w:hAnsi="宋体" w:cs="宋体"/>
                <w:color w:val="auto"/>
              </w:rPr>
              <w:t>1</w:t>
            </w:r>
          </w:p>
        </w:tc>
        <w:tc>
          <w:tcPr>
            <w:tcW w:w="8127" w:type="dxa"/>
            <w:gridSpan w:val="2"/>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cs="宋体"/>
                <w:color w:val="auto"/>
              </w:rPr>
            </w:pPr>
          </w:p>
        </w:tc>
      </w:tr>
    </w:tbl>
    <w:p>
      <w:pPr>
        <w:pStyle w:val="57"/>
        <w:spacing w:line="360" w:lineRule="auto"/>
        <w:ind w:left="840" w:hanging="840"/>
        <w:rPr>
          <w:rFonts w:ascii="Calibri" w:hAnsi="Calibri"/>
          <w:color w:val="auto"/>
          <w:szCs w:val="21"/>
          <w:lang w:val="en-GB"/>
        </w:rPr>
      </w:pPr>
      <w:r>
        <w:rPr>
          <w:rFonts w:hint="eastAsia" w:ascii="Calibri" w:hAnsi="Calibri"/>
          <w:color w:val="auto"/>
          <w:szCs w:val="21"/>
          <w:lang w:val="en-GB"/>
        </w:rPr>
        <w:t>填表要求：</w:t>
      </w:r>
    </w:p>
    <w:p>
      <w:pPr>
        <w:pStyle w:val="57"/>
        <w:tabs>
          <w:tab w:val="left" w:pos="510"/>
        </w:tabs>
        <w:spacing w:line="360" w:lineRule="auto"/>
        <w:ind w:left="510" w:hanging="510"/>
        <w:rPr>
          <w:rFonts w:ascii="Calibri" w:hAnsi="Calibri"/>
          <w:color w:val="auto"/>
          <w:szCs w:val="21"/>
          <w:lang w:val="en-GB"/>
        </w:rPr>
      </w:pPr>
      <w:r>
        <w:rPr>
          <w:rFonts w:hint="eastAsia" w:ascii="Calibri" w:hAnsi="Calibri"/>
          <w:color w:val="auto"/>
          <w:szCs w:val="21"/>
        </w:rPr>
        <w:t>1、</w:t>
      </w:r>
      <w:r>
        <w:rPr>
          <w:rFonts w:hint="eastAsia" w:ascii="Calibri" w:hAnsi="Calibri"/>
          <w:color w:val="auto"/>
          <w:szCs w:val="21"/>
          <w:lang w:val="en-GB"/>
        </w:rPr>
        <w:t>投标人应对上表内容一一予以响应，在“是否偏离”栏注明无偏离、正偏离或负偏离，该栏未填写的视为不响应。若存在偏离，请在“商务条款偏离情况说明”栏中扼要说明正偏离或负偏离情况。</w:t>
      </w:r>
    </w:p>
    <w:p>
      <w:pPr>
        <w:pStyle w:val="57"/>
        <w:tabs>
          <w:tab w:val="left" w:pos="510"/>
        </w:tabs>
        <w:spacing w:line="360" w:lineRule="auto"/>
        <w:ind w:left="510" w:hanging="510"/>
        <w:rPr>
          <w:rFonts w:ascii="Calibri" w:hAnsi="Calibri"/>
          <w:color w:val="auto"/>
          <w:szCs w:val="21"/>
          <w:lang w:val="en-GB"/>
        </w:rPr>
      </w:pPr>
      <w:r>
        <w:rPr>
          <w:rFonts w:hint="eastAsia" w:ascii="Calibri" w:hAnsi="Calibri"/>
          <w:color w:val="auto"/>
          <w:szCs w:val="21"/>
        </w:rPr>
        <w:t>2、</w:t>
      </w:r>
      <w:r>
        <w:rPr>
          <w:rFonts w:hint="eastAsia" w:ascii="Calibri" w:hAnsi="Calibri"/>
          <w:color w:val="auto"/>
          <w:szCs w:val="21"/>
          <w:lang w:val="en-GB"/>
        </w:rPr>
        <w:t>本文件中标“★”号条款为实质性条款，投标人不响应或存在负偏离，将作无效处理。</w:t>
      </w:r>
    </w:p>
    <w:p>
      <w:pPr>
        <w:pStyle w:val="57"/>
        <w:tabs>
          <w:tab w:val="left" w:pos="510"/>
        </w:tabs>
        <w:spacing w:line="360" w:lineRule="auto"/>
        <w:ind w:left="510" w:hanging="510"/>
        <w:rPr>
          <w:rFonts w:ascii="Calibri" w:hAnsi="Calibri"/>
          <w:color w:val="auto"/>
          <w:szCs w:val="21"/>
          <w:lang w:val="en-GB"/>
        </w:rPr>
      </w:pPr>
      <w:r>
        <w:rPr>
          <w:rFonts w:hint="eastAsia" w:ascii="Calibri" w:hAnsi="Calibri"/>
          <w:color w:val="auto"/>
          <w:szCs w:val="21"/>
        </w:rPr>
        <w:t>3、</w:t>
      </w:r>
      <w:r>
        <w:rPr>
          <w:rFonts w:hint="eastAsia" w:ascii="Calibri" w:hAnsi="Calibri"/>
          <w:color w:val="auto"/>
          <w:szCs w:val="21"/>
          <w:lang w:val="en-GB"/>
        </w:rPr>
        <w:t>若上述商务条款内容与“采购项目商务要求”列述不一致时，均以“采购项目商务要求”详细内容为准。</w:t>
      </w:r>
    </w:p>
    <w:p>
      <w:pPr>
        <w:pStyle w:val="39"/>
        <w:spacing w:line="480" w:lineRule="auto"/>
        <w:rPr>
          <w:rFonts w:ascii="Calibri" w:hAnsi="Calibri"/>
          <w:b/>
          <w:color w:val="auto"/>
          <w:lang w:val="en-GB"/>
        </w:rPr>
      </w:pPr>
      <w:r>
        <w:rPr>
          <w:rFonts w:hint="eastAsia" w:ascii="Calibri" w:hAnsi="Calibri"/>
          <w:b/>
          <w:color w:val="auto"/>
          <w:lang w:val="en-GB"/>
        </w:rPr>
        <w:t>投标人名称：</w:t>
      </w:r>
      <w:r>
        <w:rPr>
          <w:rFonts w:ascii="Calibri" w:hAnsi="Calibri"/>
          <w:b/>
          <w:color w:val="auto"/>
          <w:u w:val="single"/>
          <w:lang w:val="en-GB"/>
        </w:rPr>
        <w:t xml:space="preserve">      </w:t>
      </w:r>
      <w:r>
        <w:rPr>
          <w:rFonts w:hint="eastAsia" w:ascii="Calibri" w:hAnsi="Calibri"/>
          <w:b/>
          <w:color w:val="auto"/>
          <w:u w:val="single"/>
          <w:lang w:val="en-GB"/>
        </w:rPr>
        <w:t>（全称）</w:t>
      </w:r>
      <w:r>
        <w:rPr>
          <w:rFonts w:ascii="Calibri" w:hAnsi="Calibri"/>
          <w:b/>
          <w:color w:val="auto"/>
          <w:u w:val="single"/>
          <w:lang w:val="en-GB"/>
        </w:rPr>
        <w:t xml:space="preserve">             </w:t>
      </w:r>
      <w:r>
        <w:rPr>
          <w:rFonts w:ascii="Calibri" w:hAnsi="Calibri"/>
          <w:b/>
          <w:color w:val="auto"/>
          <w:lang w:val="en-GB"/>
        </w:rPr>
        <w:t xml:space="preserve"> </w:t>
      </w:r>
      <w:r>
        <w:rPr>
          <w:rFonts w:hint="eastAsia" w:ascii="Calibri" w:hAnsi="Calibri"/>
          <w:b/>
          <w:color w:val="auto"/>
          <w:lang w:val="en-GB"/>
        </w:rPr>
        <w:t>（单位公章）</w:t>
      </w:r>
    </w:p>
    <w:p>
      <w:pPr>
        <w:pStyle w:val="39"/>
        <w:spacing w:line="360" w:lineRule="auto"/>
        <w:rPr>
          <w:rFonts w:ascii="Calibri" w:hAnsi="Calibri"/>
          <w:b/>
          <w:color w:val="auto"/>
        </w:rPr>
      </w:pPr>
      <w:r>
        <w:rPr>
          <w:rFonts w:hint="eastAsia" w:ascii="Calibri" w:hAnsi="Calibri"/>
          <w:b/>
          <w:color w:val="auto"/>
        </w:rPr>
        <w:t>日期：</w:t>
      </w:r>
      <w:r>
        <w:rPr>
          <w:rFonts w:ascii="Calibri" w:hAnsi="Calibri"/>
          <w:b/>
          <w:color w:val="auto"/>
        </w:rPr>
        <w:t xml:space="preserve">    </w:t>
      </w:r>
      <w:r>
        <w:rPr>
          <w:rFonts w:hint="eastAsia" w:ascii="Calibri" w:hAnsi="Calibri"/>
          <w:b/>
          <w:color w:val="auto"/>
        </w:rPr>
        <w:t>年</w:t>
      </w:r>
      <w:r>
        <w:rPr>
          <w:rFonts w:ascii="Calibri" w:hAnsi="Calibri"/>
          <w:b/>
          <w:color w:val="auto"/>
        </w:rPr>
        <w:t xml:space="preserve">    </w:t>
      </w:r>
      <w:r>
        <w:rPr>
          <w:rFonts w:hint="eastAsia" w:ascii="Calibri" w:hAnsi="Calibri"/>
          <w:b/>
          <w:color w:val="auto"/>
        </w:rPr>
        <w:t>月</w:t>
      </w:r>
      <w:r>
        <w:rPr>
          <w:rFonts w:ascii="Calibri" w:hAnsi="Calibri"/>
          <w:b/>
          <w:color w:val="auto"/>
        </w:rPr>
        <w:t xml:space="preserve">    </w:t>
      </w:r>
      <w:r>
        <w:rPr>
          <w:rFonts w:hint="eastAsia" w:ascii="Calibri" w:hAnsi="Calibri"/>
          <w:b/>
          <w:color w:val="auto"/>
        </w:rPr>
        <w:t>日</w:t>
      </w:r>
    </w:p>
    <w:p>
      <w:pPr>
        <w:pStyle w:val="58"/>
        <w:outlineLvl w:val="1"/>
        <w:rPr>
          <w:color w:val="auto"/>
        </w:rPr>
      </w:pPr>
      <w:r>
        <w:rPr>
          <w:color w:val="auto"/>
        </w:rPr>
        <w:br w:type="page"/>
      </w:r>
      <w:r>
        <w:rPr>
          <w:rFonts w:hint="eastAsia"/>
          <w:color w:val="auto"/>
          <w:lang w:val="en-US" w:eastAsia="zh-CN"/>
        </w:rPr>
        <w:t>八</w:t>
      </w:r>
      <w:r>
        <w:rPr>
          <w:color w:val="auto"/>
        </w:rPr>
        <w:t>、企业综合概况</w:t>
      </w:r>
    </w:p>
    <w:p>
      <w:pPr>
        <w:pStyle w:val="59"/>
        <w:spacing w:line="360" w:lineRule="auto"/>
        <w:jc w:val="center"/>
        <w:rPr>
          <w:rFonts w:hint="eastAsia"/>
          <w:b/>
          <w:color w:val="auto"/>
          <w:sz w:val="32"/>
          <w:szCs w:val="32"/>
        </w:rPr>
      </w:pPr>
      <w:r>
        <w:rPr>
          <w:rFonts w:hint="eastAsia"/>
          <w:b/>
          <w:color w:val="auto"/>
          <w:sz w:val="32"/>
          <w:szCs w:val="32"/>
        </w:rPr>
        <w:t>投标人企业基本概况</w:t>
      </w:r>
    </w:p>
    <w:tbl>
      <w:tblPr>
        <w:tblStyle w:val="13"/>
        <w:tblW w:w="9949" w:type="dxa"/>
        <w:jc w:val="center"/>
        <w:tblLayout w:type="fixed"/>
        <w:tblCellMar>
          <w:top w:w="0" w:type="dxa"/>
          <w:left w:w="108" w:type="dxa"/>
          <w:bottom w:w="0" w:type="dxa"/>
          <w:right w:w="108" w:type="dxa"/>
        </w:tblCellMar>
      </w:tblPr>
      <w:tblGrid>
        <w:gridCol w:w="1765"/>
        <w:gridCol w:w="1183"/>
        <w:gridCol w:w="771"/>
        <w:gridCol w:w="720"/>
        <w:gridCol w:w="596"/>
        <w:gridCol w:w="900"/>
        <w:gridCol w:w="844"/>
        <w:gridCol w:w="1128"/>
        <w:gridCol w:w="2042"/>
      </w:tblGrid>
      <w:tr>
        <w:tblPrEx>
          <w:tblCellMar>
            <w:top w:w="0" w:type="dxa"/>
            <w:left w:w="108" w:type="dxa"/>
            <w:bottom w:w="0" w:type="dxa"/>
            <w:right w:w="108" w:type="dxa"/>
          </w:tblCellMar>
        </w:tblPrEx>
        <w:trPr>
          <w:trHeight w:val="540" w:hRule="atLeast"/>
          <w:jc w:val="center"/>
        </w:trPr>
        <w:tc>
          <w:tcPr>
            <w:tcW w:w="1765" w:type="dxa"/>
            <w:tcBorders>
              <w:top w:val="single" w:color="auto" w:sz="8" w:space="0"/>
              <w:left w:val="single" w:color="auto" w:sz="8" w:space="0"/>
              <w:bottom w:val="single" w:color="auto" w:sz="8" w:space="0"/>
              <w:right w:val="single" w:color="auto" w:sz="8" w:space="0"/>
            </w:tcBorders>
            <w:noWrap w:val="0"/>
            <w:vAlign w:val="center"/>
          </w:tcPr>
          <w:p>
            <w:pPr>
              <w:pStyle w:val="59"/>
              <w:widowControl/>
              <w:spacing w:line="276" w:lineRule="auto"/>
              <w:jc w:val="center"/>
              <w:rPr>
                <w:rFonts w:ascii="宋体" w:hAnsi="宋体" w:cs="宋体"/>
                <w:color w:val="auto"/>
                <w:kern w:val="0"/>
                <w:szCs w:val="21"/>
              </w:rPr>
            </w:pPr>
            <w:r>
              <w:rPr>
                <w:rFonts w:hint="eastAsia" w:ascii="宋体" w:hAnsi="宋体" w:cs="宋体"/>
                <w:color w:val="auto"/>
                <w:kern w:val="0"/>
                <w:szCs w:val="21"/>
              </w:rPr>
              <w:t>单位名称</w:t>
            </w:r>
          </w:p>
        </w:tc>
        <w:tc>
          <w:tcPr>
            <w:tcW w:w="8184" w:type="dxa"/>
            <w:gridSpan w:val="8"/>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ascii="宋体" w:hAnsi="宋体" w:cs="宋体"/>
                <w:color w:val="auto"/>
                <w:kern w:val="0"/>
                <w:szCs w:val="21"/>
              </w:rPr>
            </w:pPr>
          </w:p>
        </w:tc>
      </w:tr>
      <w:tr>
        <w:tblPrEx>
          <w:tblCellMar>
            <w:top w:w="0" w:type="dxa"/>
            <w:left w:w="108" w:type="dxa"/>
            <w:bottom w:w="0" w:type="dxa"/>
            <w:right w:w="108" w:type="dxa"/>
          </w:tblCellMar>
        </w:tblPrEx>
        <w:trPr>
          <w:trHeight w:val="540" w:hRule="atLeast"/>
          <w:jc w:val="center"/>
        </w:trPr>
        <w:tc>
          <w:tcPr>
            <w:tcW w:w="1765" w:type="dxa"/>
            <w:tcBorders>
              <w:top w:val="nil"/>
              <w:left w:val="single" w:color="auto" w:sz="8" w:space="0"/>
              <w:bottom w:val="single" w:color="auto" w:sz="8" w:space="0"/>
              <w:right w:val="single" w:color="auto" w:sz="8" w:space="0"/>
            </w:tcBorders>
            <w:noWrap w:val="0"/>
            <w:vAlign w:val="center"/>
          </w:tcPr>
          <w:p>
            <w:pPr>
              <w:pStyle w:val="59"/>
              <w:widowControl/>
              <w:spacing w:line="276" w:lineRule="auto"/>
              <w:jc w:val="center"/>
              <w:rPr>
                <w:rFonts w:ascii="宋体" w:hAnsi="宋体" w:cs="宋体"/>
                <w:color w:val="auto"/>
                <w:kern w:val="0"/>
                <w:szCs w:val="21"/>
              </w:rPr>
            </w:pPr>
            <w:r>
              <w:rPr>
                <w:rFonts w:hint="eastAsia" w:ascii="宋体" w:hAnsi="宋体" w:cs="宋体"/>
                <w:color w:val="auto"/>
                <w:kern w:val="0"/>
                <w:szCs w:val="21"/>
              </w:rPr>
              <w:t>地    址</w:t>
            </w:r>
          </w:p>
        </w:tc>
        <w:tc>
          <w:tcPr>
            <w:tcW w:w="5014" w:type="dxa"/>
            <w:gridSpan w:val="6"/>
            <w:tcBorders>
              <w:top w:val="single" w:color="auto" w:sz="8" w:space="0"/>
              <w:left w:val="nil"/>
              <w:bottom w:val="single" w:color="auto" w:sz="8" w:space="0"/>
              <w:right w:val="single" w:color="auto" w:sz="4" w:space="0"/>
            </w:tcBorders>
            <w:noWrap w:val="0"/>
            <w:vAlign w:val="center"/>
          </w:tcPr>
          <w:p>
            <w:pPr>
              <w:pStyle w:val="59"/>
              <w:widowControl/>
              <w:spacing w:line="276" w:lineRule="auto"/>
              <w:jc w:val="center"/>
              <w:rPr>
                <w:rFonts w:ascii="宋体" w:hAnsi="宋体" w:cs="宋体"/>
                <w:color w:val="auto"/>
                <w:kern w:val="0"/>
                <w:szCs w:val="21"/>
              </w:rPr>
            </w:pPr>
          </w:p>
        </w:tc>
        <w:tc>
          <w:tcPr>
            <w:tcW w:w="1128" w:type="dxa"/>
            <w:tcBorders>
              <w:top w:val="single" w:color="auto" w:sz="8" w:space="0"/>
              <w:left w:val="single" w:color="auto" w:sz="4" w:space="0"/>
              <w:bottom w:val="single" w:color="auto" w:sz="8" w:space="0"/>
              <w:right w:val="single" w:color="auto" w:sz="4" w:space="0"/>
            </w:tcBorders>
            <w:noWrap w:val="0"/>
            <w:vAlign w:val="center"/>
          </w:tcPr>
          <w:p>
            <w:pPr>
              <w:pStyle w:val="59"/>
              <w:widowControl/>
              <w:spacing w:line="276" w:lineRule="auto"/>
              <w:jc w:val="center"/>
              <w:rPr>
                <w:rFonts w:ascii="宋体" w:hAnsi="宋体" w:cs="宋体"/>
                <w:color w:val="auto"/>
                <w:kern w:val="0"/>
                <w:szCs w:val="21"/>
              </w:rPr>
            </w:pPr>
            <w:r>
              <w:rPr>
                <w:rFonts w:hint="eastAsia" w:ascii="宋体" w:hAnsi="宋体" w:cs="宋体"/>
                <w:color w:val="auto"/>
                <w:kern w:val="0"/>
                <w:szCs w:val="21"/>
              </w:rPr>
              <w:t>邮    编</w:t>
            </w:r>
          </w:p>
        </w:tc>
        <w:tc>
          <w:tcPr>
            <w:tcW w:w="2042" w:type="dxa"/>
            <w:tcBorders>
              <w:top w:val="single" w:color="auto" w:sz="8" w:space="0"/>
              <w:left w:val="single" w:color="auto" w:sz="4" w:space="0"/>
              <w:bottom w:val="single" w:color="auto" w:sz="8" w:space="0"/>
              <w:right w:val="single" w:color="000000" w:sz="8" w:space="0"/>
            </w:tcBorders>
            <w:noWrap w:val="0"/>
            <w:vAlign w:val="center"/>
          </w:tcPr>
          <w:p>
            <w:pPr>
              <w:pStyle w:val="59"/>
              <w:widowControl/>
              <w:spacing w:line="276" w:lineRule="auto"/>
              <w:jc w:val="center"/>
              <w:rPr>
                <w:rFonts w:ascii="宋体" w:hAnsi="宋体" w:cs="宋体"/>
                <w:color w:val="auto"/>
                <w:kern w:val="0"/>
                <w:szCs w:val="21"/>
              </w:rPr>
            </w:pPr>
          </w:p>
        </w:tc>
      </w:tr>
      <w:tr>
        <w:tblPrEx>
          <w:tblCellMar>
            <w:top w:w="0" w:type="dxa"/>
            <w:left w:w="108" w:type="dxa"/>
            <w:bottom w:w="0" w:type="dxa"/>
            <w:right w:w="108" w:type="dxa"/>
          </w:tblCellMar>
        </w:tblPrEx>
        <w:trPr>
          <w:trHeight w:val="540" w:hRule="atLeast"/>
          <w:jc w:val="center"/>
        </w:trPr>
        <w:tc>
          <w:tcPr>
            <w:tcW w:w="1765" w:type="dxa"/>
            <w:tcBorders>
              <w:top w:val="nil"/>
              <w:left w:val="single" w:color="auto" w:sz="8" w:space="0"/>
              <w:bottom w:val="single" w:color="auto" w:sz="8" w:space="0"/>
              <w:right w:val="single" w:color="auto" w:sz="8" w:space="0"/>
            </w:tcBorders>
            <w:noWrap w:val="0"/>
            <w:vAlign w:val="center"/>
          </w:tcPr>
          <w:p>
            <w:pPr>
              <w:pStyle w:val="59"/>
              <w:widowControl/>
              <w:spacing w:line="276" w:lineRule="auto"/>
              <w:jc w:val="center"/>
              <w:rPr>
                <w:rFonts w:hint="eastAsia" w:ascii="宋体" w:hAnsi="宋体" w:cs="宋体"/>
                <w:color w:val="auto"/>
                <w:kern w:val="0"/>
                <w:szCs w:val="21"/>
              </w:rPr>
            </w:pPr>
            <w:r>
              <w:rPr>
                <w:rFonts w:hint="eastAsia"/>
                <w:color w:val="auto"/>
                <w:szCs w:val="21"/>
              </w:rPr>
              <w:t>企业网址</w:t>
            </w:r>
          </w:p>
        </w:tc>
        <w:tc>
          <w:tcPr>
            <w:tcW w:w="8184" w:type="dxa"/>
            <w:gridSpan w:val="8"/>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ascii="宋体" w:hAnsi="宋体" w:cs="宋体"/>
                <w:color w:val="auto"/>
                <w:kern w:val="0"/>
                <w:szCs w:val="21"/>
              </w:rPr>
            </w:pPr>
          </w:p>
        </w:tc>
      </w:tr>
      <w:tr>
        <w:tblPrEx>
          <w:tblCellMar>
            <w:top w:w="0" w:type="dxa"/>
            <w:left w:w="108" w:type="dxa"/>
            <w:bottom w:w="0" w:type="dxa"/>
            <w:right w:w="108" w:type="dxa"/>
          </w:tblCellMar>
        </w:tblPrEx>
        <w:trPr>
          <w:trHeight w:val="540" w:hRule="atLeast"/>
          <w:jc w:val="center"/>
        </w:trPr>
        <w:tc>
          <w:tcPr>
            <w:tcW w:w="1765" w:type="dxa"/>
            <w:tcBorders>
              <w:top w:val="nil"/>
              <w:left w:val="single" w:color="auto" w:sz="8" w:space="0"/>
              <w:bottom w:val="single" w:color="auto" w:sz="8" w:space="0"/>
              <w:right w:val="single" w:color="auto" w:sz="8" w:space="0"/>
            </w:tcBorders>
            <w:noWrap w:val="0"/>
            <w:vAlign w:val="center"/>
          </w:tcPr>
          <w:p>
            <w:pPr>
              <w:pStyle w:val="59"/>
              <w:widowControl/>
              <w:spacing w:line="276" w:lineRule="auto"/>
              <w:jc w:val="center"/>
              <w:rPr>
                <w:rFonts w:ascii="宋体" w:hAnsi="宋体" w:cs="宋体"/>
                <w:color w:val="auto"/>
                <w:kern w:val="0"/>
                <w:szCs w:val="21"/>
              </w:rPr>
            </w:pPr>
            <w:r>
              <w:rPr>
                <w:rFonts w:hint="eastAsia" w:ascii="宋体" w:hAnsi="宋体" w:cs="宋体"/>
                <w:color w:val="auto"/>
                <w:kern w:val="0"/>
                <w:szCs w:val="21"/>
              </w:rPr>
              <w:t>法人代表</w:t>
            </w:r>
          </w:p>
        </w:tc>
        <w:tc>
          <w:tcPr>
            <w:tcW w:w="1954" w:type="dxa"/>
            <w:gridSpan w:val="2"/>
            <w:tcBorders>
              <w:top w:val="nil"/>
              <w:left w:val="nil"/>
              <w:bottom w:val="single" w:color="auto" w:sz="8" w:space="0"/>
              <w:right w:val="single" w:color="auto" w:sz="8" w:space="0"/>
            </w:tcBorders>
            <w:noWrap w:val="0"/>
            <w:vAlign w:val="center"/>
          </w:tcPr>
          <w:p>
            <w:pPr>
              <w:pStyle w:val="59"/>
              <w:widowControl/>
              <w:spacing w:line="276" w:lineRule="auto"/>
              <w:jc w:val="center"/>
              <w:rPr>
                <w:rFonts w:ascii="宋体" w:hAnsi="宋体" w:cs="宋体"/>
                <w:color w:val="auto"/>
                <w:kern w:val="0"/>
                <w:szCs w:val="21"/>
              </w:rPr>
            </w:pPr>
          </w:p>
        </w:tc>
        <w:tc>
          <w:tcPr>
            <w:tcW w:w="1316" w:type="dxa"/>
            <w:gridSpan w:val="2"/>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hint="eastAsia" w:ascii="宋体" w:hAnsi="宋体" w:cs="宋体"/>
                <w:color w:val="auto"/>
                <w:kern w:val="0"/>
                <w:szCs w:val="21"/>
              </w:rPr>
            </w:pPr>
            <w:r>
              <w:rPr>
                <w:rFonts w:hint="eastAsia" w:ascii="宋体" w:hAnsi="宋体" w:cs="宋体"/>
                <w:color w:val="auto"/>
                <w:kern w:val="0"/>
                <w:szCs w:val="21"/>
              </w:rPr>
              <w:t>法人代表身份证号码</w:t>
            </w:r>
          </w:p>
        </w:tc>
        <w:tc>
          <w:tcPr>
            <w:tcW w:w="1744" w:type="dxa"/>
            <w:gridSpan w:val="2"/>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ascii="宋体" w:hAnsi="宋体" w:cs="宋体"/>
                <w:color w:val="auto"/>
                <w:kern w:val="0"/>
                <w:szCs w:val="21"/>
              </w:rPr>
            </w:pPr>
          </w:p>
        </w:tc>
        <w:tc>
          <w:tcPr>
            <w:tcW w:w="1128" w:type="dxa"/>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hint="eastAsia" w:ascii="宋体" w:hAnsi="宋体" w:cs="宋体"/>
                <w:color w:val="auto"/>
                <w:kern w:val="0"/>
                <w:szCs w:val="21"/>
              </w:rPr>
            </w:pPr>
            <w:r>
              <w:rPr>
                <w:rFonts w:hint="eastAsia" w:ascii="宋体" w:hAnsi="宋体" w:cs="宋体"/>
                <w:color w:val="auto"/>
                <w:kern w:val="0"/>
                <w:szCs w:val="21"/>
              </w:rPr>
              <w:t>联系电话</w:t>
            </w:r>
          </w:p>
        </w:tc>
        <w:tc>
          <w:tcPr>
            <w:tcW w:w="2042" w:type="dxa"/>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ascii="宋体" w:hAnsi="宋体" w:cs="宋体"/>
                <w:color w:val="auto"/>
                <w:kern w:val="0"/>
                <w:szCs w:val="21"/>
              </w:rPr>
            </w:pPr>
          </w:p>
        </w:tc>
      </w:tr>
      <w:tr>
        <w:tblPrEx>
          <w:tblCellMar>
            <w:top w:w="0" w:type="dxa"/>
            <w:left w:w="108" w:type="dxa"/>
            <w:bottom w:w="0" w:type="dxa"/>
            <w:right w:w="108" w:type="dxa"/>
          </w:tblCellMar>
        </w:tblPrEx>
        <w:trPr>
          <w:trHeight w:val="540" w:hRule="atLeast"/>
          <w:jc w:val="center"/>
        </w:trPr>
        <w:tc>
          <w:tcPr>
            <w:tcW w:w="1765" w:type="dxa"/>
            <w:tcBorders>
              <w:top w:val="nil"/>
              <w:left w:val="single" w:color="auto" w:sz="8" w:space="0"/>
              <w:bottom w:val="single" w:color="auto" w:sz="8" w:space="0"/>
              <w:right w:val="single" w:color="auto" w:sz="8" w:space="0"/>
            </w:tcBorders>
            <w:noWrap w:val="0"/>
            <w:vAlign w:val="center"/>
          </w:tcPr>
          <w:p>
            <w:pPr>
              <w:pStyle w:val="59"/>
              <w:widowControl/>
              <w:spacing w:line="276" w:lineRule="auto"/>
              <w:jc w:val="center"/>
              <w:rPr>
                <w:rFonts w:hint="eastAsia" w:ascii="宋体" w:hAnsi="宋体" w:cs="宋体"/>
                <w:color w:val="auto"/>
                <w:kern w:val="0"/>
                <w:szCs w:val="21"/>
              </w:rPr>
            </w:pPr>
            <w:r>
              <w:rPr>
                <w:rFonts w:hint="eastAsia" w:ascii="宋体" w:hAnsi="宋体" w:cs="宋体"/>
                <w:color w:val="auto"/>
                <w:kern w:val="0"/>
                <w:szCs w:val="21"/>
              </w:rPr>
              <w:t>业务联系人</w:t>
            </w:r>
          </w:p>
        </w:tc>
        <w:tc>
          <w:tcPr>
            <w:tcW w:w="1954" w:type="dxa"/>
            <w:gridSpan w:val="2"/>
            <w:tcBorders>
              <w:top w:val="nil"/>
              <w:left w:val="nil"/>
              <w:bottom w:val="single" w:color="auto" w:sz="8" w:space="0"/>
              <w:right w:val="single" w:color="auto" w:sz="8" w:space="0"/>
            </w:tcBorders>
            <w:noWrap w:val="0"/>
            <w:vAlign w:val="center"/>
          </w:tcPr>
          <w:p>
            <w:pPr>
              <w:pStyle w:val="59"/>
              <w:widowControl/>
              <w:spacing w:line="276" w:lineRule="auto"/>
              <w:jc w:val="center"/>
              <w:rPr>
                <w:rFonts w:ascii="宋体" w:hAnsi="宋体" w:cs="宋体"/>
                <w:color w:val="auto"/>
                <w:kern w:val="0"/>
                <w:szCs w:val="21"/>
              </w:rPr>
            </w:pPr>
          </w:p>
        </w:tc>
        <w:tc>
          <w:tcPr>
            <w:tcW w:w="1316" w:type="dxa"/>
            <w:gridSpan w:val="2"/>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hint="eastAsia" w:ascii="宋体" w:hAnsi="宋体" w:cs="宋体"/>
                <w:color w:val="auto"/>
                <w:kern w:val="0"/>
                <w:szCs w:val="21"/>
              </w:rPr>
            </w:pPr>
            <w:r>
              <w:rPr>
                <w:rFonts w:hint="eastAsia" w:ascii="宋体" w:hAnsi="宋体" w:cs="宋体"/>
                <w:color w:val="auto"/>
                <w:kern w:val="0"/>
                <w:szCs w:val="21"/>
              </w:rPr>
              <w:t>联系人身份证号码</w:t>
            </w:r>
          </w:p>
        </w:tc>
        <w:tc>
          <w:tcPr>
            <w:tcW w:w="1744" w:type="dxa"/>
            <w:gridSpan w:val="2"/>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ascii="宋体" w:hAnsi="宋体" w:cs="宋体"/>
                <w:color w:val="auto"/>
                <w:kern w:val="0"/>
                <w:szCs w:val="21"/>
              </w:rPr>
            </w:pPr>
          </w:p>
        </w:tc>
        <w:tc>
          <w:tcPr>
            <w:tcW w:w="1128" w:type="dxa"/>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hint="eastAsia" w:ascii="宋体" w:hAnsi="宋体" w:cs="宋体"/>
                <w:color w:val="auto"/>
                <w:kern w:val="0"/>
                <w:szCs w:val="21"/>
              </w:rPr>
            </w:pPr>
            <w:r>
              <w:rPr>
                <w:rFonts w:hint="eastAsia" w:ascii="宋体" w:hAnsi="宋体" w:cs="宋体"/>
                <w:color w:val="auto"/>
                <w:kern w:val="0"/>
                <w:szCs w:val="21"/>
              </w:rPr>
              <w:t>职 务</w:t>
            </w:r>
          </w:p>
        </w:tc>
        <w:tc>
          <w:tcPr>
            <w:tcW w:w="2042" w:type="dxa"/>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ascii="宋体" w:hAnsi="宋体" w:cs="宋体"/>
                <w:color w:val="auto"/>
                <w:kern w:val="0"/>
                <w:szCs w:val="21"/>
              </w:rPr>
            </w:pPr>
          </w:p>
        </w:tc>
      </w:tr>
      <w:tr>
        <w:tblPrEx>
          <w:tblCellMar>
            <w:top w:w="0" w:type="dxa"/>
            <w:left w:w="108" w:type="dxa"/>
            <w:bottom w:w="0" w:type="dxa"/>
            <w:right w:w="108" w:type="dxa"/>
          </w:tblCellMar>
        </w:tblPrEx>
        <w:trPr>
          <w:trHeight w:val="540" w:hRule="atLeast"/>
          <w:jc w:val="center"/>
        </w:trPr>
        <w:tc>
          <w:tcPr>
            <w:tcW w:w="1765" w:type="dxa"/>
            <w:tcBorders>
              <w:top w:val="nil"/>
              <w:left w:val="single" w:color="auto" w:sz="8" w:space="0"/>
              <w:bottom w:val="single" w:color="auto" w:sz="8" w:space="0"/>
              <w:right w:val="single" w:color="auto" w:sz="8" w:space="0"/>
            </w:tcBorders>
            <w:noWrap w:val="0"/>
            <w:vAlign w:val="center"/>
          </w:tcPr>
          <w:p>
            <w:pPr>
              <w:pStyle w:val="59"/>
              <w:widowControl/>
              <w:spacing w:line="276" w:lineRule="auto"/>
              <w:jc w:val="center"/>
              <w:rPr>
                <w:rFonts w:hint="eastAsia" w:ascii="宋体" w:hAnsi="宋体" w:cs="宋体"/>
                <w:color w:val="auto"/>
                <w:kern w:val="0"/>
                <w:szCs w:val="21"/>
              </w:rPr>
            </w:pPr>
            <w:r>
              <w:rPr>
                <w:rFonts w:hint="eastAsia" w:ascii="宋体" w:hAnsi="宋体" w:cs="宋体"/>
                <w:color w:val="auto"/>
                <w:kern w:val="0"/>
                <w:szCs w:val="21"/>
              </w:rPr>
              <w:t>电    话</w:t>
            </w:r>
          </w:p>
        </w:tc>
        <w:tc>
          <w:tcPr>
            <w:tcW w:w="1954" w:type="dxa"/>
            <w:gridSpan w:val="2"/>
            <w:tcBorders>
              <w:top w:val="nil"/>
              <w:left w:val="nil"/>
              <w:bottom w:val="single" w:color="auto" w:sz="8" w:space="0"/>
              <w:right w:val="single" w:color="auto" w:sz="8" w:space="0"/>
            </w:tcBorders>
            <w:noWrap w:val="0"/>
            <w:vAlign w:val="center"/>
          </w:tcPr>
          <w:p>
            <w:pPr>
              <w:pStyle w:val="59"/>
              <w:widowControl/>
              <w:spacing w:line="276" w:lineRule="auto"/>
              <w:jc w:val="center"/>
              <w:rPr>
                <w:rFonts w:ascii="宋体" w:hAnsi="宋体" w:cs="宋体"/>
                <w:color w:val="auto"/>
                <w:kern w:val="0"/>
                <w:szCs w:val="21"/>
              </w:rPr>
            </w:pPr>
          </w:p>
        </w:tc>
        <w:tc>
          <w:tcPr>
            <w:tcW w:w="1316" w:type="dxa"/>
            <w:gridSpan w:val="2"/>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hint="eastAsia" w:ascii="宋体" w:hAnsi="宋体" w:cs="宋体"/>
                <w:color w:val="auto"/>
                <w:kern w:val="0"/>
                <w:szCs w:val="21"/>
              </w:rPr>
            </w:pPr>
            <w:r>
              <w:rPr>
                <w:rFonts w:hint="eastAsia" w:ascii="宋体" w:hAnsi="宋体" w:cs="宋体"/>
                <w:color w:val="auto"/>
                <w:kern w:val="0"/>
                <w:szCs w:val="21"/>
              </w:rPr>
              <w:t>手机</w:t>
            </w:r>
          </w:p>
        </w:tc>
        <w:tc>
          <w:tcPr>
            <w:tcW w:w="1744" w:type="dxa"/>
            <w:gridSpan w:val="2"/>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ascii="宋体" w:hAnsi="宋体" w:cs="宋体"/>
                <w:color w:val="auto"/>
                <w:kern w:val="0"/>
                <w:szCs w:val="21"/>
              </w:rPr>
            </w:pPr>
          </w:p>
        </w:tc>
        <w:tc>
          <w:tcPr>
            <w:tcW w:w="1128" w:type="dxa"/>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hint="eastAsia" w:ascii="宋体" w:hAnsi="宋体" w:cs="宋体"/>
                <w:color w:val="auto"/>
                <w:kern w:val="0"/>
                <w:szCs w:val="21"/>
              </w:rPr>
            </w:pPr>
            <w:r>
              <w:rPr>
                <w:rFonts w:hint="eastAsia" w:ascii="宋体" w:hAnsi="宋体" w:cs="宋体"/>
                <w:color w:val="auto"/>
                <w:kern w:val="0"/>
                <w:szCs w:val="21"/>
              </w:rPr>
              <w:t>传 真</w:t>
            </w:r>
          </w:p>
        </w:tc>
        <w:tc>
          <w:tcPr>
            <w:tcW w:w="2042" w:type="dxa"/>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ascii="宋体" w:hAnsi="宋体" w:cs="宋体"/>
                <w:color w:val="auto"/>
                <w:kern w:val="0"/>
                <w:szCs w:val="21"/>
              </w:rPr>
            </w:pPr>
          </w:p>
        </w:tc>
      </w:tr>
      <w:tr>
        <w:tblPrEx>
          <w:tblCellMar>
            <w:top w:w="0" w:type="dxa"/>
            <w:left w:w="108" w:type="dxa"/>
            <w:bottom w:w="0" w:type="dxa"/>
            <w:right w:w="108" w:type="dxa"/>
          </w:tblCellMar>
        </w:tblPrEx>
        <w:trPr>
          <w:trHeight w:val="540" w:hRule="atLeast"/>
          <w:jc w:val="center"/>
        </w:trPr>
        <w:tc>
          <w:tcPr>
            <w:tcW w:w="1765" w:type="dxa"/>
            <w:tcBorders>
              <w:top w:val="nil"/>
              <w:left w:val="single" w:color="auto" w:sz="8" w:space="0"/>
              <w:bottom w:val="single" w:color="auto" w:sz="8" w:space="0"/>
              <w:right w:val="single" w:color="auto" w:sz="8" w:space="0"/>
            </w:tcBorders>
            <w:noWrap w:val="0"/>
            <w:vAlign w:val="center"/>
          </w:tcPr>
          <w:p>
            <w:pPr>
              <w:pStyle w:val="59"/>
              <w:widowControl/>
              <w:spacing w:line="276" w:lineRule="auto"/>
              <w:jc w:val="center"/>
              <w:rPr>
                <w:rFonts w:hint="eastAsia" w:ascii="宋体" w:hAnsi="宋体" w:cs="宋体"/>
                <w:color w:val="auto"/>
                <w:kern w:val="0"/>
                <w:szCs w:val="21"/>
              </w:rPr>
            </w:pPr>
            <w:r>
              <w:rPr>
                <w:rFonts w:hint="eastAsia" w:ascii="宋体" w:hAnsi="宋体" w:cs="宋体"/>
                <w:color w:val="auto"/>
                <w:kern w:val="0"/>
                <w:szCs w:val="21"/>
              </w:rPr>
              <w:t>财务联系人</w:t>
            </w:r>
          </w:p>
        </w:tc>
        <w:tc>
          <w:tcPr>
            <w:tcW w:w="1954" w:type="dxa"/>
            <w:gridSpan w:val="2"/>
            <w:tcBorders>
              <w:top w:val="nil"/>
              <w:left w:val="nil"/>
              <w:bottom w:val="single" w:color="auto" w:sz="8" w:space="0"/>
              <w:right w:val="single" w:color="auto" w:sz="8" w:space="0"/>
            </w:tcBorders>
            <w:noWrap w:val="0"/>
            <w:vAlign w:val="center"/>
          </w:tcPr>
          <w:p>
            <w:pPr>
              <w:pStyle w:val="59"/>
              <w:widowControl/>
              <w:spacing w:line="276" w:lineRule="auto"/>
              <w:jc w:val="center"/>
              <w:rPr>
                <w:rFonts w:ascii="宋体" w:hAnsi="宋体" w:cs="宋体"/>
                <w:color w:val="auto"/>
                <w:kern w:val="0"/>
                <w:szCs w:val="21"/>
              </w:rPr>
            </w:pPr>
          </w:p>
        </w:tc>
        <w:tc>
          <w:tcPr>
            <w:tcW w:w="1316" w:type="dxa"/>
            <w:gridSpan w:val="2"/>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hint="eastAsia" w:ascii="宋体" w:hAnsi="宋体" w:cs="宋体"/>
                <w:color w:val="auto"/>
                <w:kern w:val="0"/>
                <w:szCs w:val="21"/>
              </w:rPr>
            </w:pPr>
            <w:r>
              <w:rPr>
                <w:rFonts w:hint="eastAsia" w:ascii="宋体" w:hAnsi="宋体" w:cs="宋体"/>
                <w:color w:val="auto"/>
                <w:kern w:val="0"/>
                <w:szCs w:val="21"/>
              </w:rPr>
              <w:t>联系人身份证号码</w:t>
            </w:r>
          </w:p>
        </w:tc>
        <w:tc>
          <w:tcPr>
            <w:tcW w:w="1744" w:type="dxa"/>
            <w:gridSpan w:val="2"/>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ascii="宋体" w:hAnsi="宋体" w:cs="宋体"/>
                <w:color w:val="auto"/>
                <w:kern w:val="0"/>
                <w:szCs w:val="21"/>
              </w:rPr>
            </w:pPr>
          </w:p>
        </w:tc>
        <w:tc>
          <w:tcPr>
            <w:tcW w:w="1128" w:type="dxa"/>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hint="eastAsia" w:ascii="宋体" w:hAnsi="宋体" w:cs="宋体"/>
                <w:color w:val="auto"/>
                <w:kern w:val="0"/>
                <w:szCs w:val="21"/>
              </w:rPr>
            </w:pPr>
            <w:r>
              <w:rPr>
                <w:rFonts w:hint="eastAsia" w:ascii="宋体" w:hAnsi="宋体" w:cs="宋体"/>
                <w:color w:val="auto"/>
                <w:kern w:val="0"/>
                <w:szCs w:val="21"/>
              </w:rPr>
              <w:t>职 务</w:t>
            </w:r>
          </w:p>
        </w:tc>
        <w:tc>
          <w:tcPr>
            <w:tcW w:w="2042" w:type="dxa"/>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ascii="宋体" w:hAnsi="宋体" w:cs="宋体"/>
                <w:color w:val="auto"/>
                <w:kern w:val="0"/>
                <w:szCs w:val="21"/>
              </w:rPr>
            </w:pPr>
          </w:p>
        </w:tc>
      </w:tr>
      <w:tr>
        <w:tblPrEx>
          <w:tblCellMar>
            <w:top w:w="0" w:type="dxa"/>
            <w:left w:w="108" w:type="dxa"/>
            <w:bottom w:w="0" w:type="dxa"/>
            <w:right w:w="108" w:type="dxa"/>
          </w:tblCellMar>
        </w:tblPrEx>
        <w:trPr>
          <w:trHeight w:val="540" w:hRule="atLeast"/>
          <w:jc w:val="center"/>
        </w:trPr>
        <w:tc>
          <w:tcPr>
            <w:tcW w:w="1765" w:type="dxa"/>
            <w:tcBorders>
              <w:top w:val="nil"/>
              <w:left w:val="single" w:color="auto" w:sz="8" w:space="0"/>
              <w:bottom w:val="single" w:color="auto" w:sz="8" w:space="0"/>
              <w:right w:val="single" w:color="auto" w:sz="8" w:space="0"/>
            </w:tcBorders>
            <w:noWrap w:val="0"/>
            <w:vAlign w:val="center"/>
          </w:tcPr>
          <w:p>
            <w:pPr>
              <w:pStyle w:val="59"/>
              <w:widowControl/>
              <w:spacing w:line="276" w:lineRule="auto"/>
              <w:jc w:val="center"/>
              <w:rPr>
                <w:rFonts w:hint="eastAsia" w:ascii="宋体" w:hAnsi="宋体" w:cs="宋体"/>
                <w:color w:val="auto"/>
                <w:kern w:val="0"/>
                <w:szCs w:val="21"/>
              </w:rPr>
            </w:pPr>
            <w:r>
              <w:rPr>
                <w:rFonts w:hint="eastAsia" w:ascii="宋体" w:hAnsi="宋体" w:cs="宋体"/>
                <w:color w:val="auto"/>
                <w:kern w:val="0"/>
                <w:szCs w:val="21"/>
              </w:rPr>
              <w:t>电    话</w:t>
            </w:r>
          </w:p>
        </w:tc>
        <w:tc>
          <w:tcPr>
            <w:tcW w:w="1954" w:type="dxa"/>
            <w:gridSpan w:val="2"/>
            <w:tcBorders>
              <w:top w:val="nil"/>
              <w:left w:val="nil"/>
              <w:bottom w:val="single" w:color="auto" w:sz="8" w:space="0"/>
              <w:right w:val="single" w:color="auto" w:sz="8" w:space="0"/>
            </w:tcBorders>
            <w:noWrap w:val="0"/>
            <w:vAlign w:val="center"/>
          </w:tcPr>
          <w:p>
            <w:pPr>
              <w:pStyle w:val="59"/>
              <w:widowControl/>
              <w:spacing w:line="276" w:lineRule="auto"/>
              <w:jc w:val="center"/>
              <w:rPr>
                <w:rFonts w:ascii="宋体" w:hAnsi="宋体" w:cs="宋体"/>
                <w:color w:val="auto"/>
                <w:kern w:val="0"/>
                <w:szCs w:val="21"/>
              </w:rPr>
            </w:pPr>
          </w:p>
        </w:tc>
        <w:tc>
          <w:tcPr>
            <w:tcW w:w="1316" w:type="dxa"/>
            <w:gridSpan w:val="2"/>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hint="eastAsia" w:ascii="宋体" w:hAnsi="宋体" w:cs="宋体"/>
                <w:color w:val="auto"/>
                <w:kern w:val="0"/>
                <w:szCs w:val="21"/>
              </w:rPr>
            </w:pPr>
            <w:r>
              <w:rPr>
                <w:rFonts w:hint="eastAsia" w:ascii="宋体" w:hAnsi="宋体" w:cs="宋体"/>
                <w:color w:val="auto"/>
                <w:kern w:val="0"/>
                <w:szCs w:val="21"/>
              </w:rPr>
              <w:t>手机</w:t>
            </w:r>
          </w:p>
        </w:tc>
        <w:tc>
          <w:tcPr>
            <w:tcW w:w="1744" w:type="dxa"/>
            <w:gridSpan w:val="2"/>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ascii="宋体" w:hAnsi="宋体" w:cs="宋体"/>
                <w:color w:val="auto"/>
                <w:kern w:val="0"/>
                <w:szCs w:val="21"/>
              </w:rPr>
            </w:pPr>
          </w:p>
        </w:tc>
        <w:tc>
          <w:tcPr>
            <w:tcW w:w="1128" w:type="dxa"/>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hint="eastAsia" w:ascii="宋体" w:hAnsi="宋体" w:cs="宋体"/>
                <w:color w:val="auto"/>
                <w:kern w:val="0"/>
                <w:szCs w:val="21"/>
              </w:rPr>
            </w:pPr>
            <w:r>
              <w:rPr>
                <w:rFonts w:hint="eastAsia" w:ascii="宋体" w:hAnsi="宋体" w:cs="宋体"/>
                <w:color w:val="auto"/>
                <w:kern w:val="0"/>
                <w:szCs w:val="21"/>
              </w:rPr>
              <w:t>传 真</w:t>
            </w:r>
          </w:p>
        </w:tc>
        <w:tc>
          <w:tcPr>
            <w:tcW w:w="2042" w:type="dxa"/>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ascii="宋体" w:hAnsi="宋体" w:cs="宋体"/>
                <w:color w:val="auto"/>
                <w:kern w:val="0"/>
                <w:szCs w:val="21"/>
              </w:rPr>
            </w:pPr>
          </w:p>
        </w:tc>
      </w:tr>
      <w:tr>
        <w:tblPrEx>
          <w:tblCellMar>
            <w:top w:w="0" w:type="dxa"/>
            <w:left w:w="108" w:type="dxa"/>
            <w:bottom w:w="0" w:type="dxa"/>
            <w:right w:w="108" w:type="dxa"/>
          </w:tblCellMar>
        </w:tblPrEx>
        <w:trPr>
          <w:trHeight w:val="90" w:hRule="atLeast"/>
          <w:jc w:val="center"/>
        </w:trPr>
        <w:tc>
          <w:tcPr>
            <w:tcW w:w="1765" w:type="dxa"/>
            <w:tcBorders>
              <w:top w:val="nil"/>
              <w:left w:val="single" w:color="auto" w:sz="8" w:space="0"/>
              <w:bottom w:val="single" w:color="auto" w:sz="8" w:space="0"/>
              <w:right w:val="single" w:color="auto" w:sz="8" w:space="0"/>
            </w:tcBorders>
            <w:noWrap w:val="0"/>
            <w:vAlign w:val="center"/>
          </w:tcPr>
          <w:p>
            <w:pPr>
              <w:pStyle w:val="59"/>
              <w:widowControl/>
              <w:spacing w:line="276" w:lineRule="auto"/>
              <w:jc w:val="center"/>
              <w:rPr>
                <w:rFonts w:ascii="宋体" w:hAnsi="宋体" w:cs="宋体"/>
                <w:color w:val="auto"/>
                <w:kern w:val="0"/>
                <w:szCs w:val="21"/>
              </w:rPr>
            </w:pPr>
            <w:r>
              <w:rPr>
                <w:rFonts w:hint="eastAsia" w:ascii="宋体" w:hAnsi="宋体" w:cs="宋体"/>
                <w:color w:val="auto"/>
                <w:kern w:val="0"/>
                <w:szCs w:val="21"/>
              </w:rPr>
              <w:t>单位简介及机构设置</w:t>
            </w:r>
          </w:p>
        </w:tc>
        <w:tc>
          <w:tcPr>
            <w:tcW w:w="8184" w:type="dxa"/>
            <w:gridSpan w:val="8"/>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ascii="宋体" w:hAnsi="宋体" w:cs="宋体"/>
                <w:color w:val="auto"/>
                <w:kern w:val="0"/>
                <w:szCs w:val="21"/>
              </w:rPr>
            </w:pPr>
          </w:p>
        </w:tc>
      </w:tr>
      <w:tr>
        <w:tblPrEx>
          <w:tblCellMar>
            <w:top w:w="0" w:type="dxa"/>
            <w:left w:w="108" w:type="dxa"/>
            <w:bottom w:w="0" w:type="dxa"/>
            <w:right w:w="108" w:type="dxa"/>
          </w:tblCellMar>
        </w:tblPrEx>
        <w:trPr>
          <w:trHeight w:val="1080" w:hRule="atLeast"/>
          <w:jc w:val="center"/>
        </w:trPr>
        <w:tc>
          <w:tcPr>
            <w:tcW w:w="1765" w:type="dxa"/>
            <w:tcBorders>
              <w:top w:val="nil"/>
              <w:left w:val="single" w:color="auto" w:sz="8" w:space="0"/>
              <w:bottom w:val="single" w:color="auto" w:sz="8" w:space="0"/>
              <w:right w:val="single" w:color="auto" w:sz="8" w:space="0"/>
            </w:tcBorders>
            <w:noWrap w:val="0"/>
            <w:vAlign w:val="center"/>
          </w:tcPr>
          <w:p>
            <w:pPr>
              <w:pStyle w:val="59"/>
              <w:widowControl/>
              <w:spacing w:line="276" w:lineRule="auto"/>
              <w:jc w:val="center"/>
              <w:rPr>
                <w:rFonts w:ascii="宋体" w:hAnsi="宋体" w:cs="宋体"/>
                <w:color w:val="auto"/>
                <w:kern w:val="0"/>
                <w:szCs w:val="21"/>
              </w:rPr>
            </w:pPr>
            <w:r>
              <w:rPr>
                <w:rFonts w:hint="eastAsia" w:ascii="宋体" w:hAnsi="宋体" w:cs="宋体"/>
                <w:color w:val="auto"/>
                <w:kern w:val="0"/>
                <w:szCs w:val="21"/>
              </w:rPr>
              <w:t>主营业务介绍</w:t>
            </w:r>
          </w:p>
        </w:tc>
        <w:tc>
          <w:tcPr>
            <w:tcW w:w="8184" w:type="dxa"/>
            <w:gridSpan w:val="8"/>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ascii="宋体" w:hAnsi="宋体" w:cs="宋体"/>
                <w:color w:val="auto"/>
                <w:kern w:val="0"/>
                <w:szCs w:val="21"/>
              </w:rPr>
            </w:pPr>
          </w:p>
        </w:tc>
      </w:tr>
      <w:tr>
        <w:tblPrEx>
          <w:tblCellMar>
            <w:top w:w="0" w:type="dxa"/>
            <w:left w:w="108" w:type="dxa"/>
            <w:bottom w:w="0" w:type="dxa"/>
            <w:right w:w="108" w:type="dxa"/>
          </w:tblCellMar>
        </w:tblPrEx>
        <w:trPr>
          <w:trHeight w:val="443" w:hRule="atLeast"/>
          <w:jc w:val="center"/>
        </w:trPr>
        <w:tc>
          <w:tcPr>
            <w:tcW w:w="1765" w:type="dxa"/>
            <w:vMerge w:val="restart"/>
            <w:tcBorders>
              <w:top w:val="nil"/>
              <w:left w:val="single" w:color="auto" w:sz="8" w:space="0"/>
              <w:bottom w:val="single" w:color="000000" w:sz="8" w:space="0"/>
              <w:right w:val="single" w:color="auto" w:sz="8" w:space="0"/>
            </w:tcBorders>
            <w:noWrap w:val="0"/>
            <w:vAlign w:val="center"/>
          </w:tcPr>
          <w:p>
            <w:pPr>
              <w:pStyle w:val="59"/>
              <w:widowControl/>
              <w:spacing w:line="276" w:lineRule="auto"/>
              <w:jc w:val="center"/>
              <w:rPr>
                <w:rFonts w:ascii="宋体" w:hAnsi="宋体" w:cs="宋体"/>
                <w:color w:val="auto"/>
                <w:kern w:val="0"/>
                <w:szCs w:val="21"/>
              </w:rPr>
            </w:pPr>
            <w:r>
              <w:rPr>
                <w:rFonts w:hint="eastAsia" w:ascii="宋体" w:hAnsi="宋体" w:cs="宋体"/>
                <w:color w:val="auto"/>
                <w:kern w:val="0"/>
                <w:szCs w:val="21"/>
              </w:rPr>
              <w:t>单位概况</w:t>
            </w:r>
          </w:p>
        </w:tc>
        <w:tc>
          <w:tcPr>
            <w:tcW w:w="1183" w:type="dxa"/>
            <w:tcBorders>
              <w:top w:val="nil"/>
              <w:left w:val="nil"/>
              <w:bottom w:val="single" w:color="auto" w:sz="8" w:space="0"/>
              <w:right w:val="single" w:color="auto" w:sz="8" w:space="0"/>
            </w:tcBorders>
            <w:noWrap w:val="0"/>
            <w:vAlign w:val="center"/>
          </w:tcPr>
          <w:p>
            <w:pPr>
              <w:pStyle w:val="59"/>
              <w:widowControl/>
              <w:spacing w:line="276" w:lineRule="auto"/>
              <w:jc w:val="center"/>
              <w:rPr>
                <w:rFonts w:ascii="宋体" w:hAnsi="宋体" w:cs="宋体"/>
                <w:color w:val="auto"/>
                <w:kern w:val="0"/>
                <w:szCs w:val="21"/>
              </w:rPr>
            </w:pPr>
            <w:r>
              <w:rPr>
                <w:rFonts w:hint="eastAsia" w:ascii="宋体" w:hAnsi="宋体" w:cs="宋体"/>
                <w:color w:val="auto"/>
                <w:kern w:val="0"/>
                <w:szCs w:val="21"/>
              </w:rPr>
              <w:t>注册资本</w:t>
            </w:r>
          </w:p>
        </w:tc>
        <w:tc>
          <w:tcPr>
            <w:tcW w:w="1491" w:type="dxa"/>
            <w:gridSpan w:val="2"/>
            <w:tcBorders>
              <w:top w:val="nil"/>
              <w:left w:val="nil"/>
              <w:bottom w:val="single" w:color="auto" w:sz="8" w:space="0"/>
              <w:right w:val="single" w:color="auto" w:sz="8" w:space="0"/>
            </w:tcBorders>
            <w:noWrap w:val="0"/>
            <w:vAlign w:val="center"/>
          </w:tcPr>
          <w:p>
            <w:pPr>
              <w:pStyle w:val="59"/>
              <w:widowControl/>
              <w:spacing w:line="276" w:lineRule="auto"/>
              <w:jc w:val="right"/>
              <w:rPr>
                <w:rFonts w:ascii="宋体" w:hAnsi="宋体" w:cs="宋体"/>
                <w:color w:val="auto"/>
                <w:kern w:val="0"/>
                <w:szCs w:val="21"/>
              </w:rPr>
            </w:pPr>
            <w:r>
              <w:rPr>
                <w:rFonts w:hint="eastAsia" w:ascii="宋体" w:hAnsi="宋体" w:cs="宋体"/>
                <w:color w:val="auto"/>
                <w:kern w:val="0"/>
                <w:szCs w:val="21"/>
              </w:rPr>
              <w:t>万元</w:t>
            </w:r>
          </w:p>
        </w:tc>
        <w:tc>
          <w:tcPr>
            <w:tcW w:w="1496" w:type="dxa"/>
            <w:gridSpan w:val="2"/>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ascii="宋体" w:hAnsi="宋体" w:cs="宋体"/>
                <w:color w:val="auto"/>
                <w:kern w:val="0"/>
                <w:szCs w:val="21"/>
              </w:rPr>
            </w:pPr>
            <w:r>
              <w:rPr>
                <w:rFonts w:hint="eastAsia" w:ascii="宋体" w:hAnsi="宋体" w:cs="宋体"/>
                <w:color w:val="auto"/>
                <w:kern w:val="0"/>
                <w:szCs w:val="21"/>
              </w:rPr>
              <w:t>占地面积</w:t>
            </w:r>
          </w:p>
        </w:tc>
        <w:tc>
          <w:tcPr>
            <w:tcW w:w="4014" w:type="dxa"/>
            <w:gridSpan w:val="3"/>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ascii="宋体" w:hAnsi="宋体" w:cs="宋体"/>
                <w:color w:val="auto"/>
                <w:kern w:val="0"/>
                <w:szCs w:val="21"/>
              </w:rPr>
            </w:pPr>
            <w:r>
              <w:rPr>
                <w:rFonts w:hint="eastAsia" w:ascii="宋体" w:hAnsi="宋体" w:cs="宋体"/>
                <w:color w:val="auto"/>
                <w:kern w:val="0"/>
                <w:szCs w:val="21"/>
              </w:rPr>
              <w:t>平方米</w:t>
            </w:r>
          </w:p>
        </w:tc>
      </w:tr>
      <w:tr>
        <w:tblPrEx>
          <w:tblCellMar>
            <w:top w:w="0" w:type="dxa"/>
            <w:left w:w="108" w:type="dxa"/>
            <w:bottom w:w="0" w:type="dxa"/>
            <w:right w:w="108" w:type="dxa"/>
          </w:tblCellMar>
        </w:tblPrEx>
        <w:trPr>
          <w:trHeight w:val="450" w:hRule="atLeast"/>
          <w:jc w:val="center"/>
        </w:trPr>
        <w:tc>
          <w:tcPr>
            <w:tcW w:w="1765" w:type="dxa"/>
            <w:vMerge w:val="continue"/>
            <w:tcBorders>
              <w:top w:val="nil"/>
              <w:left w:val="single" w:color="auto" w:sz="8" w:space="0"/>
              <w:bottom w:val="single" w:color="auto" w:sz="4" w:space="0"/>
              <w:right w:val="single" w:color="auto" w:sz="8" w:space="0"/>
            </w:tcBorders>
            <w:noWrap w:val="0"/>
            <w:vAlign w:val="center"/>
          </w:tcPr>
          <w:p>
            <w:pPr>
              <w:pStyle w:val="59"/>
              <w:widowControl/>
              <w:spacing w:line="276" w:lineRule="auto"/>
              <w:jc w:val="center"/>
              <w:rPr>
                <w:rFonts w:ascii="宋体" w:hAnsi="宋体" w:cs="宋体"/>
                <w:color w:val="auto"/>
                <w:kern w:val="0"/>
                <w:szCs w:val="21"/>
              </w:rPr>
            </w:pPr>
          </w:p>
        </w:tc>
        <w:tc>
          <w:tcPr>
            <w:tcW w:w="1183" w:type="dxa"/>
            <w:tcBorders>
              <w:top w:val="nil"/>
              <w:left w:val="nil"/>
              <w:bottom w:val="single" w:color="auto" w:sz="8" w:space="0"/>
              <w:right w:val="single" w:color="auto" w:sz="8" w:space="0"/>
            </w:tcBorders>
            <w:noWrap w:val="0"/>
            <w:vAlign w:val="center"/>
          </w:tcPr>
          <w:p>
            <w:pPr>
              <w:pStyle w:val="59"/>
              <w:widowControl/>
              <w:spacing w:line="276" w:lineRule="auto"/>
              <w:jc w:val="center"/>
              <w:rPr>
                <w:rFonts w:ascii="宋体" w:hAnsi="宋体" w:cs="宋体"/>
                <w:color w:val="auto"/>
                <w:kern w:val="0"/>
                <w:szCs w:val="21"/>
              </w:rPr>
            </w:pPr>
            <w:r>
              <w:rPr>
                <w:rFonts w:hint="eastAsia" w:ascii="宋体" w:hAnsi="宋体" w:cs="宋体"/>
                <w:color w:val="auto"/>
                <w:kern w:val="0"/>
                <w:szCs w:val="21"/>
              </w:rPr>
              <w:t>职工总数</w:t>
            </w:r>
          </w:p>
        </w:tc>
        <w:tc>
          <w:tcPr>
            <w:tcW w:w="1491" w:type="dxa"/>
            <w:gridSpan w:val="2"/>
            <w:tcBorders>
              <w:top w:val="nil"/>
              <w:left w:val="nil"/>
              <w:bottom w:val="single" w:color="auto" w:sz="8" w:space="0"/>
              <w:right w:val="single" w:color="auto" w:sz="8" w:space="0"/>
            </w:tcBorders>
            <w:noWrap w:val="0"/>
            <w:vAlign w:val="center"/>
          </w:tcPr>
          <w:p>
            <w:pPr>
              <w:pStyle w:val="59"/>
              <w:widowControl/>
              <w:spacing w:line="276" w:lineRule="auto"/>
              <w:jc w:val="right"/>
              <w:rPr>
                <w:rFonts w:ascii="宋体" w:hAnsi="宋体" w:cs="宋体"/>
                <w:color w:val="auto"/>
                <w:kern w:val="0"/>
                <w:szCs w:val="21"/>
              </w:rPr>
            </w:pPr>
            <w:r>
              <w:rPr>
                <w:rFonts w:hint="eastAsia" w:ascii="宋体" w:hAnsi="宋体" w:cs="宋体"/>
                <w:color w:val="auto"/>
                <w:kern w:val="0"/>
                <w:szCs w:val="21"/>
              </w:rPr>
              <w:t>人</w:t>
            </w:r>
          </w:p>
        </w:tc>
        <w:tc>
          <w:tcPr>
            <w:tcW w:w="1496" w:type="dxa"/>
            <w:gridSpan w:val="2"/>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ascii="宋体" w:hAnsi="宋体" w:cs="宋体"/>
                <w:color w:val="auto"/>
                <w:kern w:val="0"/>
                <w:szCs w:val="21"/>
              </w:rPr>
            </w:pPr>
            <w:r>
              <w:rPr>
                <w:rFonts w:hint="eastAsia" w:ascii="宋体" w:hAnsi="宋体" w:cs="宋体"/>
                <w:color w:val="auto"/>
                <w:kern w:val="0"/>
                <w:szCs w:val="21"/>
              </w:rPr>
              <w:t>建筑面积</w:t>
            </w:r>
          </w:p>
        </w:tc>
        <w:tc>
          <w:tcPr>
            <w:tcW w:w="4014" w:type="dxa"/>
            <w:gridSpan w:val="3"/>
            <w:tcBorders>
              <w:top w:val="single" w:color="auto" w:sz="8" w:space="0"/>
              <w:left w:val="nil"/>
              <w:bottom w:val="single" w:color="auto" w:sz="8" w:space="0"/>
              <w:right w:val="single" w:color="000000" w:sz="8" w:space="0"/>
            </w:tcBorders>
            <w:noWrap w:val="0"/>
            <w:vAlign w:val="center"/>
          </w:tcPr>
          <w:p>
            <w:pPr>
              <w:pStyle w:val="59"/>
              <w:widowControl/>
              <w:spacing w:line="276" w:lineRule="auto"/>
              <w:jc w:val="center"/>
              <w:rPr>
                <w:rFonts w:ascii="宋体" w:hAnsi="宋体" w:cs="宋体"/>
                <w:color w:val="auto"/>
                <w:kern w:val="0"/>
                <w:szCs w:val="21"/>
              </w:rPr>
            </w:pPr>
            <w:r>
              <w:rPr>
                <w:rFonts w:hint="eastAsia" w:ascii="宋体" w:hAnsi="宋体" w:cs="宋体"/>
                <w:color w:val="auto"/>
                <w:kern w:val="0"/>
                <w:szCs w:val="21"/>
              </w:rPr>
              <w:t>平方米</w:t>
            </w:r>
          </w:p>
        </w:tc>
      </w:tr>
      <w:tr>
        <w:tblPrEx>
          <w:tblCellMar>
            <w:top w:w="0" w:type="dxa"/>
            <w:left w:w="108" w:type="dxa"/>
            <w:bottom w:w="0" w:type="dxa"/>
            <w:right w:w="108" w:type="dxa"/>
          </w:tblCellMar>
        </w:tblPrEx>
        <w:trPr>
          <w:trHeight w:val="1864" w:hRule="atLeast"/>
          <w:jc w:val="center"/>
        </w:trPr>
        <w:tc>
          <w:tcPr>
            <w:tcW w:w="1765" w:type="dxa"/>
            <w:tcBorders>
              <w:top w:val="single" w:color="auto" w:sz="4" w:space="0"/>
              <w:left w:val="single" w:color="auto" w:sz="8" w:space="0"/>
              <w:bottom w:val="single" w:color="auto" w:sz="4" w:space="0"/>
              <w:right w:val="single" w:color="auto" w:sz="8" w:space="0"/>
            </w:tcBorders>
            <w:noWrap w:val="0"/>
            <w:vAlign w:val="center"/>
          </w:tcPr>
          <w:p>
            <w:pPr>
              <w:pStyle w:val="59"/>
              <w:spacing w:line="276" w:lineRule="auto"/>
              <w:jc w:val="center"/>
              <w:rPr>
                <w:rFonts w:hint="eastAsia" w:ascii="宋体" w:hAnsi="宋体" w:cs="宋体"/>
                <w:color w:val="auto"/>
                <w:kern w:val="0"/>
                <w:szCs w:val="21"/>
              </w:rPr>
            </w:pPr>
            <w:r>
              <w:rPr>
                <w:rFonts w:hint="eastAsia" w:ascii="宋体" w:hAnsi="宋体" w:cs="宋体"/>
                <w:color w:val="auto"/>
                <w:kern w:val="0"/>
                <w:szCs w:val="21"/>
              </w:rPr>
              <w:t>分支机构情况</w:t>
            </w:r>
          </w:p>
        </w:tc>
        <w:tc>
          <w:tcPr>
            <w:tcW w:w="8184" w:type="dxa"/>
            <w:gridSpan w:val="8"/>
            <w:tcBorders>
              <w:top w:val="nil"/>
              <w:left w:val="single" w:color="auto" w:sz="8" w:space="0"/>
              <w:bottom w:val="single" w:color="auto" w:sz="4" w:space="0"/>
              <w:right w:val="single" w:color="000000" w:sz="8" w:space="0"/>
            </w:tcBorders>
            <w:noWrap w:val="0"/>
            <w:vAlign w:val="center"/>
          </w:tcPr>
          <w:p>
            <w:pPr>
              <w:pStyle w:val="59"/>
              <w:spacing w:line="276" w:lineRule="auto"/>
              <w:jc w:val="left"/>
              <w:rPr>
                <w:rFonts w:hint="eastAsia" w:ascii="宋体" w:hAnsi="宋体" w:cs="宋体"/>
                <w:color w:val="auto"/>
                <w:kern w:val="0"/>
                <w:szCs w:val="21"/>
              </w:rPr>
            </w:pPr>
            <w:r>
              <w:rPr>
                <w:rFonts w:hint="eastAsia" w:ascii="宋体" w:hAnsi="宋体" w:cs="宋体"/>
                <w:color w:val="auto"/>
                <w:kern w:val="0"/>
                <w:szCs w:val="21"/>
              </w:rPr>
              <w:t>机构名称:</w:t>
            </w:r>
          </w:p>
          <w:p>
            <w:pPr>
              <w:pStyle w:val="59"/>
              <w:spacing w:line="276" w:lineRule="auto"/>
              <w:jc w:val="left"/>
              <w:rPr>
                <w:rFonts w:hint="eastAsia" w:ascii="宋体" w:hAnsi="宋体" w:cs="宋体"/>
                <w:color w:val="auto"/>
                <w:kern w:val="0"/>
                <w:szCs w:val="21"/>
              </w:rPr>
            </w:pPr>
            <w:r>
              <w:rPr>
                <w:rFonts w:hint="eastAsia" w:ascii="宋体" w:hAnsi="宋体" w:cs="宋体"/>
                <w:color w:val="auto"/>
                <w:kern w:val="0"/>
                <w:szCs w:val="21"/>
              </w:rPr>
              <w:t>地    址:</w:t>
            </w:r>
          </w:p>
          <w:p>
            <w:pPr>
              <w:pStyle w:val="59"/>
              <w:spacing w:line="276" w:lineRule="auto"/>
              <w:jc w:val="left"/>
              <w:rPr>
                <w:rFonts w:hint="eastAsia" w:ascii="宋体" w:hAnsi="宋体" w:cs="宋体"/>
                <w:color w:val="auto"/>
                <w:kern w:val="0"/>
                <w:szCs w:val="21"/>
              </w:rPr>
            </w:pPr>
            <w:r>
              <w:rPr>
                <w:rFonts w:hint="eastAsia" w:ascii="宋体" w:hAnsi="宋体" w:cs="宋体"/>
                <w:color w:val="auto"/>
                <w:kern w:val="0"/>
                <w:szCs w:val="21"/>
              </w:rPr>
              <w:t>负 责 人:</w:t>
            </w:r>
          </w:p>
          <w:p>
            <w:pPr>
              <w:pStyle w:val="59"/>
              <w:spacing w:line="276" w:lineRule="auto"/>
              <w:jc w:val="left"/>
              <w:rPr>
                <w:rFonts w:hint="eastAsia" w:ascii="宋体" w:hAnsi="宋体" w:cs="宋体"/>
                <w:color w:val="auto"/>
                <w:kern w:val="0"/>
                <w:szCs w:val="21"/>
              </w:rPr>
            </w:pPr>
            <w:r>
              <w:rPr>
                <w:rFonts w:hint="eastAsia" w:ascii="宋体" w:hAnsi="宋体" w:cs="宋体"/>
                <w:color w:val="auto"/>
                <w:kern w:val="0"/>
                <w:szCs w:val="21"/>
              </w:rPr>
              <w:t>联 系 人:</w:t>
            </w:r>
          </w:p>
          <w:p>
            <w:pPr>
              <w:pStyle w:val="59"/>
              <w:spacing w:line="276" w:lineRule="auto"/>
              <w:jc w:val="left"/>
              <w:rPr>
                <w:rFonts w:hint="eastAsia" w:ascii="宋体" w:hAnsi="宋体" w:cs="宋体"/>
                <w:color w:val="auto"/>
                <w:kern w:val="0"/>
                <w:szCs w:val="21"/>
              </w:rPr>
            </w:pPr>
            <w:r>
              <w:rPr>
                <w:rFonts w:hint="eastAsia" w:ascii="宋体" w:hAnsi="宋体" w:cs="宋体"/>
                <w:color w:val="auto"/>
                <w:kern w:val="0"/>
                <w:szCs w:val="21"/>
              </w:rPr>
              <w:t>联系电话：</w:t>
            </w:r>
          </w:p>
          <w:p>
            <w:pPr>
              <w:pStyle w:val="59"/>
              <w:spacing w:line="276" w:lineRule="auto"/>
              <w:jc w:val="left"/>
              <w:rPr>
                <w:color w:val="auto"/>
                <w:szCs w:val="21"/>
              </w:rPr>
            </w:pPr>
            <w:r>
              <w:rPr>
                <w:rFonts w:hint="eastAsia" w:ascii="宋体" w:hAnsi="宋体" w:cs="宋体"/>
                <w:color w:val="auto"/>
                <w:kern w:val="0"/>
                <w:szCs w:val="21"/>
              </w:rPr>
              <w:t>传    真：</w:t>
            </w:r>
          </w:p>
        </w:tc>
      </w:tr>
      <w:tr>
        <w:tblPrEx>
          <w:tblCellMar>
            <w:top w:w="0" w:type="dxa"/>
            <w:left w:w="108" w:type="dxa"/>
            <w:bottom w:w="0" w:type="dxa"/>
            <w:right w:w="108" w:type="dxa"/>
          </w:tblCellMar>
        </w:tblPrEx>
        <w:trPr>
          <w:trHeight w:val="1378" w:hRule="atLeast"/>
          <w:jc w:val="center"/>
        </w:trPr>
        <w:tc>
          <w:tcPr>
            <w:tcW w:w="1765" w:type="dxa"/>
            <w:tcBorders>
              <w:top w:val="single" w:color="auto" w:sz="4" w:space="0"/>
              <w:left w:val="single" w:color="auto" w:sz="8" w:space="0"/>
              <w:bottom w:val="single" w:color="000000" w:sz="8" w:space="0"/>
              <w:right w:val="single" w:color="auto" w:sz="8" w:space="0"/>
            </w:tcBorders>
            <w:noWrap w:val="0"/>
            <w:vAlign w:val="center"/>
          </w:tcPr>
          <w:p>
            <w:pPr>
              <w:pStyle w:val="59"/>
              <w:spacing w:line="276" w:lineRule="auto"/>
              <w:jc w:val="center"/>
              <w:rPr>
                <w:rFonts w:hint="eastAsia" w:ascii="黑体" w:eastAsia="黑体"/>
                <w:color w:val="auto"/>
                <w:szCs w:val="21"/>
              </w:rPr>
            </w:pPr>
            <w:r>
              <w:rPr>
                <w:rFonts w:hint="eastAsia" w:ascii="黑体" w:eastAsia="黑体"/>
                <w:color w:val="auto"/>
                <w:szCs w:val="21"/>
              </w:rPr>
              <w:t>售后服务机构</w:t>
            </w:r>
          </w:p>
        </w:tc>
        <w:tc>
          <w:tcPr>
            <w:tcW w:w="8184" w:type="dxa"/>
            <w:gridSpan w:val="8"/>
            <w:tcBorders>
              <w:top w:val="single" w:color="auto" w:sz="4" w:space="0"/>
              <w:left w:val="single" w:color="auto" w:sz="8" w:space="0"/>
              <w:bottom w:val="single" w:color="auto" w:sz="4" w:space="0"/>
              <w:right w:val="single" w:color="000000" w:sz="8" w:space="0"/>
            </w:tcBorders>
            <w:noWrap w:val="0"/>
            <w:vAlign w:val="center"/>
          </w:tcPr>
          <w:p>
            <w:pPr>
              <w:pStyle w:val="59"/>
              <w:spacing w:line="276" w:lineRule="auto"/>
              <w:rPr>
                <w:rFonts w:hint="eastAsia"/>
                <w:color w:val="auto"/>
                <w:szCs w:val="21"/>
              </w:rPr>
            </w:pPr>
            <w:r>
              <w:rPr>
                <w:rFonts w:hint="eastAsia"/>
                <w:color w:val="auto"/>
                <w:szCs w:val="21"/>
              </w:rPr>
              <w:t>机构名称：</w:t>
            </w:r>
          </w:p>
          <w:p>
            <w:pPr>
              <w:pStyle w:val="59"/>
              <w:spacing w:line="276" w:lineRule="auto"/>
              <w:rPr>
                <w:rFonts w:hint="eastAsia"/>
                <w:color w:val="auto"/>
                <w:szCs w:val="21"/>
              </w:rPr>
            </w:pPr>
            <w:r>
              <w:rPr>
                <w:rFonts w:hint="eastAsia"/>
                <w:color w:val="auto"/>
                <w:szCs w:val="21"/>
              </w:rPr>
              <w:t>地    址：</w:t>
            </w:r>
          </w:p>
          <w:p>
            <w:pPr>
              <w:pStyle w:val="59"/>
              <w:spacing w:line="276" w:lineRule="auto"/>
              <w:rPr>
                <w:rFonts w:hint="eastAsia"/>
                <w:color w:val="auto"/>
                <w:szCs w:val="21"/>
              </w:rPr>
            </w:pPr>
            <w:r>
              <w:rPr>
                <w:rFonts w:hint="eastAsia"/>
                <w:color w:val="auto"/>
                <w:szCs w:val="21"/>
              </w:rPr>
              <w:t>负 责 人：</w:t>
            </w:r>
          </w:p>
          <w:p>
            <w:pPr>
              <w:pStyle w:val="59"/>
              <w:spacing w:line="276" w:lineRule="auto"/>
              <w:rPr>
                <w:rFonts w:hint="eastAsia"/>
                <w:color w:val="auto"/>
                <w:szCs w:val="21"/>
              </w:rPr>
            </w:pPr>
            <w:r>
              <w:rPr>
                <w:rFonts w:hint="eastAsia"/>
                <w:color w:val="auto"/>
                <w:szCs w:val="21"/>
              </w:rPr>
              <w:t>服务机构性质：企业自有 /委托/ 合作代理</w:t>
            </w:r>
          </w:p>
          <w:p>
            <w:pPr>
              <w:pStyle w:val="59"/>
              <w:spacing w:line="276" w:lineRule="auto"/>
              <w:jc w:val="left"/>
              <w:rPr>
                <w:rFonts w:hint="eastAsia" w:ascii="宋体" w:hAnsi="宋体" w:cs="宋体"/>
                <w:color w:val="auto"/>
                <w:kern w:val="0"/>
                <w:szCs w:val="21"/>
              </w:rPr>
            </w:pPr>
            <w:r>
              <w:rPr>
                <w:rFonts w:hint="eastAsia" w:ascii="宋体" w:hAnsi="宋体" w:cs="宋体"/>
                <w:color w:val="auto"/>
                <w:kern w:val="0"/>
                <w:szCs w:val="21"/>
              </w:rPr>
              <w:t>联系电话：</w:t>
            </w:r>
          </w:p>
          <w:p>
            <w:pPr>
              <w:pStyle w:val="59"/>
              <w:spacing w:line="276" w:lineRule="auto"/>
              <w:rPr>
                <w:rFonts w:hint="eastAsia"/>
                <w:color w:val="auto"/>
                <w:szCs w:val="21"/>
              </w:rPr>
            </w:pPr>
            <w:r>
              <w:rPr>
                <w:rFonts w:hint="eastAsia" w:ascii="宋体" w:hAnsi="宋体" w:cs="宋体"/>
                <w:color w:val="auto"/>
                <w:kern w:val="0"/>
                <w:szCs w:val="21"/>
              </w:rPr>
              <w:t>传    真：</w:t>
            </w:r>
          </w:p>
        </w:tc>
      </w:tr>
    </w:tbl>
    <w:p>
      <w:pPr>
        <w:pStyle w:val="59"/>
        <w:spacing w:line="360" w:lineRule="auto"/>
        <w:rPr>
          <w:color w:val="auto"/>
          <w:sz w:val="20"/>
        </w:rPr>
      </w:pPr>
      <w:r>
        <w:rPr>
          <w:rFonts w:hint="eastAsia"/>
          <w:b/>
          <w:color w:val="auto"/>
          <w:sz w:val="24"/>
          <w:szCs w:val="28"/>
        </w:rPr>
        <w:t>注：以上内容均应如实详细地填写，如不具有“分支机构情况”可写“无”。</w:t>
      </w:r>
    </w:p>
    <w:p>
      <w:pPr>
        <w:pStyle w:val="60"/>
        <w:outlineLvl w:val="1"/>
        <w:rPr>
          <w:color w:val="auto"/>
        </w:rPr>
      </w:pPr>
      <w:r>
        <w:rPr>
          <w:color w:val="auto"/>
        </w:rPr>
        <w:br w:type="page"/>
      </w:r>
      <w:r>
        <w:rPr>
          <w:rFonts w:hint="eastAsia"/>
          <w:color w:val="auto"/>
          <w:lang w:val="en-US" w:eastAsia="zh-CN"/>
        </w:rPr>
        <w:t>九</w:t>
      </w:r>
      <w:r>
        <w:rPr>
          <w:color w:val="auto"/>
        </w:rPr>
        <w:t>、项目业绩介绍</w:t>
      </w:r>
    </w:p>
    <w:p>
      <w:pPr>
        <w:pStyle w:val="61"/>
        <w:jc w:val="center"/>
        <w:rPr>
          <w:color w:val="auto"/>
          <w:sz w:val="32"/>
          <w:szCs w:val="32"/>
        </w:rPr>
      </w:pPr>
      <w:r>
        <w:rPr>
          <w:rFonts w:hint="eastAsia"/>
          <w:color w:val="auto"/>
          <w:sz w:val="32"/>
          <w:szCs w:val="32"/>
        </w:rPr>
        <w:t>项目业绩介绍</w:t>
      </w:r>
    </w:p>
    <w:tbl>
      <w:tblPr>
        <w:tblStyle w:val="13"/>
        <w:tblW w:w="10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2131"/>
        <w:gridCol w:w="1480"/>
        <w:gridCol w:w="1332"/>
        <w:gridCol w:w="1568"/>
        <w:gridCol w:w="1138"/>
        <w:gridCol w:w="1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blHeader/>
          <w:jc w:val="center"/>
        </w:trPr>
        <w:tc>
          <w:tcPr>
            <w:tcW w:w="71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62"/>
              <w:spacing w:line="360" w:lineRule="auto"/>
              <w:jc w:val="center"/>
              <w:rPr>
                <w:rFonts w:ascii="黑体" w:hAnsi="Times New Roman" w:eastAsia="黑体"/>
                <w:b/>
                <w:bCs/>
                <w:color w:val="auto"/>
                <w:szCs w:val="21"/>
              </w:rPr>
            </w:pPr>
            <w:r>
              <w:rPr>
                <w:rFonts w:hint="eastAsia" w:ascii="黑体" w:hAnsi="Times New Roman" w:eastAsia="黑体"/>
                <w:b/>
                <w:bCs/>
                <w:color w:val="auto"/>
                <w:szCs w:val="21"/>
              </w:rPr>
              <w:t>序号</w:t>
            </w:r>
          </w:p>
        </w:tc>
        <w:tc>
          <w:tcPr>
            <w:tcW w:w="2131"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62"/>
              <w:spacing w:line="360" w:lineRule="auto"/>
              <w:jc w:val="center"/>
              <w:rPr>
                <w:rFonts w:ascii="黑体" w:hAnsi="Times New Roman" w:eastAsia="黑体"/>
                <w:b/>
                <w:bCs/>
                <w:color w:val="auto"/>
                <w:szCs w:val="21"/>
              </w:rPr>
            </w:pPr>
            <w:r>
              <w:rPr>
                <w:rFonts w:hint="eastAsia" w:ascii="黑体" w:hAnsi="Times New Roman" w:eastAsia="黑体"/>
                <w:b/>
                <w:bCs/>
                <w:color w:val="auto"/>
                <w:szCs w:val="21"/>
              </w:rPr>
              <w:t>客户单位名称</w:t>
            </w:r>
          </w:p>
        </w:tc>
        <w:tc>
          <w:tcPr>
            <w:tcW w:w="148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62"/>
              <w:spacing w:line="360" w:lineRule="auto"/>
              <w:jc w:val="center"/>
              <w:rPr>
                <w:rFonts w:ascii="黑体" w:hAnsi="Times New Roman" w:eastAsia="黑体"/>
                <w:b/>
                <w:bCs/>
                <w:color w:val="auto"/>
                <w:szCs w:val="21"/>
              </w:rPr>
            </w:pPr>
            <w:r>
              <w:rPr>
                <w:rFonts w:hint="eastAsia" w:ascii="黑体" w:hAnsi="Times New Roman" w:eastAsia="黑体"/>
                <w:b/>
                <w:bCs/>
                <w:color w:val="auto"/>
                <w:szCs w:val="21"/>
              </w:rPr>
              <w:t>项目内容</w:t>
            </w:r>
          </w:p>
        </w:tc>
        <w:tc>
          <w:tcPr>
            <w:tcW w:w="1332"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62"/>
              <w:spacing w:line="360" w:lineRule="auto"/>
              <w:jc w:val="center"/>
              <w:rPr>
                <w:rFonts w:ascii="黑体" w:hAnsi="Times New Roman" w:eastAsia="黑体"/>
                <w:b/>
                <w:bCs/>
                <w:color w:val="auto"/>
                <w:szCs w:val="21"/>
              </w:rPr>
            </w:pPr>
            <w:r>
              <w:rPr>
                <w:rFonts w:hint="eastAsia" w:ascii="黑体" w:hAnsi="Times New Roman" w:eastAsia="黑体"/>
                <w:b/>
                <w:bCs/>
                <w:color w:val="auto"/>
                <w:szCs w:val="21"/>
              </w:rPr>
              <w:t>合同金额</w:t>
            </w:r>
          </w:p>
          <w:p>
            <w:pPr>
              <w:pStyle w:val="62"/>
              <w:spacing w:line="360" w:lineRule="auto"/>
              <w:jc w:val="center"/>
              <w:rPr>
                <w:rFonts w:ascii="黑体" w:hAnsi="Times New Roman" w:eastAsia="黑体"/>
                <w:b/>
                <w:bCs/>
                <w:color w:val="auto"/>
                <w:szCs w:val="21"/>
              </w:rPr>
            </w:pPr>
            <w:r>
              <w:rPr>
                <w:rFonts w:hint="eastAsia" w:ascii="黑体" w:hAnsi="Times New Roman" w:eastAsia="黑体"/>
                <w:b/>
                <w:bCs/>
                <w:color w:val="auto"/>
                <w:szCs w:val="21"/>
              </w:rPr>
              <w:t>（万元）</w:t>
            </w:r>
          </w:p>
        </w:tc>
        <w:tc>
          <w:tcPr>
            <w:tcW w:w="156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62"/>
              <w:spacing w:line="360" w:lineRule="auto"/>
              <w:jc w:val="center"/>
              <w:rPr>
                <w:rFonts w:ascii="黑体" w:hAnsi="Times New Roman" w:eastAsia="黑体"/>
                <w:b/>
                <w:bCs/>
                <w:color w:val="auto"/>
                <w:szCs w:val="21"/>
              </w:rPr>
            </w:pPr>
            <w:r>
              <w:rPr>
                <w:rFonts w:hint="eastAsia" w:ascii="黑体" w:hAnsi="Times New Roman" w:eastAsia="黑体"/>
                <w:b/>
                <w:bCs/>
                <w:color w:val="auto"/>
                <w:szCs w:val="21"/>
              </w:rPr>
              <w:t>合同验收时间</w:t>
            </w:r>
          </w:p>
        </w:tc>
        <w:tc>
          <w:tcPr>
            <w:tcW w:w="113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62"/>
              <w:spacing w:line="360" w:lineRule="auto"/>
              <w:jc w:val="center"/>
              <w:rPr>
                <w:rFonts w:ascii="黑体" w:hAnsi="Times New Roman" w:eastAsia="黑体"/>
                <w:b/>
                <w:bCs/>
                <w:color w:val="auto"/>
                <w:szCs w:val="21"/>
              </w:rPr>
            </w:pPr>
            <w:r>
              <w:rPr>
                <w:rFonts w:hint="eastAsia" w:ascii="黑体" w:hAnsi="Times New Roman" w:eastAsia="黑体"/>
                <w:b/>
                <w:bCs/>
                <w:color w:val="auto"/>
                <w:szCs w:val="21"/>
              </w:rPr>
              <w:t>客户单位联系人</w:t>
            </w:r>
          </w:p>
        </w:tc>
        <w:tc>
          <w:tcPr>
            <w:tcW w:w="1712"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62"/>
              <w:spacing w:line="360" w:lineRule="auto"/>
              <w:jc w:val="center"/>
              <w:rPr>
                <w:rFonts w:ascii="黑体" w:hAnsi="Times New Roman" w:eastAsia="黑体"/>
                <w:b/>
                <w:bCs/>
                <w:color w:val="auto"/>
                <w:szCs w:val="21"/>
              </w:rPr>
            </w:pPr>
            <w:r>
              <w:rPr>
                <w:rFonts w:hint="eastAsia" w:ascii="黑体" w:hAnsi="Times New Roman" w:eastAsia="黑体"/>
                <w:b/>
                <w:bCs/>
                <w:color w:val="auto"/>
                <w:szCs w:val="21"/>
              </w:rPr>
              <w:t>客户单位</w:t>
            </w:r>
          </w:p>
          <w:p>
            <w:pPr>
              <w:pStyle w:val="62"/>
              <w:spacing w:line="360" w:lineRule="auto"/>
              <w:jc w:val="center"/>
              <w:rPr>
                <w:rFonts w:ascii="黑体" w:hAnsi="Times New Roman" w:eastAsia="黑体"/>
                <w:b/>
                <w:bCs/>
                <w:color w:val="auto"/>
                <w:szCs w:val="21"/>
              </w:rPr>
            </w:pPr>
            <w:r>
              <w:rPr>
                <w:rFonts w:hint="eastAsia" w:ascii="黑体" w:hAnsi="Times New Roman" w:eastAsia="黑体"/>
                <w:b/>
                <w:bCs/>
                <w:color w:val="auto"/>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8" w:type="dxa"/>
            <w:tcBorders>
              <w:top w:val="single" w:color="auto" w:sz="4" w:space="0"/>
              <w:left w:val="single" w:color="auto" w:sz="4" w:space="0"/>
              <w:bottom w:val="single" w:color="auto" w:sz="4" w:space="0"/>
              <w:right w:val="single" w:color="auto" w:sz="4" w:space="0"/>
            </w:tcBorders>
            <w:noWrap w:val="0"/>
            <w:vAlign w:val="center"/>
          </w:tcPr>
          <w:p>
            <w:pPr>
              <w:pStyle w:val="62"/>
              <w:numPr>
                <w:ilvl w:val="0"/>
                <w:numId w:val="51"/>
              </w:numPr>
              <w:tabs>
                <w:tab w:val="left" w:pos="180"/>
              </w:tabs>
              <w:spacing w:line="360" w:lineRule="auto"/>
              <w:jc w:val="center"/>
              <w:rPr>
                <w:rFonts w:ascii="黑体" w:hAnsi="Times New Roman" w:eastAsia="黑体"/>
                <w:color w:val="auto"/>
                <w:szCs w:val="21"/>
              </w:rPr>
            </w:pPr>
          </w:p>
        </w:tc>
        <w:tc>
          <w:tcPr>
            <w:tcW w:w="2131"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568"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8" w:type="dxa"/>
            <w:tcBorders>
              <w:top w:val="single" w:color="auto" w:sz="4" w:space="0"/>
              <w:left w:val="single" w:color="auto" w:sz="4" w:space="0"/>
              <w:bottom w:val="single" w:color="auto" w:sz="4" w:space="0"/>
              <w:right w:val="single" w:color="auto" w:sz="4" w:space="0"/>
            </w:tcBorders>
            <w:noWrap w:val="0"/>
            <w:vAlign w:val="center"/>
          </w:tcPr>
          <w:p>
            <w:pPr>
              <w:pStyle w:val="62"/>
              <w:numPr>
                <w:ilvl w:val="0"/>
                <w:numId w:val="51"/>
              </w:numPr>
              <w:tabs>
                <w:tab w:val="left" w:pos="180"/>
              </w:tabs>
              <w:spacing w:line="360" w:lineRule="auto"/>
              <w:jc w:val="center"/>
              <w:rPr>
                <w:rFonts w:ascii="黑体" w:hAnsi="Times New Roman" w:eastAsia="黑体"/>
                <w:color w:val="auto"/>
                <w:szCs w:val="21"/>
              </w:rPr>
            </w:pPr>
          </w:p>
        </w:tc>
        <w:tc>
          <w:tcPr>
            <w:tcW w:w="2131"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568"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rPr>
                <w:rFonts w:ascii="Times New Roman" w:hAnsi="Times New Roman"/>
                <w:color w:val="auto"/>
                <w:szCs w:val="21"/>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8" w:type="dxa"/>
            <w:tcBorders>
              <w:top w:val="single" w:color="auto" w:sz="4" w:space="0"/>
              <w:left w:val="single" w:color="auto" w:sz="4" w:space="0"/>
              <w:bottom w:val="single" w:color="auto" w:sz="4" w:space="0"/>
              <w:right w:val="single" w:color="auto" w:sz="4" w:space="0"/>
            </w:tcBorders>
            <w:noWrap w:val="0"/>
            <w:vAlign w:val="center"/>
          </w:tcPr>
          <w:p>
            <w:pPr>
              <w:pStyle w:val="62"/>
              <w:numPr>
                <w:ilvl w:val="0"/>
                <w:numId w:val="51"/>
              </w:numPr>
              <w:tabs>
                <w:tab w:val="left" w:pos="180"/>
              </w:tabs>
              <w:spacing w:line="360" w:lineRule="auto"/>
              <w:jc w:val="center"/>
              <w:rPr>
                <w:rFonts w:ascii="黑体" w:hAnsi="Times New Roman" w:eastAsia="黑体"/>
                <w:color w:val="auto"/>
                <w:szCs w:val="21"/>
              </w:rPr>
            </w:pPr>
          </w:p>
        </w:tc>
        <w:tc>
          <w:tcPr>
            <w:tcW w:w="2131"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568"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8" w:type="dxa"/>
            <w:tcBorders>
              <w:top w:val="single" w:color="auto" w:sz="4" w:space="0"/>
              <w:left w:val="single" w:color="auto" w:sz="4" w:space="0"/>
              <w:bottom w:val="single" w:color="auto" w:sz="4" w:space="0"/>
              <w:right w:val="single" w:color="auto" w:sz="4" w:space="0"/>
            </w:tcBorders>
            <w:noWrap w:val="0"/>
            <w:vAlign w:val="center"/>
          </w:tcPr>
          <w:p>
            <w:pPr>
              <w:pStyle w:val="62"/>
              <w:numPr>
                <w:ilvl w:val="0"/>
                <w:numId w:val="51"/>
              </w:numPr>
              <w:tabs>
                <w:tab w:val="left" w:pos="180"/>
              </w:tabs>
              <w:spacing w:line="360" w:lineRule="auto"/>
              <w:jc w:val="center"/>
              <w:rPr>
                <w:rFonts w:ascii="黑体" w:hAnsi="Times New Roman" w:eastAsia="黑体"/>
                <w:color w:val="auto"/>
                <w:szCs w:val="21"/>
              </w:rPr>
            </w:pPr>
          </w:p>
        </w:tc>
        <w:tc>
          <w:tcPr>
            <w:tcW w:w="2131"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568"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8" w:type="dxa"/>
            <w:tcBorders>
              <w:top w:val="single" w:color="auto" w:sz="4" w:space="0"/>
              <w:left w:val="single" w:color="auto" w:sz="4" w:space="0"/>
              <w:bottom w:val="single" w:color="auto" w:sz="4" w:space="0"/>
              <w:right w:val="single" w:color="auto" w:sz="4" w:space="0"/>
            </w:tcBorders>
            <w:noWrap w:val="0"/>
            <w:vAlign w:val="center"/>
          </w:tcPr>
          <w:p>
            <w:pPr>
              <w:pStyle w:val="62"/>
              <w:numPr>
                <w:ilvl w:val="0"/>
                <w:numId w:val="51"/>
              </w:numPr>
              <w:tabs>
                <w:tab w:val="left" w:pos="180"/>
              </w:tabs>
              <w:spacing w:line="360" w:lineRule="auto"/>
              <w:jc w:val="center"/>
              <w:rPr>
                <w:rFonts w:ascii="黑体" w:hAnsi="Times New Roman" w:eastAsia="黑体"/>
                <w:color w:val="auto"/>
                <w:szCs w:val="21"/>
              </w:rPr>
            </w:pPr>
          </w:p>
        </w:tc>
        <w:tc>
          <w:tcPr>
            <w:tcW w:w="2131"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568"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8" w:type="dxa"/>
            <w:tcBorders>
              <w:top w:val="single" w:color="auto" w:sz="4" w:space="0"/>
              <w:left w:val="single" w:color="auto" w:sz="4" w:space="0"/>
              <w:bottom w:val="single" w:color="auto" w:sz="4" w:space="0"/>
              <w:right w:val="single" w:color="auto" w:sz="4" w:space="0"/>
            </w:tcBorders>
            <w:noWrap w:val="0"/>
            <w:vAlign w:val="center"/>
          </w:tcPr>
          <w:p>
            <w:pPr>
              <w:pStyle w:val="62"/>
              <w:numPr>
                <w:ilvl w:val="0"/>
                <w:numId w:val="51"/>
              </w:numPr>
              <w:tabs>
                <w:tab w:val="left" w:pos="180"/>
              </w:tabs>
              <w:spacing w:line="360" w:lineRule="auto"/>
              <w:jc w:val="center"/>
              <w:rPr>
                <w:rFonts w:ascii="黑体" w:hAnsi="Times New Roman" w:eastAsia="黑体"/>
                <w:color w:val="auto"/>
                <w:szCs w:val="21"/>
              </w:rPr>
            </w:pPr>
          </w:p>
        </w:tc>
        <w:tc>
          <w:tcPr>
            <w:tcW w:w="2131"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568"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8" w:type="dxa"/>
            <w:tcBorders>
              <w:top w:val="single" w:color="auto" w:sz="4" w:space="0"/>
              <w:left w:val="single" w:color="auto" w:sz="4" w:space="0"/>
              <w:bottom w:val="single" w:color="auto" w:sz="4" w:space="0"/>
              <w:right w:val="single" w:color="auto" w:sz="4" w:space="0"/>
            </w:tcBorders>
            <w:noWrap w:val="0"/>
            <w:vAlign w:val="center"/>
          </w:tcPr>
          <w:p>
            <w:pPr>
              <w:pStyle w:val="62"/>
              <w:numPr>
                <w:ilvl w:val="0"/>
                <w:numId w:val="51"/>
              </w:numPr>
              <w:tabs>
                <w:tab w:val="left" w:pos="180"/>
              </w:tabs>
              <w:spacing w:line="360" w:lineRule="auto"/>
              <w:jc w:val="center"/>
              <w:rPr>
                <w:rFonts w:ascii="黑体" w:hAnsi="Times New Roman" w:eastAsia="黑体"/>
                <w:color w:val="auto"/>
                <w:szCs w:val="21"/>
              </w:rPr>
            </w:pPr>
          </w:p>
        </w:tc>
        <w:tc>
          <w:tcPr>
            <w:tcW w:w="2131"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568"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8" w:type="dxa"/>
            <w:tcBorders>
              <w:top w:val="single" w:color="auto" w:sz="4" w:space="0"/>
              <w:left w:val="single" w:color="auto" w:sz="4" w:space="0"/>
              <w:bottom w:val="single" w:color="auto" w:sz="4" w:space="0"/>
              <w:right w:val="single" w:color="auto" w:sz="4" w:space="0"/>
            </w:tcBorders>
            <w:noWrap w:val="0"/>
            <w:vAlign w:val="center"/>
          </w:tcPr>
          <w:p>
            <w:pPr>
              <w:pStyle w:val="62"/>
              <w:numPr>
                <w:ilvl w:val="0"/>
                <w:numId w:val="51"/>
              </w:numPr>
              <w:tabs>
                <w:tab w:val="left" w:pos="180"/>
              </w:tabs>
              <w:spacing w:line="360" w:lineRule="auto"/>
              <w:jc w:val="center"/>
              <w:rPr>
                <w:rFonts w:ascii="黑体" w:hAnsi="Times New Roman" w:eastAsia="黑体"/>
                <w:color w:val="auto"/>
                <w:szCs w:val="21"/>
              </w:rPr>
            </w:pPr>
          </w:p>
        </w:tc>
        <w:tc>
          <w:tcPr>
            <w:tcW w:w="2131"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568"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8" w:type="dxa"/>
            <w:tcBorders>
              <w:top w:val="single" w:color="auto" w:sz="4" w:space="0"/>
              <w:left w:val="single" w:color="auto" w:sz="4" w:space="0"/>
              <w:bottom w:val="single" w:color="auto" w:sz="4" w:space="0"/>
              <w:right w:val="single" w:color="auto" w:sz="4" w:space="0"/>
            </w:tcBorders>
            <w:noWrap w:val="0"/>
            <w:vAlign w:val="center"/>
          </w:tcPr>
          <w:p>
            <w:pPr>
              <w:pStyle w:val="62"/>
              <w:numPr>
                <w:ilvl w:val="0"/>
                <w:numId w:val="51"/>
              </w:numPr>
              <w:tabs>
                <w:tab w:val="left" w:pos="180"/>
              </w:tabs>
              <w:spacing w:line="360" w:lineRule="auto"/>
              <w:jc w:val="center"/>
              <w:rPr>
                <w:rFonts w:ascii="黑体" w:hAnsi="Times New Roman" w:eastAsia="黑体"/>
                <w:color w:val="auto"/>
                <w:szCs w:val="21"/>
              </w:rPr>
            </w:pPr>
          </w:p>
        </w:tc>
        <w:tc>
          <w:tcPr>
            <w:tcW w:w="2131"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568"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8" w:type="dxa"/>
            <w:tcBorders>
              <w:top w:val="single" w:color="auto" w:sz="4" w:space="0"/>
              <w:left w:val="single" w:color="auto" w:sz="4" w:space="0"/>
              <w:bottom w:val="single" w:color="auto" w:sz="4" w:space="0"/>
              <w:right w:val="single" w:color="auto" w:sz="4" w:space="0"/>
            </w:tcBorders>
            <w:noWrap w:val="0"/>
            <w:vAlign w:val="center"/>
          </w:tcPr>
          <w:p>
            <w:pPr>
              <w:pStyle w:val="62"/>
              <w:numPr>
                <w:ilvl w:val="0"/>
                <w:numId w:val="51"/>
              </w:numPr>
              <w:tabs>
                <w:tab w:val="left" w:pos="180"/>
              </w:tabs>
              <w:spacing w:line="360" w:lineRule="auto"/>
              <w:jc w:val="center"/>
              <w:rPr>
                <w:rFonts w:ascii="黑体" w:hAnsi="Times New Roman" w:eastAsia="黑体"/>
                <w:color w:val="auto"/>
                <w:szCs w:val="21"/>
              </w:rPr>
            </w:pPr>
          </w:p>
        </w:tc>
        <w:tc>
          <w:tcPr>
            <w:tcW w:w="2131"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568"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8" w:type="dxa"/>
            <w:tcBorders>
              <w:top w:val="single" w:color="auto" w:sz="4" w:space="0"/>
              <w:left w:val="single" w:color="auto" w:sz="4" w:space="0"/>
              <w:bottom w:val="single" w:color="auto" w:sz="4" w:space="0"/>
              <w:right w:val="single" w:color="auto" w:sz="4" w:space="0"/>
            </w:tcBorders>
            <w:noWrap w:val="0"/>
            <w:vAlign w:val="center"/>
          </w:tcPr>
          <w:p>
            <w:pPr>
              <w:pStyle w:val="62"/>
              <w:numPr>
                <w:ilvl w:val="0"/>
                <w:numId w:val="51"/>
              </w:numPr>
              <w:tabs>
                <w:tab w:val="left" w:pos="180"/>
              </w:tabs>
              <w:spacing w:line="360" w:lineRule="auto"/>
              <w:jc w:val="center"/>
              <w:rPr>
                <w:rFonts w:ascii="黑体" w:hAnsi="Times New Roman" w:eastAsia="黑体"/>
                <w:color w:val="auto"/>
                <w:szCs w:val="21"/>
              </w:rPr>
            </w:pPr>
          </w:p>
        </w:tc>
        <w:tc>
          <w:tcPr>
            <w:tcW w:w="2131"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568"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pPr>
              <w:pStyle w:val="62"/>
              <w:spacing w:line="360" w:lineRule="auto"/>
              <w:jc w:val="center"/>
              <w:rPr>
                <w:rFonts w:ascii="Times New Roman" w:hAnsi="Times New Roman"/>
                <w:color w:val="auto"/>
                <w:szCs w:val="21"/>
              </w:rPr>
            </w:pPr>
          </w:p>
        </w:tc>
      </w:tr>
    </w:tbl>
    <w:p>
      <w:pPr>
        <w:pStyle w:val="62"/>
        <w:spacing w:line="360" w:lineRule="auto"/>
        <w:rPr>
          <w:color w:val="auto"/>
          <w:szCs w:val="21"/>
          <w:lang w:val="en-GB"/>
        </w:rPr>
      </w:pPr>
    </w:p>
    <w:p>
      <w:pPr>
        <w:pStyle w:val="63"/>
        <w:spacing w:line="360" w:lineRule="auto"/>
        <w:ind w:left="735" w:hanging="735"/>
        <w:rPr>
          <w:rFonts w:ascii="Times New Roman" w:hAnsi="Times New Roman"/>
          <w:color w:val="auto"/>
          <w:szCs w:val="21"/>
          <w:lang w:val="en-GB"/>
        </w:rPr>
      </w:pPr>
      <w:r>
        <w:rPr>
          <w:rFonts w:hint="eastAsia" w:ascii="Times New Roman" w:hAnsi="Times New Roman"/>
          <w:color w:val="auto"/>
          <w:szCs w:val="21"/>
          <w:lang w:val="en-GB"/>
        </w:rPr>
        <w:t>说明：</w:t>
      </w:r>
    </w:p>
    <w:p>
      <w:pPr>
        <w:pStyle w:val="63"/>
        <w:spacing w:line="360" w:lineRule="auto"/>
        <w:rPr>
          <w:rFonts w:ascii="Times New Roman" w:hAnsi="Times New Roman"/>
          <w:color w:val="auto"/>
          <w:szCs w:val="21"/>
          <w:lang w:val="en-GB"/>
        </w:rPr>
      </w:pPr>
      <w:r>
        <w:rPr>
          <w:rFonts w:hint="eastAsia" w:ascii="Times New Roman" w:hAnsi="Times New Roman"/>
          <w:color w:val="auto"/>
          <w:szCs w:val="21"/>
          <w:lang w:val="en-GB"/>
        </w:rPr>
        <w:t>1. 以上业绩</w:t>
      </w:r>
      <w:r>
        <w:rPr>
          <w:rFonts w:hint="eastAsia"/>
          <w:color w:val="auto"/>
          <w:kern w:val="0"/>
        </w:rPr>
        <w:t>信息及合同等资料从供应商库获取</w:t>
      </w:r>
      <w:r>
        <w:rPr>
          <w:rFonts w:hint="eastAsia"/>
          <w:color w:val="auto"/>
          <w:szCs w:val="21"/>
          <w:lang w:val="en-GB"/>
        </w:rPr>
        <w:t>。</w:t>
      </w:r>
    </w:p>
    <w:p>
      <w:pPr>
        <w:pStyle w:val="63"/>
        <w:spacing w:line="360" w:lineRule="auto"/>
        <w:rPr>
          <w:rFonts w:hint="eastAsia" w:ascii="Times New Roman" w:hAnsi="Times New Roman"/>
          <w:color w:val="auto"/>
          <w:szCs w:val="21"/>
          <w:lang w:val="en-GB"/>
        </w:rPr>
      </w:pPr>
      <w:r>
        <w:rPr>
          <w:rFonts w:hint="eastAsia" w:ascii="Times New Roman" w:hAnsi="Times New Roman"/>
          <w:color w:val="auto"/>
          <w:szCs w:val="21"/>
          <w:lang w:val="en-GB"/>
        </w:rPr>
        <w:t>2. 以上项目业绩要求详见招标文件。</w:t>
      </w:r>
    </w:p>
    <w:p>
      <w:pPr>
        <w:pStyle w:val="64"/>
        <w:outlineLvl w:val="1"/>
        <w:rPr>
          <w:color w:val="auto"/>
        </w:rPr>
      </w:pPr>
      <w:r>
        <w:rPr>
          <w:color w:val="auto"/>
        </w:rPr>
        <w:br w:type="page"/>
      </w:r>
      <w:r>
        <w:rPr>
          <w:rFonts w:hint="eastAsia"/>
          <w:color w:val="auto"/>
          <w:lang w:val="en-US" w:eastAsia="zh-CN"/>
        </w:rPr>
        <w:t>十</w:t>
      </w:r>
      <w:r>
        <w:rPr>
          <w:color w:val="auto"/>
        </w:rPr>
        <w:t>、投标人资质、证书及人员情况</w:t>
      </w:r>
    </w:p>
    <w:p>
      <w:pPr>
        <w:pStyle w:val="65"/>
        <w:jc w:val="center"/>
        <w:rPr>
          <w:color w:val="auto"/>
          <w:sz w:val="32"/>
          <w:szCs w:val="32"/>
        </w:rPr>
      </w:pPr>
      <w:r>
        <w:rPr>
          <w:rFonts w:hint="eastAsia"/>
          <w:color w:val="auto"/>
          <w:sz w:val="32"/>
          <w:szCs w:val="32"/>
        </w:rPr>
        <w:t>投标人资质、证书及人员情况</w:t>
      </w:r>
    </w:p>
    <w:p>
      <w:pPr>
        <w:pStyle w:val="66"/>
        <w:rPr>
          <w:color w:val="auto"/>
        </w:rPr>
      </w:pP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1553"/>
        <w:gridCol w:w="2000"/>
        <w:gridCol w:w="1985"/>
        <w:gridCol w:w="1789"/>
        <w:gridCol w:w="1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374" w:type="pct"/>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67"/>
              <w:tabs>
                <w:tab w:val="left" w:pos="540"/>
              </w:tabs>
              <w:jc w:val="center"/>
              <w:rPr>
                <w:rFonts w:ascii="黑体" w:hAnsi="Times New Roman" w:eastAsia="黑体"/>
                <w:b/>
                <w:color w:val="auto"/>
                <w:sz w:val="21"/>
                <w:szCs w:val="21"/>
              </w:rPr>
            </w:pPr>
            <w:r>
              <w:rPr>
                <w:rFonts w:hint="eastAsia" w:ascii="黑体" w:hAnsi="Times New Roman" w:eastAsia="黑体"/>
                <w:b/>
                <w:color w:val="auto"/>
                <w:sz w:val="21"/>
                <w:szCs w:val="21"/>
              </w:rPr>
              <w:t>序号</w:t>
            </w:r>
          </w:p>
        </w:tc>
        <w:tc>
          <w:tcPr>
            <w:tcW w:w="788" w:type="pct"/>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67"/>
              <w:tabs>
                <w:tab w:val="left" w:pos="540"/>
              </w:tabs>
              <w:jc w:val="center"/>
              <w:rPr>
                <w:rFonts w:ascii="黑体" w:hAnsi="Times New Roman" w:eastAsia="黑体"/>
                <w:b/>
                <w:color w:val="auto"/>
                <w:sz w:val="21"/>
                <w:szCs w:val="21"/>
              </w:rPr>
            </w:pPr>
            <w:r>
              <w:rPr>
                <w:rFonts w:hint="eastAsia" w:ascii="黑体" w:hAnsi="Times New Roman" w:eastAsia="黑体"/>
                <w:b/>
                <w:color w:val="auto"/>
                <w:sz w:val="21"/>
                <w:szCs w:val="21"/>
              </w:rPr>
              <w:t>资质类型</w:t>
            </w:r>
          </w:p>
        </w:tc>
        <w:tc>
          <w:tcPr>
            <w:tcW w:w="1015" w:type="pct"/>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67"/>
              <w:tabs>
                <w:tab w:val="left" w:pos="540"/>
              </w:tabs>
              <w:jc w:val="center"/>
              <w:rPr>
                <w:rFonts w:ascii="黑体" w:hAnsi="Times New Roman" w:eastAsia="黑体"/>
                <w:b/>
                <w:color w:val="auto"/>
                <w:sz w:val="21"/>
                <w:szCs w:val="21"/>
              </w:rPr>
            </w:pPr>
            <w:r>
              <w:rPr>
                <w:rFonts w:hint="eastAsia" w:ascii="黑体" w:hAnsi="Times New Roman" w:eastAsia="黑体"/>
                <w:b/>
                <w:color w:val="auto"/>
                <w:sz w:val="21"/>
                <w:szCs w:val="21"/>
              </w:rPr>
              <w:t>资质/证书名称</w:t>
            </w:r>
          </w:p>
        </w:tc>
        <w:tc>
          <w:tcPr>
            <w:tcW w:w="1007" w:type="pct"/>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67"/>
              <w:tabs>
                <w:tab w:val="left" w:pos="540"/>
              </w:tabs>
              <w:jc w:val="center"/>
              <w:rPr>
                <w:rFonts w:ascii="黑体" w:hAnsi="Times New Roman" w:eastAsia="黑体"/>
                <w:b/>
                <w:color w:val="auto"/>
                <w:sz w:val="21"/>
                <w:szCs w:val="21"/>
              </w:rPr>
            </w:pPr>
            <w:r>
              <w:rPr>
                <w:rFonts w:hint="eastAsia" w:ascii="黑体" w:hAnsi="Times New Roman" w:eastAsia="黑体"/>
                <w:b/>
                <w:color w:val="auto"/>
                <w:sz w:val="21"/>
                <w:szCs w:val="21"/>
              </w:rPr>
              <w:t>发证机构</w:t>
            </w:r>
          </w:p>
        </w:tc>
        <w:tc>
          <w:tcPr>
            <w:tcW w:w="908" w:type="pct"/>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67"/>
              <w:tabs>
                <w:tab w:val="left" w:pos="540"/>
              </w:tabs>
              <w:jc w:val="center"/>
              <w:rPr>
                <w:rFonts w:ascii="黑体" w:hAnsi="Times New Roman" w:eastAsia="黑体"/>
                <w:b/>
                <w:color w:val="auto"/>
                <w:sz w:val="21"/>
                <w:szCs w:val="21"/>
              </w:rPr>
            </w:pPr>
            <w:r>
              <w:rPr>
                <w:rFonts w:hint="eastAsia" w:ascii="黑体" w:hAnsi="Times New Roman" w:eastAsia="黑体"/>
                <w:b/>
                <w:color w:val="auto"/>
                <w:sz w:val="21"/>
                <w:szCs w:val="21"/>
              </w:rPr>
              <w:t>发证日期</w:t>
            </w:r>
          </w:p>
        </w:tc>
        <w:tc>
          <w:tcPr>
            <w:tcW w:w="908" w:type="pct"/>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67"/>
              <w:tabs>
                <w:tab w:val="left" w:pos="540"/>
              </w:tabs>
              <w:jc w:val="center"/>
              <w:rPr>
                <w:rFonts w:ascii="黑体" w:hAnsi="Times New Roman" w:eastAsia="黑体"/>
                <w:b/>
                <w:color w:val="auto"/>
                <w:sz w:val="21"/>
                <w:szCs w:val="21"/>
              </w:rPr>
            </w:pPr>
            <w:r>
              <w:rPr>
                <w:rFonts w:hint="eastAsia" w:ascii="黑体" w:hAnsi="Times New Roman" w:eastAsia="黑体"/>
                <w:b/>
                <w:color w:val="auto"/>
                <w:sz w:val="21"/>
                <w:szCs w:val="21"/>
              </w:rPr>
              <w:t>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4" w:type="pct"/>
            <w:tcBorders>
              <w:top w:val="single" w:color="auto" w:sz="4" w:space="0"/>
              <w:left w:val="single" w:color="auto" w:sz="4" w:space="0"/>
              <w:bottom w:val="single" w:color="auto" w:sz="4" w:space="0"/>
              <w:right w:val="single" w:color="auto" w:sz="4" w:space="0"/>
            </w:tcBorders>
            <w:noWrap w:val="0"/>
            <w:vAlign w:val="center"/>
          </w:tcPr>
          <w:p>
            <w:pPr>
              <w:pStyle w:val="67"/>
              <w:numPr>
                <w:ilvl w:val="0"/>
                <w:numId w:val="52"/>
              </w:numPr>
              <w:tabs>
                <w:tab w:val="left" w:pos="199"/>
                <w:tab w:val="left" w:pos="360"/>
              </w:tabs>
              <w:jc w:val="center"/>
              <w:rPr>
                <w:rFonts w:ascii="黑体" w:hAnsi="Times New Roman" w:eastAsia="黑体"/>
                <w:color w:val="auto"/>
                <w:sz w:val="21"/>
                <w:szCs w:val="21"/>
              </w:rPr>
            </w:pPr>
          </w:p>
        </w:tc>
        <w:tc>
          <w:tcPr>
            <w:tcW w:w="78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1015"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1007"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90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90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4" w:type="pct"/>
            <w:tcBorders>
              <w:top w:val="single" w:color="auto" w:sz="4" w:space="0"/>
              <w:left w:val="single" w:color="auto" w:sz="4" w:space="0"/>
              <w:bottom w:val="single" w:color="auto" w:sz="4" w:space="0"/>
              <w:right w:val="single" w:color="auto" w:sz="4" w:space="0"/>
            </w:tcBorders>
            <w:noWrap w:val="0"/>
            <w:vAlign w:val="center"/>
          </w:tcPr>
          <w:p>
            <w:pPr>
              <w:pStyle w:val="67"/>
              <w:numPr>
                <w:ilvl w:val="0"/>
                <w:numId w:val="52"/>
              </w:numPr>
              <w:tabs>
                <w:tab w:val="left" w:pos="199"/>
                <w:tab w:val="left" w:pos="360"/>
              </w:tabs>
              <w:jc w:val="center"/>
              <w:rPr>
                <w:rFonts w:ascii="黑体" w:hAnsi="Times New Roman" w:eastAsia="黑体"/>
                <w:color w:val="auto"/>
                <w:sz w:val="21"/>
                <w:szCs w:val="21"/>
              </w:rPr>
            </w:pPr>
          </w:p>
        </w:tc>
        <w:tc>
          <w:tcPr>
            <w:tcW w:w="78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1015"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1007"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90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90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4" w:type="pct"/>
            <w:tcBorders>
              <w:top w:val="single" w:color="auto" w:sz="4" w:space="0"/>
              <w:left w:val="single" w:color="auto" w:sz="4" w:space="0"/>
              <w:bottom w:val="single" w:color="auto" w:sz="4" w:space="0"/>
              <w:right w:val="single" w:color="auto" w:sz="4" w:space="0"/>
            </w:tcBorders>
            <w:noWrap w:val="0"/>
            <w:vAlign w:val="center"/>
          </w:tcPr>
          <w:p>
            <w:pPr>
              <w:pStyle w:val="67"/>
              <w:numPr>
                <w:ilvl w:val="0"/>
                <w:numId w:val="52"/>
              </w:numPr>
              <w:tabs>
                <w:tab w:val="left" w:pos="199"/>
                <w:tab w:val="left" w:pos="360"/>
              </w:tabs>
              <w:jc w:val="center"/>
              <w:rPr>
                <w:rFonts w:ascii="黑体" w:hAnsi="Times New Roman" w:eastAsia="黑体"/>
                <w:color w:val="auto"/>
                <w:sz w:val="21"/>
                <w:szCs w:val="21"/>
              </w:rPr>
            </w:pPr>
          </w:p>
        </w:tc>
        <w:tc>
          <w:tcPr>
            <w:tcW w:w="78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1015"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1007"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90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90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4" w:type="pct"/>
            <w:tcBorders>
              <w:top w:val="single" w:color="auto" w:sz="4" w:space="0"/>
              <w:left w:val="single" w:color="auto" w:sz="4" w:space="0"/>
              <w:bottom w:val="single" w:color="auto" w:sz="4" w:space="0"/>
              <w:right w:val="single" w:color="auto" w:sz="4" w:space="0"/>
            </w:tcBorders>
            <w:noWrap w:val="0"/>
            <w:vAlign w:val="center"/>
          </w:tcPr>
          <w:p>
            <w:pPr>
              <w:pStyle w:val="67"/>
              <w:numPr>
                <w:ilvl w:val="0"/>
                <w:numId w:val="52"/>
              </w:numPr>
              <w:tabs>
                <w:tab w:val="left" w:pos="199"/>
                <w:tab w:val="left" w:pos="360"/>
              </w:tabs>
              <w:jc w:val="center"/>
              <w:rPr>
                <w:rFonts w:ascii="黑体" w:hAnsi="Times New Roman" w:eastAsia="黑体"/>
                <w:color w:val="auto"/>
                <w:sz w:val="21"/>
                <w:szCs w:val="21"/>
              </w:rPr>
            </w:pPr>
          </w:p>
        </w:tc>
        <w:tc>
          <w:tcPr>
            <w:tcW w:w="78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1015"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1007"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90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90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4" w:type="pct"/>
            <w:tcBorders>
              <w:top w:val="single" w:color="auto" w:sz="4" w:space="0"/>
              <w:left w:val="single" w:color="auto" w:sz="4" w:space="0"/>
              <w:bottom w:val="single" w:color="auto" w:sz="4" w:space="0"/>
              <w:right w:val="single" w:color="auto" w:sz="4" w:space="0"/>
            </w:tcBorders>
            <w:noWrap w:val="0"/>
            <w:vAlign w:val="center"/>
          </w:tcPr>
          <w:p>
            <w:pPr>
              <w:pStyle w:val="67"/>
              <w:numPr>
                <w:ilvl w:val="0"/>
                <w:numId w:val="52"/>
              </w:numPr>
              <w:tabs>
                <w:tab w:val="left" w:pos="199"/>
                <w:tab w:val="left" w:pos="360"/>
              </w:tabs>
              <w:jc w:val="center"/>
              <w:rPr>
                <w:rFonts w:ascii="黑体" w:hAnsi="Times New Roman" w:eastAsia="黑体"/>
                <w:color w:val="auto"/>
                <w:sz w:val="21"/>
                <w:szCs w:val="21"/>
              </w:rPr>
            </w:pPr>
          </w:p>
        </w:tc>
        <w:tc>
          <w:tcPr>
            <w:tcW w:w="78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1015"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1007"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90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90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4" w:type="pct"/>
            <w:tcBorders>
              <w:top w:val="single" w:color="auto" w:sz="4" w:space="0"/>
              <w:left w:val="single" w:color="auto" w:sz="4" w:space="0"/>
              <w:bottom w:val="single" w:color="auto" w:sz="4" w:space="0"/>
              <w:right w:val="single" w:color="auto" w:sz="4" w:space="0"/>
            </w:tcBorders>
            <w:noWrap w:val="0"/>
            <w:vAlign w:val="center"/>
          </w:tcPr>
          <w:p>
            <w:pPr>
              <w:pStyle w:val="67"/>
              <w:numPr>
                <w:ilvl w:val="0"/>
                <w:numId w:val="52"/>
              </w:numPr>
              <w:tabs>
                <w:tab w:val="left" w:pos="199"/>
                <w:tab w:val="left" w:pos="360"/>
              </w:tabs>
              <w:jc w:val="center"/>
              <w:rPr>
                <w:rFonts w:ascii="黑体" w:hAnsi="Times New Roman" w:eastAsia="黑体"/>
                <w:color w:val="auto"/>
                <w:sz w:val="21"/>
                <w:szCs w:val="21"/>
              </w:rPr>
            </w:pPr>
          </w:p>
        </w:tc>
        <w:tc>
          <w:tcPr>
            <w:tcW w:w="78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1015"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1007"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90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90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4" w:type="pct"/>
            <w:tcBorders>
              <w:top w:val="single" w:color="auto" w:sz="4" w:space="0"/>
              <w:left w:val="single" w:color="auto" w:sz="4" w:space="0"/>
              <w:bottom w:val="single" w:color="auto" w:sz="4" w:space="0"/>
              <w:right w:val="single" w:color="auto" w:sz="4" w:space="0"/>
            </w:tcBorders>
            <w:noWrap w:val="0"/>
            <w:vAlign w:val="center"/>
          </w:tcPr>
          <w:p>
            <w:pPr>
              <w:pStyle w:val="67"/>
              <w:numPr>
                <w:ilvl w:val="0"/>
                <w:numId w:val="52"/>
              </w:numPr>
              <w:tabs>
                <w:tab w:val="left" w:pos="199"/>
                <w:tab w:val="left" w:pos="360"/>
              </w:tabs>
              <w:jc w:val="center"/>
              <w:rPr>
                <w:rFonts w:ascii="黑体" w:hAnsi="Times New Roman" w:eastAsia="黑体"/>
                <w:color w:val="auto"/>
                <w:sz w:val="21"/>
                <w:szCs w:val="21"/>
              </w:rPr>
            </w:pPr>
          </w:p>
        </w:tc>
        <w:tc>
          <w:tcPr>
            <w:tcW w:w="78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1015"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1007"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90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90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4" w:type="pct"/>
            <w:tcBorders>
              <w:top w:val="single" w:color="auto" w:sz="4" w:space="0"/>
              <w:left w:val="single" w:color="auto" w:sz="4" w:space="0"/>
              <w:bottom w:val="single" w:color="auto" w:sz="4" w:space="0"/>
              <w:right w:val="single" w:color="auto" w:sz="4" w:space="0"/>
            </w:tcBorders>
            <w:noWrap w:val="0"/>
            <w:vAlign w:val="center"/>
          </w:tcPr>
          <w:p>
            <w:pPr>
              <w:pStyle w:val="67"/>
              <w:numPr>
                <w:ilvl w:val="0"/>
                <w:numId w:val="52"/>
              </w:numPr>
              <w:tabs>
                <w:tab w:val="left" w:pos="199"/>
                <w:tab w:val="left" w:pos="360"/>
              </w:tabs>
              <w:jc w:val="center"/>
              <w:rPr>
                <w:rFonts w:ascii="黑体" w:hAnsi="Times New Roman" w:eastAsia="黑体"/>
                <w:color w:val="auto"/>
                <w:sz w:val="21"/>
                <w:szCs w:val="21"/>
              </w:rPr>
            </w:pPr>
          </w:p>
        </w:tc>
        <w:tc>
          <w:tcPr>
            <w:tcW w:w="78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1015"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1007"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90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c>
          <w:tcPr>
            <w:tcW w:w="908" w:type="pct"/>
            <w:tcBorders>
              <w:top w:val="single" w:color="auto" w:sz="4" w:space="0"/>
              <w:left w:val="single" w:color="auto" w:sz="4" w:space="0"/>
              <w:bottom w:val="single" w:color="auto" w:sz="4" w:space="0"/>
              <w:right w:val="single" w:color="auto" w:sz="4" w:space="0"/>
            </w:tcBorders>
            <w:noWrap w:val="0"/>
            <w:vAlign w:val="center"/>
          </w:tcPr>
          <w:p>
            <w:pPr>
              <w:pStyle w:val="67"/>
              <w:tabs>
                <w:tab w:val="left" w:pos="540"/>
              </w:tabs>
              <w:jc w:val="center"/>
              <w:rPr>
                <w:rFonts w:ascii="Times New Roman" w:hAnsi="Times New Roman"/>
                <w:color w:val="auto"/>
                <w:sz w:val="21"/>
                <w:szCs w:val="21"/>
              </w:rPr>
            </w:pPr>
          </w:p>
        </w:tc>
      </w:tr>
    </w:tbl>
    <w:p>
      <w:pPr>
        <w:pStyle w:val="67"/>
        <w:tabs>
          <w:tab w:val="left" w:pos="540"/>
        </w:tabs>
        <w:spacing w:line="440" w:lineRule="exact"/>
        <w:rPr>
          <w:rFonts w:hint="eastAsia" w:ascii="宋体" w:hAnsi="宋体" w:cs="宋体"/>
          <w:color w:val="auto"/>
          <w:sz w:val="21"/>
          <w:szCs w:val="21"/>
          <w:lang w:val="en-GB"/>
        </w:rPr>
      </w:pPr>
      <w:r>
        <w:rPr>
          <w:rFonts w:hint="eastAsia" w:ascii="宋体" w:hAnsi="宋体" w:cs="宋体"/>
          <w:color w:val="auto"/>
          <w:sz w:val="21"/>
          <w:szCs w:val="21"/>
          <w:lang w:val="en-GB"/>
        </w:rPr>
        <w:t>说明：</w:t>
      </w:r>
    </w:p>
    <w:p>
      <w:pPr>
        <w:pStyle w:val="68"/>
        <w:spacing w:line="440" w:lineRule="exact"/>
        <w:rPr>
          <w:rFonts w:hint="eastAsia" w:ascii="宋体" w:hAnsi="宋体" w:cs="宋体"/>
          <w:color w:val="auto"/>
          <w:szCs w:val="21"/>
          <w:lang w:val="en-GB"/>
        </w:rPr>
      </w:pPr>
      <w:r>
        <w:rPr>
          <w:rFonts w:hint="eastAsia" w:ascii="宋体" w:hAnsi="宋体" w:cs="宋体"/>
          <w:color w:val="auto"/>
          <w:szCs w:val="21"/>
          <w:lang w:val="en-GB"/>
        </w:rPr>
        <w:t>1.以上资质</w:t>
      </w:r>
      <w:r>
        <w:rPr>
          <w:rFonts w:hint="eastAsia" w:ascii="宋体" w:hAnsi="宋体" w:cs="宋体"/>
          <w:color w:val="auto"/>
          <w:kern w:val="0"/>
        </w:rPr>
        <w:t>信息从供应商库获取</w:t>
      </w:r>
      <w:r>
        <w:rPr>
          <w:rFonts w:hint="eastAsia" w:ascii="宋体" w:hAnsi="宋体" w:cs="宋体"/>
          <w:color w:val="auto"/>
          <w:szCs w:val="21"/>
          <w:lang w:val="en-GB"/>
        </w:rPr>
        <w:t>。</w:t>
      </w:r>
    </w:p>
    <w:p>
      <w:pPr>
        <w:pStyle w:val="68"/>
        <w:spacing w:line="440" w:lineRule="exact"/>
        <w:rPr>
          <w:rFonts w:hint="eastAsia" w:ascii="宋体" w:hAnsi="宋体" w:cs="宋体"/>
          <w:color w:val="auto"/>
          <w:szCs w:val="21"/>
          <w:lang w:val="en-GB"/>
        </w:rPr>
      </w:pPr>
      <w:r>
        <w:rPr>
          <w:rFonts w:hint="eastAsia" w:ascii="宋体" w:hAnsi="宋体" w:cs="宋体"/>
          <w:color w:val="auto"/>
          <w:szCs w:val="21"/>
          <w:lang w:val="en-GB"/>
        </w:rPr>
        <w:t>2.以上资质要求详见招标文件。</w:t>
      </w:r>
    </w:p>
    <w:p>
      <w:pPr>
        <w:pStyle w:val="69"/>
        <w:spacing w:line="440" w:lineRule="exact"/>
        <w:rPr>
          <w:rFonts w:hint="eastAsia" w:ascii="宋体" w:hAnsi="宋体" w:cs="宋体"/>
          <w:color w:val="auto"/>
          <w:sz w:val="21"/>
          <w:szCs w:val="21"/>
          <w:lang w:val="en-GB"/>
        </w:rPr>
      </w:pPr>
      <w:r>
        <w:rPr>
          <w:rFonts w:hint="eastAsia" w:ascii="宋体" w:hAnsi="宋体" w:cs="宋体"/>
          <w:color w:val="auto"/>
          <w:sz w:val="21"/>
          <w:szCs w:val="21"/>
          <w:lang w:val="en-GB"/>
        </w:rPr>
        <w:t>3.资质类型分为：企业资质、产品资质、荣誉证书（以上证书应为投标人自有证书，如属于其他企业或其代理产品制造商的资质证书，请在《技术方案总体内容》中提供）。</w:t>
      </w:r>
    </w:p>
    <w:p>
      <w:pPr>
        <w:pStyle w:val="64"/>
        <w:outlineLvl w:val="1"/>
        <w:rPr>
          <w:rFonts w:hint="eastAsia" w:cs="Times New Roman"/>
          <w:color w:val="auto"/>
          <w:lang w:val="en-US" w:eastAsia="zh-CN"/>
        </w:rPr>
      </w:pPr>
      <w:r>
        <w:rPr>
          <w:color w:val="auto"/>
        </w:rPr>
        <w:br w:type="page"/>
      </w:r>
      <w:r>
        <w:rPr>
          <w:rFonts w:hint="eastAsia"/>
          <w:color w:val="auto"/>
          <w:lang w:val="en-US" w:eastAsia="zh-CN"/>
        </w:rPr>
        <w:t>十一、</w:t>
      </w:r>
      <w:r>
        <w:rPr>
          <w:rFonts w:hint="eastAsia" w:cs="Times New Roman"/>
          <w:color w:val="auto"/>
          <w:lang w:val="en-US" w:eastAsia="zh-CN"/>
        </w:rPr>
        <w:t>实施本项目的相关主要人员情况</w:t>
      </w:r>
    </w:p>
    <w:p>
      <w:pPr>
        <w:pStyle w:val="4"/>
        <w:pageBreakBefore w:val="0"/>
        <w:kinsoku/>
        <w:wordWrap w:val="0"/>
        <w:overflowPunct/>
        <w:topLinePunct w:val="0"/>
        <w:bidi w:val="0"/>
        <w:adjustRightInd/>
        <w:snapToGrid/>
        <w:jc w:val="center"/>
        <w:rPr>
          <w:rFonts w:hint="eastAsia"/>
          <w:color w:val="auto"/>
        </w:rPr>
      </w:pPr>
    </w:p>
    <w:p>
      <w:pPr>
        <w:pStyle w:val="4"/>
        <w:pageBreakBefore w:val="0"/>
        <w:kinsoku/>
        <w:wordWrap w:val="0"/>
        <w:overflowPunct/>
        <w:topLinePunct w:val="0"/>
        <w:bidi w:val="0"/>
        <w:adjustRightInd/>
        <w:snapToGrid/>
        <w:jc w:val="center"/>
        <w:rPr>
          <w:rFonts w:hint="eastAsia"/>
          <w:color w:val="auto"/>
        </w:rPr>
      </w:pPr>
      <w:r>
        <w:rPr>
          <w:rFonts w:hint="eastAsia"/>
          <w:color w:val="auto"/>
        </w:rPr>
        <w:t>拟派项目组人员情况</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1135"/>
        <w:gridCol w:w="1317"/>
        <w:gridCol w:w="2797"/>
        <w:gridCol w:w="1312"/>
        <w:gridCol w:w="1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810" w:type="dxa"/>
            <w:shd w:val="clear" w:color="auto" w:fill="F3F3F3"/>
            <w:noWrap w:val="0"/>
            <w:vAlign w:val="center"/>
          </w:tcPr>
          <w:p>
            <w:pPr>
              <w:pageBreakBefore w:val="0"/>
              <w:kinsoku/>
              <w:wordWrap w:val="0"/>
              <w:overflowPunct/>
              <w:topLinePunct w:val="0"/>
              <w:bidi w:val="0"/>
              <w:adjustRightInd/>
              <w:snapToGrid/>
              <w:jc w:val="center"/>
              <w:rPr>
                <w:b/>
                <w:color w:val="auto"/>
                <w:sz w:val="21"/>
                <w:szCs w:val="21"/>
              </w:rPr>
            </w:pPr>
            <w:r>
              <w:rPr>
                <w:rFonts w:hint="eastAsia"/>
                <w:b/>
                <w:color w:val="auto"/>
                <w:sz w:val="21"/>
                <w:szCs w:val="21"/>
              </w:rPr>
              <w:t>职责分工</w:t>
            </w:r>
          </w:p>
        </w:tc>
        <w:tc>
          <w:tcPr>
            <w:tcW w:w="1135" w:type="dxa"/>
            <w:shd w:val="clear" w:color="auto" w:fill="F3F3F3"/>
            <w:noWrap w:val="0"/>
            <w:vAlign w:val="center"/>
          </w:tcPr>
          <w:p>
            <w:pPr>
              <w:pageBreakBefore w:val="0"/>
              <w:kinsoku/>
              <w:wordWrap w:val="0"/>
              <w:overflowPunct/>
              <w:topLinePunct w:val="0"/>
              <w:bidi w:val="0"/>
              <w:adjustRightInd/>
              <w:snapToGrid/>
              <w:jc w:val="center"/>
              <w:rPr>
                <w:b/>
                <w:color w:val="auto"/>
                <w:sz w:val="21"/>
                <w:szCs w:val="21"/>
              </w:rPr>
            </w:pPr>
            <w:r>
              <w:rPr>
                <w:rFonts w:hint="eastAsia"/>
                <w:b/>
                <w:color w:val="auto"/>
                <w:sz w:val="21"/>
                <w:szCs w:val="21"/>
              </w:rPr>
              <w:t>姓名</w:t>
            </w:r>
          </w:p>
        </w:tc>
        <w:tc>
          <w:tcPr>
            <w:tcW w:w="1317" w:type="dxa"/>
            <w:shd w:val="clear" w:color="auto" w:fill="F3F3F3"/>
            <w:noWrap w:val="0"/>
            <w:vAlign w:val="center"/>
          </w:tcPr>
          <w:p>
            <w:pPr>
              <w:pageBreakBefore w:val="0"/>
              <w:kinsoku/>
              <w:wordWrap w:val="0"/>
              <w:overflowPunct/>
              <w:topLinePunct w:val="0"/>
              <w:bidi w:val="0"/>
              <w:adjustRightInd/>
              <w:snapToGrid/>
              <w:jc w:val="center"/>
              <w:rPr>
                <w:b/>
                <w:color w:val="auto"/>
                <w:sz w:val="21"/>
                <w:szCs w:val="21"/>
              </w:rPr>
            </w:pPr>
            <w:r>
              <w:rPr>
                <w:rFonts w:hint="eastAsia"/>
                <w:b/>
                <w:color w:val="auto"/>
                <w:sz w:val="21"/>
                <w:szCs w:val="21"/>
              </w:rPr>
              <w:t>职务/职称</w:t>
            </w:r>
          </w:p>
        </w:tc>
        <w:tc>
          <w:tcPr>
            <w:tcW w:w="2797" w:type="dxa"/>
            <w:shd w:val="clear" w:color="auto" w:fill="F3F3F3"/>
            <w:noWrap w:val="0"/>
            <w:vAlign w:val="center"/>
          </w:tcPr>
          <w:p>
            <w:pPr>
              <w:pageBreakBefore w:val="0"/>
              <w:kinsoku/>
              <w:wordWrap w:val="0"/>
              <w:overflowPunct/>
              <w:topLinePunct w:val="0"/>
              <w:bidi w:val="0"/>
              <w:adjustRightInd/>
              <w:snapToGrid/>
              <w:jc w:val="center"/>
              <w:rPr>
                <w:b/>
                <w:color w:val="auto"/>
                <w:sz w:val="21"/>
                <w:szCs w:val="21"/>
              </w:rPr>
            </w:pPr>
            <w:r>
              <w:rPr>
                <w:rFonts w:hint="eastAsia"/>
                <w:b/>
                <w:color w:val="auto"/>
                <w:sz w:val="21"/>
                <w:szCs w:val="21"/>
              </w:rPr>
              <w:t>曾主持/参与过的</w:t>
            </w:r>
          </w:p>
          <w:p>
            <w:pPr>
              <w:pageBreakBefore w:val="0"/>
              <w:kinsoku/>
              <w:wordWrap w:val="0"/>
              <w:overflowPunct/>
              <w:topLinePunct w:val="0"/>
              <w:bidi w:val="0"/>
              <w:adjustRightInd/>
              <w:snapToGrid/>
              <w:jc w:val="center"/>
              <w:rPr>
                <w:b/>
                <w:color w:val="auto"/>
                <w:sz w:val="21"/>
                <w:szCs w:val="21"/>
              </w:rPr>
            </w:pPr>
            <w:r>
              <w:rPr>
                <w:rFonts w:hint="eastAsia"/>
                <w:b/>
                <w:color w:val="auto"/>
                <w:sz w:val="21"/>
                <w:szCs w:val="21"/>
              </w:rPr>
              <w:t>同类项目经历</w:t>
            </w:r>
          </w:p>
        </w:tc>
        <w:tc>
          <w:tcPr>
            <w:tcW w:w="1312" w:type="dxa"/>
            <w:shd w:val="clear" w:color="auto" w:fill="F3F3F3"/>
            <w:noWrap w:val="0"/>
            <w:vAlign w:val="center"/>
          </w:tcPr>
          <w:p>
            <w:pPr>
              <w:pageBreakBefore w:val="0"/>
              <w:kinsoku/>
              <w:wordWrap w:val="0"/>
              <w:overflowPunct/>
              <w:topLinePunct w:val="0"/>
              <w:bidi w:val="0"/>
              <w:adjustRightInd/>
              <w:snapToGrid/>
              <w:ind w:firstLine="12"/>
              <w:jc w:val="center"/>
              <w:rPr>
                <w:b/>
                <w:color w:val="auto"/>
                <w:sz w:val="21"/>
                <w:szCs w:val="21"/>
              </w:rPr>
            </w:pPr>
            <w:r>
              <w:rPr>
                <w:rFonts w:hint="eastAsia"/>
                <w:b/>
                <w:color w:val="auto"/>
                <w:sz w:val="21"/>
                <w:szCs w:val="21"/>
              </w:rPr>
              <w:t>联系电话</w:t>
            </w:r>
          </w:p>
          <w:p>
            <w:pPr>
              <w:pageBreakBefore w:val="0"/>
              <w:kinsoku/>
              <w:wordWrap w:val="0"/>
              <w:overflowPunct/>
              <w:topLinePunct w:val="0"/>
              <w:bidi w:val="0"/>
              <w:adjustRightInd/>
              <w:snapToGrid/>
              <w:ind w:firstLine="12"/>
              <w:jc w:val="center"/>
              <w:rPr>
                <w:b/>
                <w:color w:val="auto"/>
                <w:sz w:val="21"/>
                <w:szCs w:val="21"/>
              </w:rPr>
            </w:pPr>
            <w:r>
              <w:rPr>
                <w:rFonts w:hint="eastAsia"/>
                <w:b/>
                <w:color w:val="auto"/>
                <w:sz w:val="21"/>
                <w:szCs w:val="21"/>
              </w:rPr>
              <w:t>手机</w:t>
            </w:r>
          </w:p>
        </w:tc>
        <w:tc>
          <w:tcPr>
            <w:tcW w:w="1129" w:type="dxa"/>
            <w:shd w:val="clear" w:color="auto" w:fill="F3F3F3"/>
            <w:noWrap w:val="0"/>
            <w:vAlign w:val="center"/>
          </w:tcPr>
          <w:p>
            <w:pPr>
              <w:pageBreakBefore w:val="0"/>
              <w:kinsoku/>
              <w:wordWrap w:val="0"/>
              <w:overflowPunct/>
              <w:topLinePunct w:val="0"/>
              <w:bidi w:val="0"/>
              <w:adjustRightInd/>
              <w:snapToGrid/>
              <w:ind w:firstLine="12"/>
              <w:jc w:val="center"/>
              <w:rPr>
                <w:b/>
                <w:color w:val="auto"/>
                <w:sz w:val="21"/>
                <w:szCs w:val="21"/>
              </w:rPr>
            </w:pPr>
            <w:r>
              <w:rPr>
                <w:rFonts w:hint="eastAsia"/>
                <w:b/>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810" w:type="dxa"/>
            <w:noWrap w:val="0"/>
            <w:vAlign w:val="center"/>
          </w:tcPr>
          <w:p>
            <w:pPr>
              <w:pageBreakBefore w:val="0"/>
              <w:kinsoku/>
              <w:wordWrap w:val="0"/>
              <w:overflowPunct/>
              <w:topLinePunct w:val="0"/>
              <w:bidi w:val="0"/>
              <w:adjustRightInd/>
              <w:snapToGrid/>
              <w:jc w:val="center"/>
              <w:rPr>
                <w:color w:val="auto"/>
                <w:sz w:val="21"/>
                <w:szCs w:val="21"/>
              </w:rPr>
            </w:pPr>
          </w:p>
        </w:tc>
        <w:tc>
          <w:tcPr>
            <w:tcW w:w="1135" w:type="dxa"/>
            <w:noWrap w:val="0"/>
            <w:vAlign w:val="center"/>
          </w:tcPr>
          <w:p>
            <w:pPr>
              <w:pageBreakBefore w:val="0"/>
              <w:kinsoku/>
              <w:wordWrap w:val="0"/>
              <w:overflowPunct/>
              <w:topLinePunct w:val="0"/>
              <w:bidi w:val="0"/>
              <w:adjustRightInd/>
              <w:snapToGrid/>
              <w:jc w:val="center"/>
              <w:rPr>
                <w:color w:val="auto"/>
                <w:sz w:val="21"/>
                <w:szCs w:val="21"/>
              </w:rPr>
            </w:pPr>
          </w:p>
        </w:tc>
        <w:tc>
          <w:tcPr>
            <w:tcW w:w="1317" w:type="dxa"/>
            <w:noWrap w:val="0"/>
            <w:vAlign w:val="center"/>
          </w:tcPr>
          <w:p>
            <w:pPr>
              <w:pageBreakBefore w:val="0"/>
              <w:kinsoku/>
              <w:wordWrap w:val="0"/>
              <w:overflowPunct/>
              <w:topLinePunct w:val="0"/>
              <w:bidi w:val="0"/>
              <w:adjustRightInd/>
              <w:snapToGrid/>
              <w:jc w:val="center"/>
              <w:rPr>
                <w:color w:val="auto"/>
                <w:sz w:val="21"/>
                <w:szCs w:val="21"/>
              </w:rPr>
            </w:pPr>
          </w:p>
        </w:tc>
        <w:tc>
          <w:tcPr>
            <w:tcW w:w="2797" w:type="dxa"/>
            <w:noWrap w:val="0"/>
            <w:vAlign w:val="center"/>
          </w:tcPr>
          <w:p>
            <w:pPr>
              <w:pStyle w:val="70"/>
              <w:keepNext w:val="0"/>
              <w:pageBreakBefore w:val="0"/>
              <w:kinsoku/>
              <w:wordWrap w:val="0"/>
              <w:overflowPunct/>
              <w:topLinePunct w:val="0"/>
              <w:bidi w:val="0"/>
              <w:adjustRightInd/>
              <w:snapToGrid/>
              <w:spacing w:before="0" w:after="0" w:line="240" w:lineRule="auto"/>
              <w:textAlignment w:val="auto"/>
              <w:rPr>
                <w:rFonts w:ascii="宋体" w:hAnsi="宋体"/>
                <w:color w:val="auto"/>
                <w:spacing w:val="0"/>
                <w:kern w:val="2"/>
                <w:sz w:val="21"/>
                <w:szCs w:val="21"/>
                <w:lang w:val="en-US" w:eastAsia="zh-CN"/>
              </w:rPr>
            </w:pPr>
          </w:p>
        </w:tc>
        <w:tc>
          <w:tcPr>
            <w:tcW w:w="1312" w:type="dxa"/>
            <w:noWrap w:val="0"/>
            <w:vAlign w:val="center"/>
          </w:tcPr>
          <w:p>
            <w:pPr>
              <w:pageBreakBefore w:val="0"/>
              <w:kinsoku/>
              <w:wordWrap w:val="0"/>
              <w:overflowPunct/>
              <w:topLinePunct w:val="0"/>
              <w:bidi w:val="0"/>
              <w:adjustRightInd/>
              <w:snapToGrid/>
              <w:ind w:firstLine="12"/>
              <w:jc w:val="center"/>
              <w:rPr>
                <w:color w:val="auto"/>
                <w:sz w:val="21"/>
                <w:szCs w:val="21"/>
              </w:rPr>
            </w:pPr>
          </w:p>
        </w:tc>
        <w:tc>
          <w:tcPr>
            <w:tcW w:w="1129" w:type="dxa"/>
            <w:noWrap w:val="0"/>
            <w:vAlign w:val="center"/>
          </w:tcPr>
          <w:p>
            <w:pPr>
              <w:pageBreakBefore w:val="0"/>
              <w:kinsoku/>
              <w:wordWrap w:val="0"/>
              <w:overflowPunct/>
              <w:topLinePunct w:val="0"/>
              <w:bidi w:val="0"/>
              <w:adjustRightInd/>
              <w:snapToGrid/>
              <w:ind w:firstLine="12"/>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810" w:type="dxa"/>
            <w:noWrap w:val="0"/>
            <w:vAlign w:val="center"/>
          </w:tcPr>
          <w:p>
            <w:pPr>
              <w:pageBreakBefore w:val="0"/>
              <w:kinsoku/>
              <w:wordWrap w:val="0"/>
              <w:overflowPunct/>
              <w:topLinePunct w:val="0"/>
              <w:bidi w:val="0"/>
              <w:adjustRightInd/>
              <w:snapToGrid/>
              <w:jc w:val="center"/>
              <w:rPr>
                <w:color w:val="auto"/>
                <w:sz w:val="21"/>
                <w:szCs w:val="21"/>
              </w:rPr>
            </w:pPr>
          </w:p>
        </w:tc>
        <w:tc>
          <w:tcPr>
            <w:tcW w:w="1135" w:type="dxa"/>
            <w:noWrap w:val="0"/>
            <w:vAlign w:val="center"/>
          </w:tcPr>
          <w:p>
            <w:pPr>
              <w:pageBreakBefore w:val="0"/>
              <w:kinsoku/>
              <w:wordWrap w:val="0"/>
              <w:overflowPunct/>
              <w:topLinePunct w:val="0"/>
              <w:bidi w:val="0"/>
              <w:adjustRightInd/>
              <w:snapToGrid/>
              <w:jc w:val="center"/>
              <w:rPr>
                <w:color w:val="auto"/>
                <w:sz w:val="21"/>
                <w:szCs w:val="21"/>
              </w:rPr>
            </w:pPr>
          </w:p>
        </w:tc>
        <w:tc>
          <w:tcPr>
            <w:tcW w:w="1317" w:type="dxa"/>
            <w:noWrap w:val="0"/>
            <w:vAlign w:val="center"/>
          </w:tcPr>
          <w:p>
            <w:pPr>
              <w:pageBreakBefore w:val="0"/>
              <w:kinsoku/>
              <w:wordWrap w:val="0"/>
              <w:overflowPunct/>
              <w:topLinePunct w:val="0"/>
              <w:bidi w:val="0"/>
              <w:adjustRightInd/>
              <w:snapToGrid/>
              <w:jc w:val="center"/>
              <w:rPr>
                <w:color w:val="auto"/>
                <w:sz w:val="21"/>
                <w:szCs w:val="21"/>
              </w:rPr>
            </w:pPr>
          </w:p>
        </w:tc>
        <w:tc>
          <w:tcPr>
            <w:tcW w:w="2797" w:type="dxa"/>
            <w:noWrap w:val="0"/>
            <w:vAlign w:val="center"/>
          </w:tcPr>
          <w:p>
            <w:pPr>
              <w:pStyle w:val="70"/>
              <w:keepNext w:val="0"/>
              <w:pageBreakBefore w:val="0"/>
              <w:kinsoku/>
              <w:wordWrap w:val="0"/>
              <w:overflowPunct/>
              <w:topLinePunct w:val="0"/>
              <w:bidi w:val="0"/>
              <w:adjustRightInd/>
              <w:snapToGrid/>
              <w:spacing w:before="0" w:after="0" w:line="240" w:lineRule="auto"/>
              <w:textAlignment w:val="auto"/>
              <w:rPr>
                <w:rFonts w:ascii="宋体" w:hAnsi="宋体"/>
                <w:color w:val="auto"/>
                <w:spacing w:val="0"/>
                <w:kern w:val="2"/>
                <w:sz w:val="21"/>
                <w:szCs w:val="21"/>
                <w:lang w:val="en-US" w:eastAsia="zh-CN"/>
              </w:rPr>
            </w:pPr>
          </w:p>
        </w:tc>
        <w:tc>
          <w:tcPr>
            <w:tcW w:w="1312" w:type="dxa"/>
            <w:noWrap w:val="0"/>
            <w:vAlign w:val="center"/>
          </w:tcPr>
          <w:p>
            <w:pPr>
              <w:pageBreakBefore w:val="0"/>
              <w:kinsoku/>
              <w:wordWrap w:val="0"/>
              <w:overflowPunct/>
              <w:topLinePunct w:val="0"/>
              <w:bidi w:val="0"/>
              <w:adjustRightInd/>
              <w:snapToGrid/>
              <w:ind w:firstLine="12"/>
              <w:jc w:val="center"/>
              <w:rPr>
                <w:color w:val="auto"/>
                <w:sz w:val="21"/>
                <w:szCs w:val="21"/>
              </w:rPr>
            </w:pPr>
          </w:p>
        </w:tc>
        <w:tc>
          <w:tcPr>
            <w:tcW w:w="1129" w:type="dxa"/>
            <w:noWrap w:val="0"/>
            <w:vAlign w:val="center"/>
          </w:tcPr>
          <w:p>
            <w:pPr>
              <w:pageBreakBefore w:val="0"/>
              <w:kinsoku/>
              <w:wordWrap w:val="0"/>
              <w:overflowPunct/>
              <w:topLinePunct w:val="0"/>
              <w:bidi w:val="0"/>
              <w:adjustRightInd/>
              <w:snapToGrid/>
              <w:ind w:firstLine="12"/>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810" w:type="dxa"/>
            <w:noWrap w:val="0"/>
            <w:vAlign w:val="center"/>
          </w:tcPr>
          <w:p>
            <w:pPr>
              <w:pageBreakBefore w:val="0"/>
              <w:kinsoku/>
              <w:wordWrap w:val="0"/>
              <w:overflowPunct/>
              <w:topLinePunct w:val="0"/>
              <w:bidi w:val="0"/>
              <w:adjustRightInd/>
              <w:snapToGrid/>
              <w:jc w:val="center"/>
              <w:rPr>
                <w:color w:val="auto"/>
                <w:sz w:val="21"/>
                <w:szCs w:val="21"/>
              </w:rPr>
            </w:pPr>
          </w:p>
        </w:tc>
        <w:tc>
          <w:tcPr>
            <w:tcW w:w="1135" w:type="dxa"/>
            <w:noWrap w:val="0"/>
            <w:vAlign w:val="center"/>
          </w:tcPr>
          <w:p>
            <w:pPr>
              <w:pageBreakBefore w:val="0"/>
              <w:kinsoku/>
              <w:wordWrap w:val="0"/>
              <w:overflowPunct/>
              <w:topLinePunct w:val="0"/>
              <w:bidi w:val="0"/>
              <w:adjustRightInd/>
              <w:snapToGrid/>
              <w:jc w:val="center"/>
              <w:rPr>
                <w:color w:val="auto"/>
                <w:sz w:val="21"/>
                <w:szCs w:val="21"/>
              </w:rPr>
            </w:pPr>
          </w:p>
        </w:tc>
        <w:tc>
          <w:tcPr>
            <w:tcW w:w="1317" w:type="dxa"/>
            <w:noWrap w:val="0"/>
            <w:vAlign w:val="center"/>
          </w:tcPr>
          <w:p>
            <w:pPr>
              <w:pageBreakBefore w:val="0"/>
              <w:kinsoku/>
              <w:wordWrap w:val="0"/>
              <w:overflowPunct/>
              <w:topLinePunct w:val="0"/>
              <w:bidi w:val="0"/>
              <w:adjustRightInd/>
              <w:snapToGrid/>
              <w:jc w:val="center"/>
              <w:rPr>
                <w:color w:val="auto"/>
                <w:sz w:val="21"/>
                <w:szCs w:val="21"/>
              </w:rPr>
            </w:pPr>
          </w:p>
        </w:tc>
        <w:tc>
          <w:tcPr>
            <w:tcW w:w="2797" w:type="dxa"/>
            <w:noWrap w:val="0"/>
            <w:vAlign w:val="center"/>
          </w:tcPr>
          <w:p>
            <w:pPr>
              <w:pStyle w:val="70"/>
              <w:keepNext w:val="0"/>
              <w:pageBreakBefore w:val="0"/>
              <w:kinsoku/>
              <w:wordWrap w:val="0"/>
              <w:overflowPunct/>
              <w:topLinePunct w:val="0"/>
              <w:bidi w:val="0"/>
              <w:adjustRightInd/>
              <w:snapToGrid/>
              <w:spacing w:before="0" w:after="0" w:line="240" w:lineRule="auto"/>
              <w:textAlignment w:val="auto"/>
              <w:rPr>
                <w:rFonts w:ascii="宋体" w:hAnsi="宋体"/>
                <w:color w:val="auto"/>
                <w:spacing w:val="0"/>
                <w:kern w:val="2"/>
                <w:sz w:val="21"/>
                <w:szCs w:val="21"/>
                <w:lang w:val="en-US" w:eastAsia="zh-CN"/>
              </w:rPr>
            </w:pPr>
          </w:p>
        </w:tc>
        <w:tc>
          <w:tcPr>
            <w:tcW w:w="1312" w:type="dxa"/>
            <w:noWrap w:val="0"/>
            <w:vAlign w:val="center"/>
          </w:tcPr>
          <w:p>
            <w:pPr>
              <w:pageBreakBefore w:val="0"/>
              <w:kinsoku/>
              <w:wordWrap w:val="0"/>
              <w:overflowPunct/>
              <w:topLinePunct w:val="0"/>
              <w:bidi w:val="0"/>
              <w:adjustRightInd/>
              <w:snapToGrid/>
              <w:ind w:firstLine="12"/>
              <w:jc w:val="center"/>
              <w:rPr>
                <w:color w:val="auto"/>
                <w:sz w:val="21"/>
                <w:szCs w:val="21"/>
              </w:rPr>
            </w:pPr>
          </w:p>
        </w:tc>
        <w:tc>
          <w:tcPr>
            <w:tcW w:w="1129" w:type="dxa"/>
            <w:noWrap w:val="0"/>
            <w:vAlign w:val="center"/>
          </w:tcPr>
          <w:p>
            <w:pPr>
              <w:pageBreakBefore w:val="0"/>
              <w:kinsoku/>
              <w:wordWrap w:val="0"/>
              <w:overflowPunct/>
              <w:topLinePunct w:val="0"/>
              <w:bidi w:val="0"/>
              <w:adjustRightInd/>
              <w:snapToGrid/>
              <w:ind w:firstLine="12"/>
              <w:jc w:val="center"/>
              <w:rPr>
                <w:color w:val="auto"/>
                <w:sz w:val="21"/>
                <w:szCs w:val="21"/>
              </w:rPr>
            </w:pPr>
          </w:p>
        </w:tc>
      </w:tr>
    </w:tbl>
    <w:p>
      <w:pPr>
        <w:pageBreakBefore w:val="0"/>
        <w:kinsoku/>
        <w:wordWrap w:val="0"/>
        <w:overflowPunct/>
        <w:topLinePunct w:val="0"/>
        <w:bidi w:val="0"/>
        <w:adjustRightInd/>
        <w:snapToGrid/>
        <w:spacing w:line="312" w:lineRule="auto"/>
        <w:rPr>
          <w:b/>
          <w:color w:val="auto"/>
          <w:sz w:val="21"/>
          <w:szCs w:val="21"/>
          <w:u w:val="double"/>
        </w:rPr>
      </w:pPr>
    </w:p>
    <w:p>
      <w:pPr>
        <w:pageBreakBefore w:val="0"/>
        <w:kinsoku/>
        <w:wordWrap w:val="0"/>
        <w:overflowPunct/>
        <w:topLinePunct w:val="0"/>
        <w:bidi w:val="0"/>
        <w:adjustRightInd/>
        <w:snapToGrid/>
        <w:spacing w:line="276" w:lineRule="auto"/>
        <w:rPr>
          <w:rFonts w:hint="eastAsia" w:ascii="仿宋" w:hAnsi="仿宋" w:eastAsia="仿宋"/>
          <w:b/>
          <w:bCs/>
          <w:color w:val="auto"/>
          <w:sz w:val="21"/>
          <w:szCs w:val="20"/>
        </w:rPr>
      </w:pPr>
      <w:r>
        <w:rPr>
          <w:rFonts w:hint="eastAsia" w:ascii="仿宋" w:hAnsi="仿宋" w:eastAsia="仿宋"/>
          <w:b/>
          <w:bCs/>
          <w:color w:val="auto"/>
          <w:sz w:val="21"/>
          <w:szCs w:val="20"/>
        </w:rPr>
        <w:t>注：</w:t>
      </w:r>
    </w:p>
    <w:p>
      <w:pPr>
        <w:pageBreakBefore w:val="0"/>
        <w:kinsoku/>
        <w:wordWrap w:val="0"/>
        <w:overflowPunct/>
        <w:topLinePunct w:val="0"/>
        <w:bidi w:val="0"/>
        <w:adjustRightInd/>
        <w:snapToGrid/>
        <w:spacing w:line="276" w:lineRule="auto"/>
        <w:ind w:left="315" w:hanging="315" w:hangingChars="150"/>
        <w:rPr>
          <w:rFonts w:hint="eastAsia" w:ascii="仿宋" w:hAnsi="仿宋" w:eastAsia="仿宋"/>
          <w:color w:val="auto"/>
          <w:sz w:val="21"/>
          <w:szCs w:val="20"/>
          <w:lang w:val="en-GB"/>
        </w:rPr>
      </w:pPr>
      <w:r>
        <w:rPr>
          <w:rFonts w:hint="eastAsia" w:ascii="仿宋" w:hAnsi="仿宋" w:eastAsia="仿宋"/>
          <w:color w:val="auto"/>
          <w:sz w:val="21"/>
          <w:szCs w:val="20"/>
          <w:lang w:val="en-GB"/>
        </w:rPr>
        <w:t>(1)请在此表内填写拟派项目组人员情况，并在本表后附上对应的证明材料（复印件或扫描件或网页打印件均须加盖投标人单位公章）；</w:t>
      </w:r>
    </w:p>
    <w:p>
      <w:pPr>
        <w:pageBreakBefore w:val="0"/>
        <w:kinsoku/>
        <w:wordWrap w:val="0"/>
        <w:overflowPunct/>
        <w:topLinePunct w:val="0"/>
        <w:bidi w:val="0"/>
        <w:adjustRightInd/>
        <w:snapToGrid/>
        <w:spacing w:line="276" w:lineRule="auto"/>
        <w:ind w:left="315" w:hanging="315" w:hangingChars="150"/>
        <w:rPr>
          <w:rFonts w:hint="eastAsia" w:ascii="仿宋" w:hAnsi="仿宋" w:eastAsia="仿宋"/>
          <w:color w:val="auto"/>
          <w:sz w:val="21"/>
          <w:szCs w:val="20"/>
          <w:lang w:val="en-GB"/>
        </w:rPr>
      </w:pPr>
      <w:r>
        <w:rPr>
          <w:rFonts w:hint="eastAsia" w:ascii="仿宋" w:hAnsi="仿宋" w:eastAsia="仿宋"/>
          <w:color w:val="auto"/>
          <w:sz w:val="21"/>
          <w:szCs w:val="20"/>
          <w:lang w:val="en-GB"/>
        </w:rPr>
        <w:t>(2)所提交的证明材料内容请参照本项目的评审子项要求；（如有）</w:t>
      </w:r>
    </w:p>
    <w:p>
      <w:pPr>
        <w:pStyle w:val="64"/>
        <w:outlineLvl w:val="1"/>
        <w:rPr>
          <w:color w:val="auto"/>
        </w:rPr>
      </w:pPr>
      <w:r>
        <w:rPr>
          <w:rFonts w:hint="eastAsia" w:ascii="仿宋" w:hAnsi="仿宋" w:eastAsia="仿宋"/>
          <w:color w:val="auto"/>
          <w:sz w:val="21"/>
          <w:szCs w:val="20"/>
          <w:lang w:val="en-GB"/>
        </w:rPr>
        <w:t>(</w:t>
      </w:r>
      <w:r>
        <w:rPr>
          <w:rFonts w:ascii="仿宋" w:hAnsi="仿宋" w:eastAsia="仿宋"/>
          <w:color w:val="auto"/>
          <w:sz w:val="21"/>
          <w:szCs w:val="20"/>
          <w:lang w:val="en-GB"/>
        </w:rPr>
        <w:t>3</w:t>
      </w:r>
      <w:r>
        <w:rPr>
          <w:rFonts w:hint="eastAsia" w:ascii="仿宋" w:hAnsi="仿宋" w:eastAsia="仿宋"/>
          <w:color w:val="auto"/>
          <w:sz w:val="21"/>
          <w:szCs w:val="20"/>
          <w:lang w:val="en-GB"/>
        </w:rPr>
        <w:t>)编制投标文件时此注释文字可删除。</w:t>
      </w:r>
      <w:r>
        <w:rPr>
          <w:color w:val="auto"/>
        </w:rPr>
        <w:br w:type="page"/>
      </w:r>
    </w:p>
    <w:p>
      <w:pPr>
        <w:pStyle w:val="71"/>
        <w:outlineLvl w:val="1"/>
        <w:rPr>
          <w:color w:val="auto"/>
        </w:rPr>
      </w:pPr>
      <w:r>
        <w:rPr>
          <w:color w:val="auto"/>
        </w:rPr>
        <w:t>十</w:t>
      </w:r>
      <w:r>
        <w:rPr>
          <w:rFonts w:hint="eastAsia"/>
          <w:color w:val="auto"/>
        </w:rPr>
        <w:t>二</w:t>
      </w:r>
      <w:r>
        <w:rPr>
          <w:color w:val="auto"/>
        </w:rPr>
        <w:t>、商务部分其他文件</w:t>
      </w:r>
    </w:p>
    <w:p>
      <w:pPr>
        <w:pStyle w:val="72"/>
        <w:rPr>
          <w:color w:val="auto"/>
        </w:rPr>
      </w:pPr>
    </w:p>
    <w:p>
      <w:pPr>
        <w:widowControl/>
        <w:jc w:val="center"/>
        <w:rPr>
          <w:color w:val="auto"/>
        </w:rPr>
      </w:pPr>
      <w:r>
        <w:rPr>
          <w:rFonts w:hint="eastAsia" w:ascii="宋体" w:hAnsi="宋体" w:cs="宋体"/>
          <w:b/>
          <w:bCs/>
          <w:color w:val="auto"/>
          <w:kern w:val="0"/>
          <w:sz w:val="31"/>
          <w:szCs w:val="31"/>
          <w:lang w:eastAsia="zh-CN" w:bidi="ar"/>
        </w:rPr>
        <w:t>商务部分其他文件</w:t>
      </w:r>
    </w:p>
    <w:p>
      <w:pPr>
        <w:pStyle w:val="69"/>
        <w:spacing w:line="440" w:lineRule="exact"/>
        <w:rPr>
          <w:rFonts w:hint="eastAsia" w:ascii="宋体" w:hAnsi="宋体" w:cs="宋体"/>
          <w:color w:val="auto"/>
          <w:sz w:val="21"/>
          <w:szCs w:val="21"/>
          <w:lang w:val="en-GB"/>
        </w:rPr>
      </w:pPr>
    </w:p>
    <w:p>
      <w:pPr>
        <w:pStyle w:val="69"/>
        <w:spacing w:line="440" w:lineRule="exact"/>
        <w:rPr>
          <w:rFonts w:hint="eastAsia" w:ascii="宋体" w:hAnsi="宋体" w:cs="宋体"/>
          <w:color w:val="auto"/>
          <w:sz w:val="21"/>
          <w:szCs w:val="21"/>
          <w:lang w:val="en-GB"/>
        </w:rPr>
      </w:pPr>
      <w:r>
        <w:rPr>
          <w:rFonts w:hint="eastAsia" w:ascii="宋体" w:hAnsi="宋体" w:cs="宋体"/>
          <w:color w:val="auto"/>
          <w:sz w:val="21"/>
          <w:szCs w:val="21"/>
          <w:lang w:val="en-GB"/>
        </w:rPr>
        <w:t>商务评审内容要求需附的相关证明材料及投标人认为有必要提交的其它商务文件。</w:t>
      </w:r>
    </w:p>
    <w:p>
      <w:pPr>
        <w:pStyle w:val="73"/>
        <w:outlineLvl w:val="1"/>
        <w:rPr>
          <w:color w:val="auto"/>
        </w:rPr>
      </w:pPr>
      <w:r>
        <w:rPr>
          <w:color w:val="auto"/>
        </w:rPr>
        <w:br w:type="page"/>
      </w:r>
      <w:r>
        <w:rPr>
          <w:rFonts w:ascii="黑体" w:hAnsi="黑体" w:eastAsia="黑体"/>
          <w:b/>
          <w:color w:val="auto"/>
          <w:kern w:val="0"/>
          <w:sz w:val="32"/>
        </w:rPr>
        <w:t>十</w:t>
      </w:r>
      <w:r>
        <w:rPr>
          <w:rFonts w:hint="eastAsia" w:ascii="黑体" w:hAnsi="黑体" w:eastAsia="黑体"/>
          <w:b/>
          <w:color w:val="auto"/>
          <w:kern w:val="0"/>
          <w:sz w:val="32"/>
        </w:rPr>
        <w:t>三</w:t>
      </w:r>
      <w:r>
        <w:rPr>
          <w:rFonts w:ascii="黑体" w:hAnsi="黑体" w:eastAsia="黑体"/>
          <w:b/>
          <w:color w:val="auto"/>
          <w:kern w:val="0"/>
          <w:sz w:val="32"/>
        </w:rPr>
        <w:t>、</w:t>
      </w:r>
      <w:r>
        <w:rPr>
          <w:color w:val="auto"/>
        </w:rPr>
        <w:t>技术条款响应表</w:t>
      </w:r>
    </w:p>
    <w:p>
      <w:pPr>
        <w:pStyle w:val="74"/>
        <w:jc w:val="center"/>
        <w:rPr>
          <w:rFonts w:hint="eastAsia"/>
          <w:color w:val="auto"/>
          <w:sz w:val="32"/>
          <w:szCs w:val="32"/>
        </w:rPr>
      </w:pPr>
      <w:r>
        <w:rPr>
          <w:rFonts w:hint="eastAsia"/>
          <w:color w:val="auto"/>
          <w:sz w:val="32"/>
          <w:szCs w:val="32"/>
        </w:rPr>
        <w:fldChar w:fldCharType="begin"/>
      </w:r>
      <w:r>
        <w:rPr>
          <w:color w:val="auto"/>
          <w:sz w:val="32"/>
          <w:szCs w:val="32"/>
        </w:rPr>
        <w:instrText xml:space="preserve"> DOCVARIABLE  </w:instrText>
      </w:r>
      <w:r>
        <w:rPr>
          <w:rFonts w:hint="eastAsia"/>
          <w:color w:val="auto"/>
          <w:sz w:val="32"/>
          <w:szCs w:val="32"/>
        </w:rPr>
        <w:instrText xml:space="preserve">设备技术响应表开始</w:instrText>
      </w:r>
      <w:r>
        <w:rPr>
          <w:color w:val="auto"/>
          <w:sz w:val="32"/>
          <w:szCs w:val="32"/>
        </w:rPr>
        <w:instrText xml:space="preserve">  \* MERGEFORMAT </w:instrText>
      </w:r>
      <w:r>
        <w:rPr>
          <w:rFonts w:hint="eastAsia"/>
          <w:color w:val="auto"/>
          <w:sz w:val="32"/>
          <w:szCs w:val="32"/>
        </w:rPr>
        <w:fldChar w:fldCharType="end"/>
      </w:r>
      <w:r>
        <w:rPr>
          <w:rFonts w:hint="eastAsia"/>
          <w:color w:val="auto"/>
          <w:sz w:val="32"/>
          <w:szCs w:val="32"/>
        </w:rPr>
        <w:t>技术条款响应表</w:t>
      </w:r>
    </w:p>
    <w:tbl>
      <w:tblPr>
        <w:tblStyle w:val="13"/>
        <w:tblW w:w="9017" w:type="dxa"/>
        <w:tblInd w:w="-17" w:type="dxa"/>
        <w:tblLayout w:type="fixed"/>
        <w:tblCellMar>
          <w:top w:w="0" w:type="dxa"/>
          <w:left w:w="108" w:type="dxa"/>
          <w:bottom w:w="0" w:type="dxa"/>
          <w:right w:w="108" w:type="dxa"/>
        </w:tblCellMar>
      </w:tblPr>
      <w:tblGrid>
        <w:gridCol w:w="890"/>
        <w:gridCol w:w="6873"/>
        <w:gridCol w:w="1254"/>
      </w:tblGrid>
      <w:tr>
        <w:tblPrEx>
          <w:tblCellMar>
            <w:top w:w="0" w:type="dxa"/>
            <w:left w:w="108" w:type="dxa"/>
            <w:bottom w:w="0" w:type="dxa"/>
            <w:right w:w="108" w:type="dxa"/>
          </w:tblCellMar>
        </w:tblPrEx>
        <w:trPr>
          <w:trHeight w:val="454" w:hRule="atLeast"/>
          <w:tblHeader/>
        </w:trPr>
        <w:tc>
          <w:tcPr>
            <w:tcW w:w="9017" w:type="dxa"/>
            <w:gridSpan w:val="3"/>
            <w:tcBorders>
              <w:top w:val="single" w:color="000000" w:sz="4" w:space="0"/>
              <w:left w:val="single" w:color="000000" w:sz="4" w:space="0"/>
              <w:bottom w:val="single" w:color="000000" w:sz="4" w:space="0"/>
              <w:right w:val="single" w:color="000000" w:sz="4" w:space="0"/>
            </w:tcBorders>
            <w:shd w:val="clear" w:color="auto" w:fill="F3F3F3"/>
            <w:noWrap w:val="0"/>
            <w:vAlign w:val="center"/>
          </w:tcPr>
          <w:p>
            <w:pPr>
              <w:rPr>
                <w:color w:val="auto"/>
              </w:rPr>
            </w:pPr>
            <w:r>
              <w:rPr>
                <w:rFonts w:hint="eastAsia" w:ascii="宋体" w:hAnsi="宋体" w:cs="宋体"/>
                <w:color w:val="auto"/>
              </w:rPr>
              <w:t>一、</w:t>
            </w:r>
            <w:r>
              <w:rPr>
                <w:rFonts w:hint="eastAsia" w:ascii="宋体" w:hAnsi="宋体" w:cs="宋体"/>
                <w:color w:val="auto"/>
                <w:lang w:eastAsia="zh-CN"/>
              </w:rPr>
              <w:t>技术</w:t>
            </w:r>
            <w:r>
              <w:rPr>
                <w:rFonts w:hint="eastAsia" w:ascii="宋体" w:hAnsi="宋体" w:cs="宋体"/>
                <w:color w:val="auto"/>
              </w:rPr>
              <w:t>条款</w:t>
            </w:r>
            <w:r>
              <w:rPr>
                <w:rFonts w:hint="eastAsia" w:ascii="宋体" w:hAnsi="宋体" w:cs="宋体"/>
                <w:color w:val="auto"/>
                <w:lang w:eastAsia="zh-CN"/>
              </w:rPr>
              <w:t>响应</w:t>
            </w:r>
            <w:r>
              <w:rPr>
                <w:rFonts w:hint="eastAsia" w:ascii="宋体" w:hAnsi="宋体" w:cs="宋体"/>
                <w:color w:val="auto"/>
              </w:rPr>
              <w:t>情况</w:t>
            </w:r>
          </w:p>
        </w:tc>
      </w:tr>
      <w:tr>
        <w:tblPrEx>
          <w:tblCellMar>
            <w:top w:w="0" w:type="dxa"/>
            <w:left w:w="108" w:type="dxa"/>
            <w:bottom w:w="0" w:type="dxa"/>
            <w:right w:w="108" w:type="dxa"/>
          </w:tblCellMar>
        </w:tblPrEx>
        <w:trPr>
          <w:trHeight w:val="454" w:hRule="atLeast"/>
          <w:tblHeader/>
        </w:trPr>
        <w:tc>
          <w:tcPr>
            <w:tcW w:w="890" w:type="dxa"/>
            <w:tcBorders>
              <w:top w:val="single" w:color="000000" w:sz="4" w:space="0"/>
              <w:left w:val="single" w:color="000000" w:sz="4" w:space="0"/>
              <w:bottom w:val="single" w:color="000000" w:sz="4" w:space="0"/>
            </w:tcBorders>
            <w:shd w:val="clear" w:color="auto" w:fill="F3F3F3"/>
            <w:noWrap w:val="0"/>
            <w:vAlign w:val="center"/>
          </w:tcPr>
          <w:p>
            <w:pPr>
              <w:rPr>
                <w:rFonts w:hint="eastAsia" w:ascii="宋体" w:hAnsi="宋体" w:cs="宋体"/>
                <w:color w:val="auto"/>
              </w:rPr>
            </w:pPr>
            <w:r>
              <w:rPr>
                <w:rFonts w:hint="eastAsia" w:ascii="宋体" w:hAnsi="宋体" w:cs="宋体"/>
                <w:color w:val="auto"/>
              </w:rPr>
              <w:t>序号</w:t>
            </w:r>
          </w:p>
        </w:tc>
        <w:tc>
          <w:tcPr>
            <w:tcW w:w="6873" w:type="dxa"/>
            <w:tcBorders>
              <w:top w:val="single" w:color="000000" w:sz="4" w:space="0"/>
              <w:left w:val="single" w:color="000000" w:sz="4" w:space="0"/>
              <w:bottom w:val="single" w:color="000000" w:sz="4" w:space="0"/>
            </w:tcBorders>
            <w:shd w:val="clear" w:color="auto" w:fill="F3F3F3"/>
            <w:noWrap w:val="0"/>
            <w:vAlign w:val="center"/>
          </w:tcPr>
          <w:p>
            <w:pPr>
              <w:rPr>
                <w:rFonts w:hint="eastAsia" w:ascii="宋体" w:hAnsi="宋体" w:cs="宋体"/>
                <w:color w:val="auto"/>
              </w:rPr>
            </w:pPr>
            <w:r>
              <w:rPr>
                <w:rFonts w:hint="eastAsia" w:ascii="宋体" w:hAnsi="宋体" w:cs="宋体"/>
                <w:color w:val="auto"/>
              </w:rPr>
              <w:t>主要条款</w:t>
            </w:r>
          </w:p>
        </w:tc>
        <w:tc>
          <w:tcPr>
            <w:tcW w:w="1254" w:type="dxa"/>
            <w:tcBorders>
              <w:top w:val="single" w:color="000000" w:sz="4" w:space="0"/>
              <w:left w:val="single" w:color="000000" w:sz="4" w:space="0"/>
              <w:bottom w:val="single" w:color="000000" w:sz="4" w:space="0"/>
              <w:right w:val="single" w:color="000000" w:sz="4" w:space="0"/>
            </w:tcBorders>
            <w:shd w:val="clear" w:color="auto" w:fill="F3F3F3"/>
            <w:noWrap w:val="0"/>
            <w:vAlign w:val="center"/>
          </w:tcPr>
          <w:p>
            <w:pPr>
              <w:jc w:val="center"/>
              <w:rPr>
                <w:rFonts w:hint="eastAsia"/>
                <w:color w:val="auto"/>
                <w:lang w:eastAsia="zh-CN"/>
              </w:rPr>
            </w:pPr>
            <w:r>
              <w:rPr>
                <w:rFonts w:hint="eastAsia" w:ascii="宋体" w:hAnsi="宋体" w:cs="宋体"/>
                <w:color w:val="auto"/>
              </w:rPr>
              <w:t>是否</w:t>
            </w:r>
            <w:r>
              <w:rPr>
                <w:rFonts w:hint="eastAsia" w:ascii="宋体" w:hAnsi="宋体" w:cs="宋体"/>
                <w:color w:val="auto"/>
                <w:lang w:eastAsia="zh-CN"/>
              </w:rPr>
              <w:t>偏离</w:t>
            </w:r>
          </w:p>
        </w:tc>
      </w:tr>
      <w:tr>
        <w:tblPrEx>
          <w:tblCellMar>
            <w:top w:w="0" w:type="dxa"/>
            <w:left w:w="108" w:type="dxa"/>
            <w:bottom w:w="0" w:type="dxa"/>
            <w:right w:w="108" w:type="dxa"/>
          </w:tblCellMar>
        </w:tblPrEx>
        <w:trPr>
          <w:trHeight w:val="454" w:hRule="atLeast"/>
        </w:trPr>
        <w:tc>
          <w:tcPr>
            <w:tcW w:w="890" w:type="dxa"/>
            <w:tcBorders>
              <w:top w:val="single" w:color="000000" w:sz="4" w:space="0"/>
              <w:left w:val="single" w:color="000000" w:sz="4" w:space="0"/>
              <w:bottom w:val="single" w:color="000000" w:sz="4" w:space="0"/>
            </w:tcBorders>
            <w:noWrap w:val="0"/>
            <w:vAlign w:val="center"/>
          </w:tcPr>
          <w:p>
            <w:pPr>
              <w:rPr>
                <w:rFonts w:hint="eastAsia" w:ascii="宋体" w:hAnsi="宋体" w:cs="宋体"/>
                <w:color w:val="auto"/>
              </w:rPr>
            </w:pPr>
            <w:r>
              <w:rPr>
                <w:rFonts w:hint="eastAsia" w:ascii="宋体" w:hAnsi="宋体" w:cs="宋体"/>
                <w:color w:val="auto"/>
              </w:rPr>
              <w:t>1</w:t>
            </w:r>
          </w:p>
        </w:tc>
        <w:tc>
          <w:tcPr>
            <w:tcW w:w="6873" w:type="dxa"/>
            <w:tcBorders>
              <w:top w:val="single" w:color="000000" w:sz="4" w:space="0"/>
              <w:left w:val="single" w:color="000000" w:sz="4" w:space="0"/>
              <w:bottom w:val="single" w:color="000000" w:sz="4" w:space="0"/>
            </w:tcBorders>
            <w:noWrap w:val="0"/>
            <w:vAlign w:val="center"/>
          </w:tcPr>
          <w:p>
            <w:pPr>
              <w:widowControl/>
              <w:spacing w:line="360" w:lineRule="auto"/>
              <w:jc w:val="left"/>
              <w:rPr>
                <w:rFonts w:ascii="宋体" w:hAnsi="宋体" w:cs="宋体"/>
                <w:color w:val="auto"/>
              </w:rPr>
            </w:pPr>
            <w:r>
              <w:rPr>
                <w:rFonts w:hint="eastAsia" w:ascii="宋体" w:hAnsi="宋体" w:cs="宋体"/>
                <w:color w:val="auto"/>
              </w:rPr>
              <w:t>完全理解并接受对合格</w:t>
            </w:r>
            <w:r>
              <w:rPr>
                <w:rFonts w:hint="eastAsia" w:ascii="宋体" w:hAnsi="宋体" w:cs="宋体"/>
                <w:color w:val="auto"/>
                <w:lang w:eastAsia="zh-CN"/>
              </w:rPr>
              <w:t>投标人</w:t>
            </w:r>
            <w:r>
              <w:rPr>
                <w:rFonts w:hint="eastAsia" w:ascii="宋体" w:hAnsi="宋体" w:cs="宋体"/>
                <w:color w:val="auto"/>
              </w:rPr>
              <w:t>的</w:t>
            </w:r>
            <w:r>
              <w:rPr>
                <w:rFonts w:hint="eastAsia" w:ascii="宋体" w:hAnsi="宋体" w:cs="宋体"/>
                <w:color w:val="auto"/>
                <w:lang w:eastAsia="zh-CN"/>
              </w:rPr>
              <w:t>产品和</w:t>
            </w:r>
            <w:r>
              <w:rPr>
                <w:rFonts w:hint="eastAsia" w:ascii="宋体" w:hAnsi="宋体" w:cs="宋体"/>
                <w:color w:val="auto"/>
              </w:rPr>
              <w:t>服务要求及“</w:t>
            </w:r>
            <w:r>
              <w:rPr>
                <w:rFonts w:hint="eastAsia" w:ascii="宋体" w:hAnsi="宋体" w:cs="宋体"/>
                <w:b/>
                <w:color w:val="auto"/>
                <w:szCs w:val="21"/>
              </w:rPr>
              <w:t>★</w:t>
            </w:r>
            <w:r>
              <w:rPr>
                <w:rFonts w:hint="eastAsia" w:ascii="宋体" w:hAnsi="宋体" w:cs="宋体"/>
                <w:bCs/>
                <w:color w:val="auto"/>
                <w:szCs w:val="21"/>
              </w:rPr>
              <w:t xml:space="preserve"> ”条款</w:t>
            </w:r>
          </w:p>
        </w:tc>
        <w:tc>
          <w:tcPr>
            <w:tcW w:w="1254"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cs="宋体"/>
                <w:color w:val="auto"/>
              </w:rPr>
            </w:pPr>
          </w:p>
        </w:tc>
      </w:tr>
      <w:tr>
        <w:tblPrEx>
          <w:tblCellMar>
            <w:top w:w="0" w:type="dxa"/>
            <w:left w:w="108" w:type="dxa"/>
            <w:bottom w:w="0" w:type="dxa"/>
            <w:right w:w="108" w:type="dxa"/>
          </w:tblCellMar>
        </w:tblPrEx>
        <w:trPr>
          <w:trHeight w:val="454" w:hRule="atLeast"/>
        </w:trPr>
        <w:tc>
          <w:tcPr>
            <w:tcW w:w="890" w:type="dxa"/>
            <w:tcBorders>
              <w:top w:val="single" w:color="000000" w:sz="4" w:space="0"/>
              <w:left w:val="single" w:color="000000" w:sz="4" w:space="0"/>
              <w:bottom w:val="single" w:color="000000" w:sz="4" w:space="0"/>
            </w:tcBorders>
            <w:noWrap w:val="0"/>
            <w:vAlign w:val="center"/>
          </w:tcPr>
          <w:p>
            <w:pPr>
              <w:rPr>
                <w:rFonts w:hint="eastAsia" w:ascii="宋体" w:hAnsi="宋体" w:cs="宋体"/>
                <w:color w:val="auto"/>
              </w:rPr>
            </w:pPr>
            <w:r>
              <w:rPr>
                <w:rFonts w:hint="eastAsia" w:ascii="宋体" w:hAnsi="宋体" w:cs="宋体"/>
                <w:color w:val="auto"/>
              </w:rPr>
              <w:t>2</w:t>
            </w:r>
          </w:p>
        </w:tc>
        <w:tc>
          <w:tcPr>
            <w:tcW w:w="6873" w:type="dxa"/>
            <w:tcBorders>
              <w:top w:val="single" w:color="000000" w:sz="4" w:space="0"/>
              <w:left w:val="single" w:color="000000" w:sz="4" w:space="0"/>
              <w:bottom w:val="single" w:color="000000" w:sz="4" w:space="0"/>
            </w:tcBorders>
            <w:noWrap w:val="0"/>
            <w:vAlign w:val="center"/>
          </w:tcPr>
          <w:p>
            <w:pPr>
              <w:rPr>
                <w:rFonts w:ascii="宋体" w:hAnsi="宋体" w:cs="宋体"/>
                <w:color w:val="auto"/>
              </w:rPr>
            </w:pPr>
            <w:r>
              <w:rPr>
                <w:rFonts w:hint="eastAsia" w:ascii="宋体" w:hAnsi="宋体" w:cs="宋体"/>
                <w:color w:val="auto"/>
              </w:rPr>
              <w:t>完全理解并接受对</w:t>
            </w:r>
            <w:r>
              <w:rPr>
                <w:rFonts w:hint="eastAsia" w:ascii="宋体" w:hAnsi="宋体" w:cs="宋体"/>
                <w:color w:val="auto"/>
                <w:lang w:eastAsia="zh-CN"/>
              </w:rPr>
              <w:t>投标人</w:t>
            </w:r>
            <w:r>
              <w:rPr>
                <w:rFonts w:hint="eastAsia" w:ascii="宋体" w:hAnsi="宋体" w:cs="宋体"/>
                <w:color w:val="auto"/>
              </w:rPr>
              <w:t>的各项须知、规约要求和责任义务</w:t>
            </w:r>
          </w:p>
        </w:tc>
        <w:tc>
          <w:tcPr>
            <w:tcW w:w="1254"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cs="宋体"/>
                <w:color w:val="auto"/>
              </w:rPr>
            </w:pPr>
          </w:p>
        </w:tc>
      </w:tr>
      <w:tr>
        <w:tblPrEx>
          <w:tblCellMar>
            <w:top w:w="0" w:type="dxa"/>
            <w:left w:w="108" w:type="dxa"/>
            <w:bottom w:w="0" w:type="dxa"/>
            <w:right w:w="108" w:type="dxa"/>
          </w:tblCellMar>
        </w:tblPrEx>
        <w:trPr>
          <w:trHeight w:val="454" w:hRule="atLeast"/>
        </w:trPr>
        <w:tc>
          <w:tcPr>
            <w:tcW w:w="890" w:type="dxa"/>
            <w:tcBorders>
              <w:top w:val="single" w:color="000000" w:sz="4" w:space="0"/>
              <w:left w:val="single" w:color="000000" w:sz="4" w:space="0"/>
              <w:bottom w:val="single" w:color="000000" w:sz="4" w:space="0"/>
            </w:tcBorders>
            <w:noWrap w:val="0"/>
            <w:vAlign w:val="center"/>
          </w:tcPr>
          <w:p>
            <w:pPr>
              <w:rPr>
                <w:rFonts w:hint="eastAsia" w:ascii="宋体" w:hAnsi="宋体" w:cs="宋体"/>
                <w:color w:val="auto"/>
              </w:rPr>
            </w:pPr>
            <w:r>
              <w:rPr>
                <w:rFonts w:hint="eastAsia" w:ascii="宋体" w:hAnsi="宋体" w:cs="宋体"/>
                <w:color w:val="auto"/>
              </w:rPr>
              <w:t>3</w:t>
            </w:r>
          </w:p>
        </w:tc>
        <w:tc>
          <w:tcPr>
            <w:tcW w:w="6873" w:type="dxa"/>
            <w:tcBorders>
              <w:top w:val="single" w:color="000000" w:sz="4" w:space="0"/>
              <w:left w:val="single" w:color="000000" w:sz="4" w:space="0"/>
              <w:bottom w:val="single" w:color="000000" w:sz="4" w:space="0"/>
            </w:tcBorders>
            <w:noWrap w:val="0"/>
            <w:vAlign w:val="center"/>
          </w:tcPr>
          <w:p>
            <w:pPr>
              <w:rPr>
                <w:rFonts w:ascii="宋体" w:hAnsi="宋体" w:cs="宋体"/>
                <w:color w:val="auto"/>
              </w:rPr>
            </w:pPr>
            <w:r>
              <w:rPr>
                <w:rFonts w:hint="eastAsia" w:ascii="宋体" w:hAnsi="宋体" w:cs="宋体"/>
                <w:color w:val="auto"/>
              </w:rPr>
              <w:t>同意接受合同范本所列述的各项条款</w:t>
            </w:r>
          </w:p>
        </w:tc>
        <w:tc>
          <w:tcPr>
            <w:tcW w:w="1254"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cs="宋体"/>
                <w:color w:val="auto"/>
              </w:rPr>
            </w:pPr>
          </w:p>
        </w:tc>
      </w:tr>
      <w:tr>
        <w:tblPrEx>
          <w:tblCellMar>
            <w:top w:w="0" w:type="dxa"/>
            <w:left w:w="108" w:type="dxa"/>
            <w:bottom w:w="0" w:type="dxa"/>
            <w:right w:w="108" w:type="dxa"/>
          </w:tblCellMar>
        </w:tblPrEx>
        <w:trPr>
          <w:trHeight w:val="454" w:hRule="atLeast"/>
        </w:trPr>
        <w:tc>
          <w:tcPr>
            <w:tcW w:w="890" w:type="dxa"/>
            <w:tcBorders>
              <w:top w:val="single" w:color="000000" w:sz="4" w:space="0"/>
              <w:left w:val="single" w:color="000000" w:sz="4" w:space="0"/>
              <w:bottom w:val="single" w:color="000000" w:sz="4" w:space="0"/>
            </w:tcBorders>
            <w:noWrap w:val="0"/>
            <w:vAlign w:val="center"/>
          </w:tcPr>
          <w:p>
            <w:pPr>
              <w:rPr>
                <w:rFonts w:hint="eastAsia" w:ascii="宋体" w:hAnsi="宋体" w:cs="宋体"/>
                <w:color w:val="auto"/>
              </w:rPr>
            </w:pPr>
            <w:r>
              <w:rPr>
                <w:rFonts w:hint="eastAsia" w:ascii="宋体" w:hAnsi="宋体" w:cs="宋体"/>
                <w:color w:val="auto"/>
              </w:rPr>
              <w:t>4</w:t>
            </w:r>
          </w:p>
        </w:tc>
        <w:tc>
          <w:tcPr>
            <w:tcW w:w="6873" w:type="dxa"/>
            <w:tcBorders>
              <w:top w:val="single" w:color="000000" w:sz="4" w:space="0"/>
              <w:left w:val="single" w:color="000000" w:sz="4" w:space="0"/>
              <w:bottom w:val="single" w:color="000000" w:sz="4" w:space="0"/>
            </w:tcBorders>
            <w:noWrap w:val="0"/>
            <w:vAlign w:val="center"/>
          </w:tcPr>
          <w:p>
            <w:pPr>
              <w:rPr>
                <w:rFonts w:ascii="宋体" w:hAnsi="宋体" w:cs="宋体"/>
                <w:color w:val="auto"/>
              </w:rPr>
            </w:pPr>
            <w:r>
              <w:rPr>
                <w:rFonts w:hint="eastAsia" w:ascii="宋体" w:hAnsi="宋体" w:cs="宋体"/>
                <w:color w:val="auto"/>
              </w:rPr>
              <w:t>同意按本项目要求缴付相关款项</w:t>
            </w:r>
          </w:p>
        </w:tc>
        <w:tc>
          <w:tcPr>
            <w:tcW w:w="1254"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cs="宋体"/>
                <w:color w:val="auto"/>
              </w:rPr>
            </w:pPr>
          </w:p>
        </w:tc>
      </w:tr>
      <w:tr>
        <w:tblPrEx>
          <w:tblCellMar>
            <w:top w:w="0" w:type="dxa"/>
            <w:left w:w="108" w:type="dxa"/>
            <w:bottom w:w="0" w:type="dxa"/>
            <w:right w:w="108" w:type="dxa"/>
          </w:tblCellMar>
        </w:tblPrEx>
        <w:trPr>
          <w:trHeight w:val="454" w:hRule="atLeast"/>
        </w:trPr>
        <w:tc>
          <w:tcPr>
            <w:tcW w:w="890" w:type="dxa"/>
            <w:tcBorders>
              <w:top w:val="single" w:color="000000" w:sz="4" w:space="0"/>
              <w:left w:val="single" w:color="000000" w:sz="4" w:space="0"/>
              <w:bottom w:val="single" w:color="000000" w:sz="4" w:space="0"/>
            </w:tcBorders>
            <w:noWrap w:val="0"/>
            <w:vAlign w:val="center"/>
          </w:tcPr>
          <w:p>
            <w:pPr>
              <w:rPr>
                <w:rFonts w:hint="eastAsia" w:ascii="宋体" w:hAnsi="宋体" w:cs="宋体"/>
                <w:color w:val="auto"/>
              </w:rPr>
            </w:pPr>
            <w:r>
              <w:rPr>
                <w:rFonts w:hint="eastAsia" w:ascii="宋体" w:hAnsi="宋体" w:cs="宋体"/>
                <w:color w:val="auto"/>
              </w:rPr>
              <w:t>5</w:t>
            </w:r>
          </w:p>
        </w:tc>
        <w:tc>
          <w:tcPr>
            <w:tcW w:w="6873" w:type="dxa"/>
            <w:tcBorders>
              <w:top w:val="single" w:color="000000" w:sz="4" w:space="0"/>
              <w:left w:val="single" w:color="000000" w:sz="4" w:space="0"/>
              <w:bottom w:val="single" w:color="000000" w:sz="4" w:space="0"/>
            </w:tcBorders>
            <w:noWrap w:val="0"/>
            <w:vAlign w:val="center"/>
          </w:tcPr>
          <w:p>
            <w:pPr>
              <w:rPr>
                <w:rFonts w:ascii="宋体" w:hAnsi="宋体" w:cs="宋体"/>
                <w:color w:val="auto"/>
              </w:rPr>
            </w:pPr>
            <w:r>
              <w:rPr>
                <w:rFonts w:hint="eastAsia" w:ascii="宋体" w:hAnsi="宋体" w:cs="宋体"/>
                <w:color w:val="auto"/>
              </w:rPr>
              <w:t>招标文件中的全部</w:t>
            </w:r>
            <w:r>
              <w:rPr>
                <w:rFonts w:hint="eastAsia" w:ascii="宋体" w:hAnsi="宋体" w:cs="宋体"/>
                <w:color w:val="auto"/>
                <w:lang w:eastAsia="zh-CN"/>
              </w:rPr>
              <w:t>技术</w:t>
            </w:r>
            <w:r>
              <w:rPr>
                <w:rFonts w:hint="eastAsia" w:ascii="宋体" w:hAnsi="宋体" w:cs="宋体"/>
                <w:color w:val="auto"/>
              </w:rPr>
              <w:t>条款均能完全响应</w:t>
            </w:r>
          </w:p>
        </w:tc>
        <w:tc>
          <w:tcPr>
            <w:tcW w:w="1254"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cs="宋体"/>
                <w:color w:val="auto"/>
              </w:rPr>
            </w:pPr>
          </w:p>
        </w:tc>
      </w:tr>
      <w:tr>
        <w:tblPrEx>
          <w:tblCellMar>
            <w:top w:w="0" w:type="dxa"/>
            <w:left w:w="108" w:type="dxa"/>
            <w:bottom w:w="0" w:type="dxa"/>
            <w:right w:w="108" w:type="dxa"/>
          </w:tblCellMar>
        </w:tblPrEx>
        <w:trPr>
          <w:trHeight w:val="454" w:hRule="atLeast"/>
        </w:trPr>
        <w:tc>
          <w:tcPr>
            <w:tcW w:w="890" w:type="dxa"/>
            <w:tcBorders>
              <w:top w:val="single" w:color="000000" w:sz="4" w:space="0"/>
              <w:left w:val="single" w:color="000000" w:sz="4" w:space="0"/>
              <w:bottom w:val="single" w:color="000000" w:sz="4" w:space="0"/>
            </w:tcBorders>
            <w:noWrap w:val="0"/>
            <w:vAlign w:val="center"/>
          </w:tcPr>
          <w:p>
            <w:pPr>
              <w:rPr>
                <w:rFonts w:hint="eastAsia" w:ascii="宋体" w:hAnsi="宋体" w:cs="宋体"/>
                <w:color w:val="auto"/>
              </w:rPr>
            </w:pPr>
            <w:r>
              <w:rPr>
                <w:rFonts w:hint="eastAsia" w:ascii="宋体" w:hAnsi="宋体" w:cs="宋体"/>
                <w:color w:val="auto"/>
              </w:rPr>
              <w:t>6</w:t>
            </w:r>
          </w:p>
        </w:tc>
        <w:tc>
          <w:tcPr>
            <w:tcW w:w="6873" w:type="dxa"/>
            <w:tcBorders>
              <w:top w:val="single" w:color="000000" w:sz="4" w:space="0"/>
              <w:left w:val="single" w:color="000000" w:sz="4" w:space="0"/>
              <w:bottom w:val="single" w:color="000000" w:sz="4" w:space="0"/>
            </w:tcBorders>
            <w:noWrap w:val="0"/>
            <w:vAlign w:val="center"/>
          </w:tcPr>
          <w:p>
            <w:pPr>
              <w:rPr>
                <w:rFonts w:ascii="宋体" w:hAnsi="宋体" w:cs="宋体"/>
                <w:color w:val="auto"/>
              </w:rPr>
            </w:pPr>
            <w:r>
              <w:rPr>
                <w:rFonts w:hint="eastAsia" w:ascii="宋体" w:hAnsi="宋体" w:cs="宋体"/>
                <w:color w:val="auto"/>
              </w:rPr>
              <w:t>同意接受采购方发布的补充通知中各项</w:t>
            </w:r>
            <w:r>
              <w:rPr>
                <w:rFonts w:hint="eastAsia" w:ascii="宋体" w:hAnsi="宋体" w:cs="宋体"/>
                <w:color w:val="auto"/>
                <w:lang w:eastAsia="zh-CN"/>
              </w:rPr>
              <w:t>技术</w:t>
            </w:r>
            <w:r>
              <w:rPr>
                <w:rFonts w:hint="eastAsia" w:ascii="宋体" w:hAnsi="宋体" w:cs="宋体"/>
                <w:color w:val="auto"/>
              </w:rPr>
              <w:t>要求（如有）</w:t>
            </w:r>
          </w:p>
        </w:tc>
        <w:tc>
          <w:tcPr>
            <w:tcW w:w="1254"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cs="宋体"/>
                <w:color w:val="auto"/>
              </w:rPr>
            </w:pPr>
          </w:p>
        </w:tc>
      </w:tr>
      <w:tr>
        <w:tblPrEx>
          <w:tblCellMar>
            <w:top w:w="0" w:type="dxa"/>
            <w:left w:w="108" w:type="dxa"/>
            <w:bottom w:w="0" w:type="dxa"/>
            <w:right w:w="108" w:type="dxa"/>
          </w:tblCellMar>
        </w:tblPrEx>
        <w:trPr>
          <w:trHeight w:val="454" w:hRule="atLeast"/>
        </w:trPr>
        <w:tc>
          <w:tcPr>
            <w:tcW w:w="890" w:type="dxa"/>
            <w:tcBorders>
              <w:top w:val="single" w:color="000000" w:sz="4" w:space="0"/>
              <w:left w:val="single" w:color="000000" w:sz="4" w:space="0"/>
              <w:bottom w:val="single" w:color="000000" w:sz="4" w:space="0"/>
            </w:tcBorders>
            <w:noWrap w:val="0"/>
            <w:vAlign w:val="center"/>
          </w:tcPr>
          <w:p>
            <w:pPr>
              <w:rPr>
                <w:rFonts w:hint="eastAsia" w:ascii="宋体" w:hAnsi="宋体" w:cs="宋体"/>
                <w:color w:val="auto"/>
              </w:rPr>
            </w:pPr>
            <w:r>
              <w:rPr>
                <w:rFonts w:hint="eastAsia" w:ascii="宋体" w:hAnsi="宋体" w:cs="宋体"/>
                <w:color w:val="auto"/>
              </w:rPr>
              <w:t>7</w:t>
            </w:r>
          </w:p>
        </w:tc>
        <w:tc>
          <w:tcPr>
            <w:tcW w:w="6873" w:type="dxa"/>
            <w:tcBorders>
              <w:top w:val="single" w:color="000000" w:sz="4" w:space="0"/>
              <w:left w:val="single" w:color="000000" w:sz="4" w:space="0"/>
              <w:bottom w:val="single" w:color="000000" w:sz="4" w:space="0"/>
            </w:tcBorders>
            <w:noWrap w:val="0"/>
            <w:vAlign w:val="center"/>
          </w:tcPr>
          <w:p>
            <w:pPr>
              <w:rPr>
                <w:rFonts w:ascii="宋体" w:hAnsi="宋体" w:cs="宋体"/>
                <w:color w:val="auto"/>
              </w:rPr>
            </w:pPr>
            <w:r>
              <w:rPr>
                <w:rFonts w:hint="eastAsia" w:ascii="宋体" w:hAnsi="宋体" w:cs="宋体"/>
                <w:color w:val="auto"/>
              </w:rPr>
              <w:t>同意采购人以任何形式对我方提供的</w:t>
            </w:r>
            <w:r>
              <w:rPr>
                <w:rFonts w:hint="eastAsia" w:ascii="宋体" w:hAnsi="宋体" w:cs="宋体"/>
                <w:color w:val="auto"/>
                <w:lang w:eastAsia="zh-CN"/>
              </w:rPr>
              <w:t>技术</w:t>
            </w:r>
            <w:r>
              <w:rPr>
                <w:rFonts w:hint="eastAsia" w:ascii="宋体" w:hAnsi="宋体" w:cs="宋体"/>
                <w:color w:val="auto"/>
              </w:rPr>
              <w:t>部分内容的真实性和有效性进行公开审查验证</w:t>
            </w:r>
          </w:p>
        </w:tc>
        <w:tc>
          <w:tcPr>
            <w:tcW w:w="1254"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cs="宋体"/>
                <w:color w:val="auto"/>
              </w:rPr>
            </w:pPr>
          </w:p>
        </w:tc>
      </w:tr>
      <w:tr>
        <w:tblPrEx>
          <w:tblCellMar>
            <w:top w:w="0" w:type="dxa"/>
            <w:left w:w="108" w:type="dxa"/>
            <w:bottom w:w="0" w:type="dxa"/>
            <w:right w:w="108" w:type="dxa"/>
          </w:tblCellMar>
        </w:tblPrEx>
        <w:trPr>
          <w:trHeight w:val="454" w:hRule="atLeast"/>
        </w:trPr>
        <w:tc>
          <w:tcPr>
            <w:tcW w:w="9017" w:type="dxa"/>
            <w:gridSpan w:val="3"/>
            <w:tcBorders>
              <w:top w:val="single" w:color="000000" w:sz="4" w:space="0"/>
              <w:left w:val="single" w:color="000000" w:sz="4" w:space="0"/>
              <w:bottom w:val="single" w:color="000000" w:sz="4" w:space="0"/>
              <w:right w:val="single" w:color="000000" w:sz="4" w:space="0"/>
            </w:tcBorders>
            <w:shd w:val="clear" w:color="auto" w:fill="E6E6E6"/>
            <w:noWrap w:val="0"/>
            <w:vAlign w:val="center"/>
          </w:tcPr>
          <w:p>
            <w:pPr>
              <w:rPr>
                <w:color w:val="auto"/>
              </w:rPr>
            </w:pPr>
            <w:r>
              <w:rPr>
                <w:rFonts w:hint="eastAsia" w:ascii="宋体" w:hAnsi="宋体" w:cs="宋体"/>
                <w:color w:val="auto"/>
              </w:rPr>
              <w:t>二、</w:t>
            </w:r>
            <w:r>
              <w:rPr>
                <w:rFonts w:hint="eastAsia" w:ascii="宋体" w:hAnsi="宋体" w:cs="宋体"/>
                <w:color w:val="auto"/>
                <w:lang w:eastAsia="zh-CN"/>
              </w:rPr>
              <w:t>技术</w:t>
            </w:r>
            <w:r>
              <w:rPr>
                <w:rFonts w:hint="eastAsia" w:ascii="宋体" w:hAnsi="宋体" w:cs="宋体"/>
                <w:color w:val="auto"/>
              </w:rPr>
              <w:t>条款偏离情况说明（如有）：</w:t>
            </w:r>
          </w:p>
        </w:tc>
      </w:tr>
      <w:tr>
        <w:tblPrEx>
          <w:tblCellMar>
            <w:top w:w="0" w:type="dxa"/>
            <w:left w:w="108" w:type="dxa"/>
            <w:bottom w:w="0" w:type="dxa"/>
            <w:right w:w="108" w:type="dxa"/>
          </w:tblCellMar>
        </w:tblPrEx>
        <w:trPr>
          <w:trHeight w:val="454" w:hRule="atLeast"/>
        </w:trPr>
        <w:tc>
          <w:tcPr>
            <w:tcW w:w="890" w:type="dxa"/>
            <w:tcBorders>
              <w:top w:val="single" w:color="000000" w:sz="4" w:space="0"/>
              <w:left w:val="single" w:color="000000" w:sz="4" w:space="0"/>
              <w:bottom w:val="single" w:color="000000" w:sz="4" w:space="0"/>
            </w:tcBorders>
            <w:noWrap w:val="0"/>
            <w:vAlign w:val="center"/>
          </w:tcPr>
          <w:p>
            <w:pPr>
              <w:rPr>
                <w:rFonts w:ascii="宋体" w:hAnsi="宋体" w:cs="宋体"/>
                <w:color w:val="auto"/>
              </w:rPr>
            </w:pPr>
            <w:r>
              <w:rPr>
                <w:rFonts w:hint="eastAsia" w:ascii="宋体" w:hAnsi="宋体" w:cs="宋体"/>
                <w:color w:val="auto"/>
              </w:rPr>
              <w:t>1</w:t>
            </w:r>
          </w:p>
        </w:tc>
        <w:tc>
          <w:tcPr>
            <w:tcW w:w="8127" w:type="dxa"/>
            <w:gridSpan w:val="2"/>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cs="宋体"/>
                <w:color w:val="auto"/>
              </w:rPr>
            </w:pPr>
          </w:p>
        </w:tc>
      </w:tr>
      <w:tr>
        <w:tblPrEx>
          <w:tblCellMar>
            <w:top w:w="0" w:type="dxa"/>
            <w:left w:w="108" w:type="dxa"/>
            <w:bottom w:w="0" w:type="dxa"/>
            <w:right w:w="108" w:type="dxa"/>
          </w:tblCellMar>
        </w:tblPrEx>
        <w:trPr>
          <w:trHeight w:val="454" w:hRule="atLeast"/>
        </w:trPr>
        <w:tc>
          <w:tcPr>
            <w:tcW w:w="890" w:type="dxa"/>
            <w:tcBorders>
              <w:top w:val="single" w:color="000000" w:sz="4" w:space="0"/>
              <w:left w:val="single" w:color="000000" w:sz="4" w:space="0"/>
              <w:bottom w:val="single" w:color="000000" w:sz="4" w:space="0"/>
            </w:tcBorders>
            <w:noWrap w:val="0"/>
            <w:vAlign w:val="center"/>
          </w:tcPr>
          <w:p>
            <w:pPr>
              <w:rPr>
                <w:rFonts w:ascii="宋体" w:hAnsi="宋体" w:cs="宋体"/>
                <w:color w:val="auto"/>
              </w:rPr>
            </w:pPr>
            <w:r>
              <w:rPr>
                <w:rFonts w:hint="eastAsia" w:ascii="宋体" w:hAnsi="宋体" w:cs="宋体"/>
                <w:color w:val="auto"/>
              </w:rPr>
              <w:t>2</w:t>
            </w:r>
          </w:p>
        </w:tc>
        <w:tc>
          <w:tcPr>
            <w:tcW w:w="8127" w:type="dxa"/>
            <w:gridSpan w:val="2"/>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cs="宋体"/>
                <w:color w:val="auto"/>
              </w:rPr>
            </w:pPr>
          </w:p>
        </w:tc>
      </w:tr>
      <w:tr>
        <w:tblPrEx>
          <w:tblCellMar>
            <w:top w:w="0" w:type="dxa"/>
            <w:left w:w="108" w:type="dxa"/>
            <w:bottom w:w="0" w:type="dxa"/>
            <w:right w:w="108" w:type="dxa"/>
          </w:tblCellMar>
        </w:tblPrEx>
        <w:trPr>
          <w:trHeight w:val="454" w:hRule="atLeast"/>
        </w:trPr>
        <w:tc>
          <w:tcPr>
            <w:tcW w:w="9017" w:type="dxa"/>
            <w:gridSpan w:val="3"/>
            <w:tcBorders>
              <w:top w:val="single" w:color="000000" w:sz="4" w:space="0"/>
              <w:left w:val="single" w:color="000000" w:sz="4" w:space="0"/>
              <w:bottom w:val="single" w:color="000000" w:sz="4" w:space="0"/>
              <w:right w:val="single" w:color="000000" w:sz="4" w:space="0"/>
            </w:tcBorders>
            <w:shd w:val="clear" w:color="auto" w:fill="E6E6E6"/>
            <w:noWrap w:val="0"/>
            <w:vAlign w:val="center"/>
          </w:tcPr>
          <w:p>
            <w:pPr>
              <w:rPr>
                <w:color w:val="auto"/>
              </w:rPr>
            </w:pPr>
            <w:r>
              <w:rPr>
                <w:rFonts w:hint="eastAsia" w:ascii="宋体" w:hAnsi="宋体" w:cs="宋体"/>
                <w:color w:val="auto"/>
                <w:lang w:eastAsia="zh-CN"/>
              </w:rPr>
              <w:t>三</w:t>
            </w:r>
            <w:r>
              <w:rPr>
                <w:rFonts w:hint="eastAsia" w:ascii="宋体" w:hAnsi="宋体" w:cs="宋体"/>
                <w:color w:val="auto"/>
              </w:rPr>
              <w:t>、不同意公开的</w:t>
            </w:r>
            <w:r>
              <w:rPr>
                <w:rFonts w:hint="eastAsia" w:ascii="宋体" w:hAnsi="宋体" w:cs="宋体"/>
                <w:color w:val="auto"/>
                <w:lang w:eastAsia="zh-CN"/>
              </w:rPr>
              <w:t>技术</w:t>
            </w:r>
            <w:r>
              <w:rPr>
                <w:rFonts w:hint="eastAsia" w:ascii="宋体" w:hAnsi="宋体" w:cs="宋体"/>
                <w:color w:val="auto"/>
              </w:rPr>
              <w:t>部分内容（★法律法规规定必须公开的信息，不得作为不同意公开的内容，否则视为实质性条款不响应，作投标无效处理）：</w:t>
            </w:r>
          </w:p>
        </w:tc>
      </w:tr>
      <w:tr>
        <w:tblPrEx>
          <w:tblCellMar>
            <w:top w:w="0" w:type="dxa"/>
            <w:left w:w="108" w:type="dxa"/>
            <w:bottom w:w="0" w:type="dxa"/>
            <w:right w:w="108" w:type="dxa"/>
          </w:tblCellMar>
        </w:tblPrEx>
        <w:trPr>
          <w:trHeight w:val="454" w:hRule="atLeast"/>
        </w:trPr>
        <w:tc>
          <w:tcPr>
            <w:tcW w:w="890" w:type="dxa"/>
            <w:tcBorders>
              <w:top w:val="single" w:color="000000" w:sz="4" w:space="0"/>
              <w:left w:val="single" w:color="000000" w:sz="4" w:space="0"/>
              <w:bottom w:val="single" w:color="000000" w:sz="4" w:space="0"/>
            </w:tcBorders>
            <w:noWrap w:val="0"/>
            <w:vAlign w:val="center"/>
          </w:tcPr>
          <w:p>
            <w:pPr>
              <w:rPr>
                <w:rFonts w:ascii="宋体" w:hAnsi="宋体" w:cs="宋体"/>
                <w:color w:val="auto"/>
              </w:rPr>
            </w:pPr>
            <w:r>
              <w:rPr>
                <w:rFonts w:hint="eastAsia" w:ascii="宋体" w:hAnsi="宋体" w:cs="宋体"/>
                <w:color w:val="auto"/>
              </w:rPr>
              <w:t>1</w:t>
            </w:r>
          </w:p>
        </w:tc>
        <w:tc>
          <w:tcPr>
            <w:tcW w:w="8127" w:type="dxa"/>
            <w:gridSpan w:val="2"/>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cs="宋体"/>
                <w:color w:val="auto"/>
              </w:rPr>
            </w:pPr>
          </w:p>
        </w:tc>
      </w:tr>
      <w:tr>
        <w:tblPrEx>
          <w:tblCellMar>
            <w:top w:w="0" w:type="dxa"/>
            <w:left w:w="108" w:type="dxa"/>
            <w:bottom w:w="0" w:type="dxa"/>
            <w:right w:w="108" w:type="dxa"/>
          </w:tblCellMar>
        </w:tblPrEx>
        <w:trPr>
          <w:trHeight w:val="454" w:hRule="atLeast"/>
        </w:trPr>
        <w:tc>
          <w:tcPr>
            <w:tcW w:w="890" w:type="dxa"/>
            <w:tcBorders>
              <w:top w:val="single" w:color="000000" w:sz="4" w:space="0"/>
              <w:left w:val="single" w:color="000000" w:sz="4" w:space="0"/>
              <w:bottom w:val="single" w:color="000000" w:sz="4" w:space="0"/>
            </w:tcBorders>
            <w:noWrap w:val="0"/>
            <w:vAlign w:val="center"/>
          </w:tcPr>
          <w:p>
            <w:pPr>
              <w:rPr>
                <w:rFonts w:ascii="宋体" w:hAnsi="宋体" w:cs="宋体"/>
                <w:color w:val="auto"/>
              </w:rPr>
            </w:pPr>
            <w:r>
              <w:rPr>
                <w:rFonts w:hint="eastAsia" w:ascii="宋体" w:hAnsi="宋体" w:cs="宋体"/>
                <w:color w:val="auto"/>
              </w:rPr>
              <w:t>2</w:t>
            </w:r>
          </w:p>
        </w:tc>
        <w:tc>
          <w:tcPr>
            <w:tcW w:w="8127" w:type="dxa"/>
            <w:gridSpan w:val="2"/>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cs="宋体"/>
                <w:color w:val="auto"/>
              </w:rPr>
            </w:pPr>
          </w:p>
        </w:tc>
      </w:tr>
    </w:tbl>
    <w:p>
      <w:pPr>
        <w:pStyle w:val="74"/>
        <w:ind w:left="840" w:hanging="840"/>
        <w:rPr>
          <w:color w:val="auto"/>
          <w:szCs w:val="21"/>
        </w:rPr>
      </w:pPr>
    </w:p>
    <w:p>
      <w:pPr>
        <w:pStyle w:val="74"/>
        <w:ind w:left="840" w:hanging="840"/>
        <w:rPr>
          <w:color w:val="auto"/>
          <w:szCs w:val="21"/>
          <w:lang w:val="en-GB"/>
        </w:rPr>
      </w:pPr>
      <w:r>
        <w:rPr>
          <w:rFonts w:hint="eastAsia"/>
          <w:color w:val="auto"/>
          <w:szCs w:val="21"/>
          <w:lang w:val="en-GB"/>
        </w:rPr>
        <w:t>填表要求：</w:t>
      </w:r>
    </w:p>
    <w:p>
      <w:pPr>
        <w:pStyle w:val="69"/>
        <w:spacing w:line="440" w:lineRule="exact"/>
        <w:rPr>
          <w:rFonts w:hint="eastAsia" w:ascii="宋体" w:hAnsi="宋体" w:cs="宋体"/>
          <w:color w:val="auto"/>
          <w:sz w:val="21"/>
          <w:szCs w:val="21"/>
          <w:lang w:val="en-GB"/>
        </w:rPr>
      </w:pPr>
      <w:r>
        <w:rPr>
          <w:rFonts w:hint="eastAsia" w:ascii="宋体" w:hAnsi="宋体" w:cs="宋体"/>
          <w:color w:val="auto"/>
          <w:sz w:val="21"/>
          <w:szCs w:val="21"/>
        </w:rPr>
        <w:t>1、</w:t>
      </w:r>
      <w:r>
        <w:rPr>
          <w:rFonts w:hint="eastAsia" w:ascii="宋体" w:hAnsi="宋体" w:cs="宋体"/>
          <w:color w:val="auto"/>
          <w:sz w:val="21"/>
          <w:szCs w:val="21"/>
          <w:lang w:val="en-GB"/>
        </w:rPr>
        <w:t>投标人应对上表内容一一予以响应，在“是否偏离”栏注明无偏离、正偏离或负偏离，该栏未填写的视为不响应。若存在偏离，请在“技术条款偏离情况说明”栏中扼要说明正偏离或负偏离情况。</w:t>
      </w:r>
    </w:p>
    <w:p>
      <w:pPr>
        <w:pStyle w:val="69"/>
        <w:spacing w:line="440" w:lineRule="exact"/>
        <w:rPr>
          <w:rFonts w:hint="eastAsia" w:ascii="宋体" w:hAnsi="宋体" w:cs="宋体"/>
          <w:color w:val="auto"/>
          <w:sz w:val="21"/>
          <w:szCs w:val="21"/>
          <w:lang w:val="en-GB"/>
        </w:rPr>
      </w:pPr>
      <w:r>
        <w:rPr>
          <w:rFonts w:hint="eastAsia" w:ascii="宋体" w:hAnsi="宋体" w:cs="宋体"/>
          <w:color w:val="auto"/>
          <w:sz w:val="21"/>
          <w:szCs w:val="21"/>
        </w:rPr>
        <w:t>2、</w:t>
      </w:r>
      <w:r>
        <w:rPr>
          <w:rFonts w:hint="eastAsia" w:ascii="宋体" w:hAnsi="宋体" w:cs="宋体"/>
          <w:color w:val="auto"/>
          <w:sz w:val="21"/>
          <w:szCs w:val="21"/>
          <w:lang w:val="en-GB"/>
        </w:rPr>
        <w:t>本文件中标“★”号条款为实质性条款，投标人不响应或存在负偏离，将作无效处理。</w:t>
      </w:r>
    </w:p>
    <w:p>
      <w:pPr>
        <w:pStyle w:val="69"/>
        <w:spacing w:line="440" w:lineRule="exact"/>
        <w:rPr>
          <w:rFonts w:hint="eastAsia" w:ascii="宋体" w:hAnsi="宋体" w:cs="宋体"/>
          <w:color w:val="auto"/>
          <w:sz w:val="21"/>
          <w:szCs w:val="21"/>
          <w:lang w:val="en-GB"/>
        </w:rPr>
      </w:pPr>
      <w:r>
        <w:rPr>
          <w:rFonts w:hint="eastAsia" w:ascii="宋体" w:hAnsi="宋体" w:cs="宋体"/>
          <w:color w:val="auto"/>
          <w:sz w:val="21"/>
          <w:szCs w:val="21"/>
        </w:rPr>
        <w:t>3、</w:t>
      </w:r>
      <w:r>
        <w:rPr>
          <w:rFonts w:hint="eastAsia" w:ascii="宋体" w:hAnsi="宋体" w:cs="宋体"/>
          <w:color w:val="auto"/>
          <w:sz w:val="21"/>
          <w:szCs w:val="21"/>
          <w:lang w:val="en-GB"/>
        </w:rPr>
        <w:t>若上述技术条款内容与“采购项目技术要求”列述不一致时，均以“采购项目技术要求”详细内容为准。</w:t>
      </w:r>
    </w:p>
    <w:p>
      <w:pPr>
        <w:pStyle w:val="39"/>
        <w:spacing w:line="480" w:lineRule="auto"/>
        <w:rPr>
          <w:rFonts w:ascii="Calibri" w:hAnsi="Calibri"/>
          <w:b/>
          <w:color w:val="auto"/>
          <w:lang w:val="en-GB"/>
        </w:rPr>
      </w:pPr>
      <w:r>
        <w:rPr>
          <w:rFonts w:hint="eastAsia" w:ascii="Calibri" w:hAnsi="Calibri"/>
          <w:b/>
          <w:color w:val="auto"/>
          <w:lang w:val="en-GB"/>
        </w:rPr>
        <w:t>投标人名称：</w:t>
      </w:r>
      <w:r>
        <w:rPr>
          <w:rFonts w:ascii="Calibri" w:hAnsi="Calibri"/>
          <w:b/>
          <w:color w:val="auto"/>
          <w:u w:val="single"/>
          <w:lang w:val="en-GB"/>
        </w:rPr>
        <w:t xml:space="preserve">      </w:t>
      </w:r>
      <w:r>
        <w:rPr>
          <w:rFonts w:hint="eastAsia" w:ascii="Calibri" w:hAnsi="Calibri"/>
          <w:b/>
          <w:color w:val="auto"/>
          <w:u w:val="single"/>
          <w:lang w:val="en-GB"/>
        </w:rPr>
        <w:t>（全称）</w:t>
      </w:r>
      <w:r>
        <w:rPr>
          <w:rFonts w:ascii="Calibri" w:hAnsi="Calibri"/>
          <w:b/>
          <w:color w:val="auto"/>
          <w:u w:val="single"/>
          <w:lang w:val="en-GB"/>
        </w:rPr>
        <w:t xml:space="preserve">             </w:t>
      </w:r>
      <w:r>
        <w:rPr>
          <w:rFonts w:ascii="Calibri" w:hAnsi="Calibri"/>
          <w:b/>
          <w:color w:val="auto"/>
          <w:lang w:val="en-GB"/>
        </w:rPr>
        <w:t xml:space="preserve"> </w:t>
      </w:r>
      <w:r>
        <w:rPr>
          <w:rFonts w:hint="eastAsia" w:ascii="Calibri" w:hAnsi="Calibri"/>
          <w:b/>
          <w:color w:val="auto"/>
          <w:lang w:val="en-GB"/>
        </w:rPr>
        <w:t>（单位公章）</w:t>
      </w:r>
    </w:p>
    <w:p>
      <w:pPr>
        <w:pStyle w:val="39"/>
        <w:spacing w:line="360" w:lineRule="auto"/>
        <w:rPr>
          <w:rFonts w:ascii="Calibri" w:hAnsi="Calibri"/>
          <w:b/>
          <w:color w:val="auto"/>
        </w:rPr>
      </w:pPr>
      <w:r>
        <w:rPr>
          <w:rFonts w:hint="eastAsia" w:ascii="Calibri" w:hAnsi="Calibri"/>
          <w:b/>
          <w:color w:val="auto"/>
        </w:rPr>
        <w:t>日期：</w:t>
      </w:r>
      <w:r>
        <w:rPr>
          <w:rFonts w:ascii="Calibri" w:hAnsi="Calibri"/>
          <w:b/>
          <w:color w:val="auto"/>
        </w:rPr>
        <w:t xml:space="preserve">    </w:t>
      </w:r>
      <w:r>
        <w:rPr>
          <w:rFonts w:hint="eastAsia" w:ascii="Calibri" w:hAnsi="Calibri"/>
          <w:b/>
          <w:color w:val="auto"/>
        </w:rPr>
        <w:t>年</w:t>
      </w:r>
      <w:r>
        <w:rPr>
          <w:rFonts w:ascii="Calibri" w:hAnsi="Calibri"/>
          <w:b/>
          <w:color w:val="auto"/>
        </w:rPr>
        <w:t xml:space="preserve">    </w:t>
      </w:r>
      <w:r>
        <w:rPr>
          <w:rFonts w:hint="eastAsia" w:ascii="Calibri" w:hAnsi="Calibri"/>
          <w:b/>
          <w:color w:val="auto"/>
        </w:rPr>
        <w:t>月</w:t>
      </w:r>
      <w:r>
        <w:rPr>
          <w:rFonts w:ascii="Calibri" w:hAnsi="Calibri"/>
          <w:b/>
          <w:color w:val="auto"/>
        </w:rPr>
        <w:t xml:space="preserve">    </w:t>
      </w:r>
      <w:r>
        <w:rPr>
          <w:rFonts w:hint="eastAsia" w:ascii="Calibri" w:hAnsi="Calibri"/>
          <w:b/>
          <w:color w:val="auto"/>
        </w:rPr>
        <w:t>日</w:t>
      </w:r>
    </w:p>
    <w:p>
      <w:pPr>
        <w:pStyle w:val="75"/>
        <w:outlineLvl w:val="1"/>
        <w:rPr>
          <w:color w:val="auto"/>
        </w:rPr>
      </w:pPr>
      <w:r>
        <w:rPr>
          <w:color w:val="auto"/>
        </w:rPr>
        <w:br w:type="page"/>
      </w:r>
      <w:r>
        <w:rPr>
          <w:color w:val="auto"/>
        </w:rPr>
        <w:t>十</w:t>
      </w:r>
      <w:r>
        <w:rPr>
          <w:rFonts w:hint="eastAsia"/>
          <w:color w:val="auto"/>
          <w:lang w:val="en-US" w:eastAsia="zh-CN"/>
        </w:rPr>
        <w:t>四</w:t>
      </w:r>
      <w:r>
        <w:rPr>
          <w:color w:val="auto"/>
        </w:rPr>
        <w:t>、技术方案总体内容</w:t>
      </w:r>
    </w:p>
    <w:p>
      <w:pPr>
        <w:pStyle w:val="76"/>
        <w:widowControl/>
        <w:wordWrap w:val="0"/>
        <w:jc w:val="center"/>
        <w:rPr>
          <w:rFonts w:hint="eastAsia" w:ascii="宋体" w:hAnsi="宋体" w:cs="Calibri"/>
          <w:b/>
          <w:bCs/>
          <w:color w:val="auto"/>
          <w:kern w:val="0"/>
          <w:sz w:val="36"/>
          <w:szCs w:val="36"/>
          <w:shd w:val="clear" w:color="auto" w:fill="FFFFFF"/>
        </w:rPr>
      </w:pPr>
    </w:p>
    <w:p>
      <w:pPr>
        <w:pStyle w:val="76"/>
        <w:widowControl/>
        <w:wordWrap w:val="0"/>
        <w:jc w:val="center"/>
        <w:rPr>
          <w:rFonts w:eastAsia="微软雅黑" w:cs="Calibri"/>
          <w:color w:val="auto"/>
          <w:kern w:val="0"/>
          <w:szCs w:val="21"/>
        </w:rPr>
      </w:pPr>
      <w:r>
        <w:rPr>
          <w:rFonts w:hint="eastAsia" w:ascii="宋体" w:hAnsi="宋体" w:cs="Calibri"/>
          <w:b/>
          <w:bCs/>
          <w:color w:val="auto"/>
          <w:kern w:val="0"/>
          <w:sz w:val="36"/>
          <w:szCs w:val="36"/>
          <w:shd w:val="clear" w:color="auto" w:fill="FFFFFF"/>
        </w:rPr>
        <w:t>技术方案总体内容</w:t>
      </w:r>
    </w:p>
    <w:p>
      <w:pPr>
        <w:pStyle w:val="76"/>
        <w:widowControl/>
        <w:wordWrap w:val="0"/>
        <w:spacing w:line="360" w:lineRule="auto"/>
        <w:ind w:firstLine="422"/>
        <w:rPr>
          <w:rFonts w:ascii="宋体" w:hAnsi="宋体"/>
          <w:b/>
          <w:bCs/>
          <w:color w:val="auto"/>
          <w:kern w:val="0"/>
          <w:sz w:val="24"/>
          <w:szCs w:val="24"/>
          <w:shd w:val="clear" w:color="auto" w:fill="FFFFFF"/>
        </w:rPr>
      </w:pPr>
    </w:p>
    <w:p>
      <w:pPr>
        <w:pStyle w:val="69"/>
        <w:spacing w:line="440" w:lineRule="exact"/>
        <w:rPr>
          <w:rFonts w:hint="eastAsia" w:ascii="宋体" w:hAnsi="宋体" w:cs="宋体"/>
          <w:color w:val="auto"/>
          <w:sz w:val="21"/>
          <w:szCs w:val="21"/>
          <w:lang w:val="en-GB"/>
        </w:rPr>
      </w:pPr>
      <w:r>
        <w:rPr>
          <w:rFonts w:hint="eastAsia" w:ascii="宋体" w:hAnsi="宋体" w:eastAsia="宋体" w:cs="Times New Roman"/>
          <w:color w:val="auto"/>
          <w:lang w:val="en-US" w:eastAsia="zh-CN"/>
        </w:rPr>
        <w:t>项目实施方案</w:t>
      </w:r>
    </w:p>
    <w:p>
      <w:pPr>
        <w:rPr>
          <w:rFonts w:hint="eastAsia" w:ascii="宋体" w:hAnsi="宋体" w:cs="宋体"/>
          <w:color w:val="auto"/>
          <w:sz w:val="24"/>
        </w:rPr>
      </w:pPr>
      <w:r>
        <w:rPr>
          <w:rFonts w:hint="eastAsia" w:ascii="宋体" w:hAnsi="宋体" w:cs="宋体"/>
          <w:color w:val="auto"/>
          <w:sz w:val="24"/>
        </w:rPr>
        <w:br w:type="page"/>
      </w:r>
    </w:p>
    <w:p>
      <w:pPr>
        <w:pStyle w:val="3"/>
        <w:rPr>
          <w:color w:val="auto"/>
        </w:rPr>
      </w:pPr>
      <w:r>
        <w:rPr>
          <w:rFonts w:hint="eastAsia" w:hAnsi="宋体" w:cs="黑体"/>
          <w:bCs/>
          <w:color w:val="auto"/>
          <w:kern w:val="0"/>
          <w:sz w:val="31"/>
          <w:szCs w:val="31"/>
          <w:lang w:eastAsia="zh-CN" w:bidi="ar"/>
        </w:rPr>
        <w:t>十</w:t>
      </w:r>
      <w:r>
        <w:rPr>
          <w:rFonts w:hint="eastAsia" w:cs="黑体"/>
          <w:bCs/>
          <w:color w:val="auto"/>
          <w:kern w:val="0"/>
          <w:sz w:val="31"/>
          <w:szCs w:val="31"/>
          <w:lang w:val="en-US" w:eastAsia="zh-CN" w:bidi="ar"/>
        </w:rPr>
        <w:t>五</w:t>
      </w:r>
      <w:r>
        <w:rPr>
          <w:rFonts w:hint="eastAsia" w:hAnsi="宋体" w:cs="黑体"/>
          <w:bCs/>
          <w:color w:val="auto"/>
          <w:kern w:val="0"/>
          <w:sz w:val="31"/>
          <w:szCs w:val="31"/>
          <w:lang w:eastAsia="zh-CN" w:bidi="ar"/>
        </w:rPr>
        <w:t>、</w:t>
      </w:r>
      <w:r>
        <w:rPr>
          <w:rFonts w:hAnsi="宋体" w:cs="黑体"/>
          <w:bCs/>
          <w:color w:val="auto"/>
          <w:kern w:val="0"/>
          <w:sz w:val="31"/>
          <w:szCs w:val="31"/>
          <w:lang w:eastAsia="zh-CN" w:bidi="ar"/>
        </w:rPr>
        <w:t xml:space="preserve">技术部分其他文件（一） </w:t>
      </w:r>
    </w:p>
    <w:p>
      <w:pPr>
        <w:rPr>
          <w:rFonts w:hint="eastAsia" w:ascii="宋体" w:hAnsi="宋体" w:cs="宋体"/>
          <w:color w:val="auto"/>
          <w:szCs w:val="21"/>
          <w:lang w:val="en-GB" w:eastAsia="zh-CN"/>
        </w:rPr>
      </w:pPr>
      <w:r>
        <w:rPr>
          <w:rFonts w:hint="eastAsia" w:ascii="宋体" w:hAnsi="宋体" w:eastAsia="宋体" w:cs="Times New Roman"/>
          <w:color w:val="auto"/>
          <w:lang w:val="en-US" w:eastAsia="zh-CN"/>
        </w:rPr>
        <w:t>专项服务队伍稳定性保障措施</w:t>
      </w:r>
    </w:p>
    <w:p>
      <w:pPr>
        <w:pStyle w:val="3"/>
        <w:rPr>
          <w:color w:val="auto"/>
        </w:rPr>
      </w:pPr>
      <w:r>
        <w:rPr>
          <w:rFonts w:hint="eastAsia" w:ascii="宋体" w:hAnsi="宋体" w:cs="宋体"/>
          <w:color w:val="auto"/>
          <w:szCs w:val="21"/>
          <w:lang w:val="en-GB" w:eastAsia="zh-CN"/>
        </w:rPr>
        <w:br w:type="page"/>
      </w:r>
      <w:r>
        <w:rPr>
          <w:rFonts w:hint="eastAsia" w:hAnsi="宋体" w:cs="黑体"/>
          <w:bCs/>
          <w:color w:val="auto"/>
          <w:kern w:val="0"/>
          <w:sz w:val="31"/>
          <w:szCs w:val="31"/>
          <w:lang w:eastAsia="zh-CN" w:bidi="ar"/>
        </w:rPr>
        <w:t>十</w:t>
      </w:r>
      <w:r>
        <w:rPr>
          <w:rFonts w:hint="eastAsia" w:cs="黑体"/>
          <w:bCs/>
          <w:color w:val="auto"/>
          <w:kern w:val="0"/>
          <w:sz w:val="31"/>
          <w:szCs w:val="31"/>
          <w:lang w:val="en-US" w:eastAsia="zh-CN" w:bidi="ar"/>
        </w:rPr>
        <w:t>六</w:t>
      </w:r>
      <w:r>
        <w:rPr>
          <w:rFonts w:hint="eastAsia" w:hAnsi="宋体" w:cs="黑体"/>
          <w:bCs/>
          <w:color w:val="auto"/>
          <w:kern w:val="0"/>
          <w:sz w:val="31"/>
          <w:szCs w:val="31"/>
          <w:lang w:eastAsia="zh-CN" w:bidi="ar"/>
        </w:rPr>
        <w:t>、</w:t>
      </w:r>
      <w:r>
        <w:rPr>
          <w:rFonts w:hAnsi="宋体" w:cs="黑体"/>
          <w:bCs/>
          <w:color w:val="auto"/>
          <w:kern w:val="0"/>
          <w:sz w:val="31"/>
          <w:szCs w:val="31"/>
          <w:lang w:eastAsia="zh-CN" w:bidi="ar"/>
        </w:rPr>
        <w:t>技术部分其他文件（</w:t>
      </w:r>
      <w:r>
        <w:rPr>
          <w:rFonts w:hint="eastAsia" w:hAnsi="宋体" w:cs="黑体"/>
          <w:bCs/>
          <w:color w:val="auto"/>
          <w:kern w:val="0"/>
          <w:sz w:val="31"/>
          <w:szCs w:val="31"/>
          <w:lang w:val="en-US" w:eastAsia="zh-CN" w:bidi="ar"/>
        </w:rPr>
        <w:t>二</w:t>
      </w:r>
      <w:r>
        <w:rPr>
          <w:rFonts w:hAnsi="宋体" w:cs="黑体"/>
          <w:bCs/>
          <w:color w:val="auto"/>
          <w:kern w:val="0"/>
          <w:sz w:val="31"/>
          <w:szCs w:val="31"/>
          <w:lang w:eastAsia="zh-CN" w:bidi="ar"/>
        </w:rPr>
        <w:t xml:space="preserve">） </w:t>
      </w:r>
    </w:p>
    <w:p>
      <w:pPr>
        <w:rPr>
          <w:rFonts w:hint="eastAsia" w:ascii="宋体" w:hAnsi="宋体" w:cs="宋体"/>
          <w:color w:val="auto"/>
          <w:szCs w:val="21"/>
          <w:lang w:val="en-GB" w:eastAsia="zh-CN"/>
        </w:rPr>
      </w:pPr>
      <w:r>
        <w:rPr>
          <w:rFonts w:hint="eastAsia" w:ascii="宋体" w:hAnsi="宋体" w:cs="宋体"/>
          <w:color w:val="auto"/>
          <w:szCs w:val="21"/>
          <w:lang w:val="en-GB" w:eastAsia="zh-CN"/>
        </w:rPr>
        <w:t>突发事件应急管理方案</w:t>
      </w:r>
    </w:p>
    <w:p>
      <w:pPr>
        <w:pStyle w:val="3"/>
        <w:rPr>
          <w:color w:val="auto"/>
        </w:rPr>
      </w:pPr>
      <w:r>
        <w:rPr>
          <w:rFonts w:hint="eastAsia" w:ascii="宋体" w:hAnsi="宋体" w:cs="宋体"/>
          <w:color w:val="auto"/>
          <w:szCs w:val="21"/>
          <w:lang w:val="en-GB" w:eastAsia="zh-CN"/>
        </w:rPr>
        <w:br w:type="page"/>
      </w:r>
      <w:r>
        <w:rPr>
          <w:rFonts w:hint="eastAsia" w:hAnsi="宋体" w:cs="黑体"/>
          <w:bCs/>
          <w:color w:val="auto"/>
          <w:kern w:val="0"/>
          <w:sz w:val="31"/>
          <w:szCs w:val="31"/>
          <w:lang w:eastAsia="zh-CN" w:bidi="ar"/>
        </w:rPr>
        <w:t>十</w:t>
      </w:r>
      <w:r>
        <w:rPr>
          <w:rFonts w:hint="eastAsia" w:hAnsi="宋体" w:cs="黑体"/>
          <w:bCs/>
          <w:color w:val="auto"/>
          <w:kern w:val="0"/>
          <w:sz w:val="31"/>
          <w:szCs w:val="31"/>
          <w:lang w:val="en-US" w:eastAsia="zh-CN" w:bidi="ar"/>
        </w:rPr>
        <w:t>八</w:t>
      </w:r>
      <w:r>
        <w:rPr>
          <w:rFonts w:hint="eastAsia" w:hAnsi="宋体" w:cs="黑体"/>
          <w:bCs/>
          <w:color w:val="auto"/>
          <w:kern w:val="0"/>
          <w:sz w:val="31"/>
          <w:szCs w:val="31"/>
          <w:lang w:eastAsia="zh-CN" w:bidi="ar"/>
        </w:rPr>
        <w:t>、</w:t>
      </w:r>
      <w:r>
        <w:rPr>
          <w:rFonts w:hAnsi="宋体" w:cs="黑体"/>
          <w:bCs/>
          <w:color w:val="auto"/>
          <w:kern w:val="0"/>
          <w:sz w:val="31"/>
          <w:szCs w:val="31"/>
          <w:lang w:eastAsia="zh-CN" w:bidi="ar"/>
        </w:rPr>
        <w:t>技术部分其他文件（</w:t>
      </w:r>
      <w:r>
        <w:rPr>
          <w:rFonts w:hint="eastAsia" w:hAnsi="宋体" w:cs="黑体"/>
          <w:bCs/>
          <w:color w:val="auto"/>
          <w:kern w:val="0"/>
          <w:sz w:val="31"/>
          <w:szCs w:val="31"/>
          <w:lang w:val="en-US" w:eastAsia="zh-CN" w:bidi="ar"/>
        </w:rPr>
        <w:t>三</w:t>
      </w:r>
      <w:r>
        <w:rPr>
          <w:rFonts w:hAnsi="宋体" w:cs="黑体"/>
          <w:bCs/>
          <w:color w:val="auto"/>
          <w:kern w:val="0"/>
          <w:sz w:val="31"/>
          <w:szCs w:val="31"/>
          <w:lang w:eastAsia="zh-CN" w:bidi="ar"/>
        </w:rPr>
        <w:t xml:space="preserve">） </w:t>
      </w:r>
    </w:p>
    <w:p>
      <w:pPr>
        <w:rPr>
          <w:rFonts w:hint="eastAsia" w:ascii="宋体" w:hAnsi="宋体" w:eastAsia="宋体" w:cs="Times New Roman"/>
          <w:color w:val="auto"/>
          <w:lang w:val="en-US" w:eastAsia="zh-CN"/>
        </w:rPr>
      </w:pPr>
    </w:p>
    <w:p>
      <w:pPr>
        <w:numPr>
          <w:ilvl w:val="0"/>
          <w:numId w:val="0"/>
        </w:numPr>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承接本项目优势。</w:t>
      </w:r>
    </w:p>
    <w:p>
      <w:pPr>
        <w:pStyle w:val="8"/>
        <w:widowControl w:val="0"/>
        <w:numPr>
          <w:ilvl w:val="0"/>
          <w:numId w:val="0"/>
        </w:numPr>
        <w:spacing w:after="120" w:line="360" w:lineRule="auto"/>
        <w:jc w:val="both"/>
        <w:rPr>
          <w:color w:val="auto"/>
        </w:rPr>
      </w:pPr>
    </w:p>
    <w:p>
      <w:pPr>
        <w:rPr>
          <w:color w:val="auto"/>
        </w:rPr>
      </w:pPr>
    </w:p>
    <w:p>
      <w:pPr>
        <w:pStyle w:val="3"/>
        <w:rPr>
          <w:rFonts w:hint="eastAsia" w:ascii="宋体" w:hAnsi="宋体" w:eastAsia="宋体" w:cs="黑体"/>
          <w:bCs/>
          <w:color w:val="auto"/>
          <w:kern w:val="0"/>
          <w:sz w:val="31"/>
          <w:szCs w:val="31"/>
          <w:lang w:val="en-US" w:eastAsia="zh-CN" w:bidi="ar"/>
        </w:rPr>
      </w:pPr>
    </w:p>
    <w:p>
      <w:pPr>
        <w:pStyle w:val="3"/>
        <w:rPr>
          <w:rFonts w:hint="eastAsia" w:ascii="宋体" w:hAnsi="宋体" w:eastAsia="宋体" w:cs="黑体"/>
          <w:bCs/>
          <w:color w:val="auto"/>
          <w:kern w:val="0"/>
          <w:sz w:val="31"/>
          <w:szCs w:val="31"/>
          <w:lang w:val="en-US" w:eastAsia="zh-CN" w:bidi="ar"/>
        </w:rPr>
      </w:pPr>
    </w:p>
    <w:p>
      <w:pPr>
        <w:rPr>
          <w:rFonts w:hint="eastAsia" w:ascii="宋体" w:hAnsi="宋体" w:eastAsia="宋体" w:cs="黑体"/>
          <w:bCs/>
          <w:color w:val="auto"/>
          <w:kern w:val="0"/>
          <w:sz w:val="31"/>
          <w:szCs w:val="31"/>
          <w:lang w:val="en-US" w:eastAsia="zh-CN" w:bidi="ar"/>
        </w:rPr>
      </w:pPr>
      <w:r>
        <w:rPr>
          <w:rFonts w:hint="eastAsia" w:ascii="宋体" w:hAnsi="宋体" w:eastAsia="宋体" w:cs="黑体"/>
          <w:bCs/>
          <w:color w:val="auto"/>
          <w:kern w:val="0"/>
          <w:sz w:val="31"/>
          <w:szCs w:val="31"/>
          <w:lang w:val="en-US" w:eastAsia="zh-CN" w:bidi="ar"/>
        </w:rPr>
        <w:br w:type="page"/>
      </w:r>
    </w:p>
    <w:p>
      <w:pPr>
        <w:pStyle w:val="3"/>
        <w:rPr>
          <w:rFonts w:hint="eastAsia" w:ascii="宋体" w:hAnsi="宋体" w:eastAsia="宋体" w:cs="黑体"/>
          <w:bCs/>
          <w:color w:val="auto"/>
          <w:kern w:val="0"/>
          <w:sz w:val="31"/>
          <w:szCs w:val="31"/>
          <w:lang w:eastAsia="zh-CN" w:bidi="ar"/>
        </w:rPr>
      </w:pPr>
      <w:r>
        <w:rPr>
          <w:rFonts w:hint="eastAsia" w:ascii="宋体" w:hAnsi="宋体" w:eastAsia="宋体" w:cs="黑体"/>
          <w:bCs/>
          <w:color w:val="auto"/>
          <w:kern w:val="0"/>
          <w:sz w:val="31"/>
          <w:szCs w:val="31"/>
          <w:lang w:val="en-US" w:eastAsia="zh-CN" w:bidi="ar"/>
        </w:rPr>
        <w:t>十九、</w:t>
      </w:r>
      <w:r>
        <w:rPr>
          <w:rFonts w:hint="eastAsia" w:ascii="宋体" w:hAnsi="宋体" w:eastAsia="宋体" w:cs="黑体"/>
          <w:bCs/>
          <w:color w:val="auto"/>
          <w:kern w:val="0"/>
          <w:sz w:val="31"/>
          <w:szCs w:val="31"/>
          <w:lang w:eastAsia="zh-CN" w:bidi="ar"/>
        </w:rPr>
        <w:t>其他材料参考格式</w:t>
      </w:r>
    </w:p>
    <w:p>
      <w:pPr>
        <w:pStyle w:val="12"/>
        <w:wordWrap w:val="0"/>
        <w:spacing w:line="360" w:lineRule="auto"/>
        <w:jc w:val="center"/>
        <w:rPr>
          <w:rFonts w:ascii="Calibri" w:hAnsi="Calibri" w:eastAsia="微软雅黑" w:cs="Calibri"/>
          <w:color w:val="auto"/>
          <w:sz w:val="21"/>
          <w:szCs w:val="21"/>
        </w:rPr>
      </w:pPr>
      <w:r>
        <w:rPr>
          <w:rFonts w:hint="eastAsia" w:cs="Calibri"/>
          <w:b/>
          <w:bCs/>
          <w:color w:val="auto"/>
          <w:sz w:val="36"/>
          <w:szCs w:val="36"/>
          <w:shd w:val="clear" w:color="auto" w:fill="FFFFFF"/>
        </w:rPr>
        <w:t>其它文件资料</w:t>
      </w:r>
    </w:p>
    <w:p>
      <w:pPr>
        <w:pStyle w:val="77"/>
        <w:wordWrap w:val="0"/>
        <w:spacing w:line="360" w:lineRule="auto"/>
        <w:jc w:val="both"/>
        <w:rPr>
          <w:rFonts w:cs="Calibri"/>
          <w:color w:val="auto"/>
          <w:shd w:val="clear" w:color="auto" w:fill="FFFFFF"/>
          <w:lang w:val="en-US" w:eastAsia="zh-CN"/>
        </w:rPr>
      </w:pPr>
      <w:r>
        <w:rPr>
          <w:rFonts w:hint="eastAsia" w:cs="Calibri"/>
          <w:color w:val="auto"/>
          <w:shd w:val="clear" w:color="auto" w:fill="FFFFFF"/>
          <w:lang w:val="en-US" w:eastAsia="zh-CN"/>
        </w:rPr>
        <w:t>（投标人认为有必要提供的其他资料，无则不需提供）</w:t>
      </w:r>
    </w:p>
    <w:p>
      <w:pPr>
        <w:rPr>
          <w:color w:val="auto"/>
        </w:rPr>
      </w:pPr>
    </w:p>
    <w:p/>
    <w:sectPr>
      <w:headerReference r:id="rId6" w:type="first"/>
      <w:headerReference r:id="rId5" w:type="default"/>
      <w:footerReference r:id="rId7" w:type="default"/>
      <w:pgSz w:w="11906" w:h="16838"/>
      <w:pgMar w:top="1134" w:right="1134" w:bottom="1134" w:left="1134" w:header="777" w:footer="714" w:gutter="0"/>
      <w:pgBorders>
        <w:top w:val="none" w:sz="0" w:space="0"/>
        <w:left w:val="none" w:sz="0" w:space="0"/>
        <w:bottom w:val="none" w:sz="0" w:space="0"/>
        <w:right w:val="none" w:sz="0" w:space="0"/>
      </w:pgBorders>
      <w:pgNumType w:start="1"/>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eastAsia="宋体"/>
        <w:lang w:val="en-US" w:eastAsia="zh-CN"/>
      </w:rPr>
    </w:pPr>
    <w:r>
      <w:rPr>
        <w:rFonts w:ascii="Times New Roman" w:hAnsi="Times New Roman"/>
      </w:rPr>
      <w:t>第</w:t>
    </w: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6</w:t>
    </w:r>
    <w:r>
      <w:rPr>
        <w:rFonts w:ascii="Times New Roman" w:hAnsi="Times New Roman"/>
      </w:rPr>
      <w:fldChar w:fldCharType="end"/>
    </w:r>
    <w:r>
      <w:rPr>
        <w:rFonts w:ascii="Times New Roman" w:hAnsi="Times New Roman"/>
      </w:rPr>
      <w:t>页</w:t>
    </w:r>
    <w:r>
      <w:rPr>
        <w:rFonts w:hint="eastAsia" w:ascii="Times New Roman" w:hAnsi="Times New Roman"/>
      </w:rPr>
      <w:t xml:space="preserve">  共</w:t>
    </w:r>
    <w:r>
      <w:rPr>
        <w:rFonts w:hint="eastAsia" w:ascii="Times New Roman" w:hAnsi="Times New Roman"/>
        <w:lang w:val="en-US" w:eastAsia="zh-CN"/>
      </w:rPr>
      <w:t>86</w:t>
    </w:r>
    <w:r>
      <w:rPr>
        <w:rFonts w:hint="eastAsia" w:ascii="Times New Roman" w:hAnsi="Times New Roman"/>
      </w:rPr>
      <w:t>页</w:t>
    </w:r>
  </w:p>
  <w:p>
    <w:r>
      <w:rPr>
        <w:rFonts w:hint="eastAsia" w:ascii="Times New Roman" w:hAnsi="Times New Roman"/>
        <w:kern w:val="0"/>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240" w:lineRule="auto"/>
      <w:rPr>
        <w:rFonts w:hint="eastAsia" w:eastAsia="宋体"/>
        <w:sz w:val="15"/>
        <w:szCs w:val="15"/>
        <w:lang w:eastAsia="zh-CN"/>
      </w:rPr>
    </w:pPr>
    <w:r>
      <w:rPr>
        <w:sz w:val="15"/>
        <w:szCs w:val="15"/>
      </w:rPr>
      <w:t>项目名称：</w:t>
    </w:r>
    <w:r>
      <w:rPr>
        <w:rFonts w:hint="eastAsia"/>
        <w:sz w:val="15"/>
        <w:szCs w:val="15"/>
        <w:lang w:eastAsia="zh-CN"/>
      </w:rPr>
      <w:t>三水文化中心物业管理服务项目</w:t>
    </w:r>
    <w:r>
      <w:rPr>
        <w:sz w:val="15"/>
        <w:szCs w:val="15"/>
      </w:rPr>
      <w:t xml:space="preserve">       </w:t>
    </w:r>
    <w:r>
      <w:rPr>
        <w:rFonts w:hint="eastAsia"/>
        <w:sz w:val="15"/>
        <w:szCs w:val="15"/>
      </w:rPr>
      <w:t xml:space="preserve">   </w:t>
    </w:r>
    <w:r>
      <w:rPr>
        <w:rFonts w:hint="eastAsia"/>
        <w:sz w:val="15"/>
        <w:szCs w:val="15"/>
        <w:lang w:val="en-US" w:eastAsia="zh-CN"/>
      </w:rPr>
      <w:t xml:space="preserve">                                           </w:t>
    </w:r>
    <w:r>
      <w:rPr>
        <w:rFonts w:hint="eastAsia"/>
        <w:sz w:val="15"/>
        <w:szCs w:val="15"/>
      </w:rPr>
      <w:t xml:space="preserve">  </w:t>
    </w:r>
    <w:r>
      <w:rPr>
        <w:rFonts w:hint="eastAsia"/>
        <w:sz w:val="15"/>
        <w:szCs w:val="15"/>
        <w:lang w:val="en-US" w:eastAsia="zh-CN"/>
      </w:rPr>
      <w:t xml:space="preserve">  </w:t>
    </w:r>
    <w:r>
      <w:rPr>
        <w:rFonts w:hint="eastAsia"/>
        <w:sz w:val="15"/>
        <w:szCs w:val="15"/>
      </w:rPr>
      <w:t xml:space="preserve">    </w:t>
    </w:r>
    <w:r>
      <w:rPr>
        <w:sz w:val="15"/>
        <w:szCs w:val="15"/>
      </w:rPr>
      <w:t>项目编号：</w:t>
    </w:r>
    <w:r>
      <w:rPr>
        <w:rFonts w:hint="eastAsia"/>
        <w:sz w:val="15"/>
        <w:szCs w:val="15"/>
        <w:lang w:eastAsia="zh-CN"/>
      </w:rPr>
      <w:t>GDZC-26GZ092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A369A2"/>
    <w:multiLevelType w:val="singleLevel"/>
    <w:tmpl w:val="82A369A2"/>
    <w:lvl w:ilvl="0" w:tentative="0">
      <w:start w:val="1"/>
      <w:numFmt w:val="chineseCounting"/>
      <w:suff w:val="nothing"/>
      <w:lvlText w:val="（%1）"/>
      <w:lvlJc w:val="left"/>
      <w:pPr>
        <w:ind w:left="0" w:firstLine="420"/>
      </w:pPr>
      <w:rPr>
        <w:rFonts w:hint="eastAsia"/>
      </w:rPr>
    </w:lvl>
  </w:abstractNum>
  <w:abstractNum w:abstractNumId="1">
    <w:nsid w:val="85AEDA04"/>
    <w:multiLevelType w:val="multilevel"/>
    <w:tmpl w:val="85AEDA04"/>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2">
    <w:nsid w:val="8993B0D2"/>
    <w:multiLevelType w:val="multilevel"/>
    <w:tmpl w:val="8993B0D2"/>
    <w:lvl w:ilvl="0" w:tentative="0">
      <w:start w:val="1"/>
      <w:numFmt w:val="decimal"/>
      <w:lvlText w:val="%1."/>
      <w:lvlJc w:val="left"/>
      <w:pPr>
        <w:tabs>
          <w:tab w:val="left" w:pos="425"/>
        </w:tabs>
        <w:ind w:left="425" w:hanging="425"/>
      </w:pPr>
      <w:rPr>
        <w:rFonts w:hint="eastAsia" w:ascii="宋体" w:hAnsi="宋体" w:eastAsia="宋体"/>
        <w:b w:val="0"/>
        <w:color w:val="auto"/>
      </w:rPr>
    </w:lvl>
    <w:lvl w:ilvl="1" w:tentative="0">
      <w:start w:val="1"/>
      <w:numFmt w:val="decimal"/>
      <w:lvlText w:val="%2."/>
      <w:lvlJc w:val="left"/>
      <w:pPr>
        <w:tabs>
          <w:tab w:val="left" w:pos="567"/>
        </w:tabs>
        <w:ind w:left="567" w:hanging="567"/>
      </w:pPr>
      <w:rPr>
        <w:rFonts w:hint="eastAsia" w:ascii="宋体" w:hAnsi="宋体" w:eastAsia="宋体"/>
        <w:b w:val="0"/>
        <w:color w:val="auto"/>
      </w:rPr>
    </w:lvl>
    <w:lvl w:ilvl="2" w:tentative="0">
      <w:start w:val="1"/>
      <w:numFmt w:val="decimal"/>
      <w:lvlText w:val="%1.%2.%3"/>
      <w:lvlJc w:val="left"/>
      <w:pPr>
        <w:tabs>
          <w:tab w:val="left" w:pos="709"/>
        </w:tabs>
        <w:ind w:left="709" w:hanging="709"/>
      </w:pPr>
      <w:rPr>
        <w:rFonts w:hint="eastAsia" w:ascii="宋体" w:hAnsi="宋体" w:eastAsia="宋体"/>
      </w:rPr>
    </w:lvl>
    <w:lvl w:ilvl="3" w:tentative="0">
      <w:start w:val="1"/>
      <w:numFmt w:val="decimal"/>
      <w:lvlText w:val="%1.%2.%3.%4."/>
      <w:lvlJc w:val="left"/>
      <w:pPr>
        <w:tabs>
          <w:tab w:val="left" w:pos="851"/>
        </w:tabs>
        <w:ind w:left="851" w:hanging="85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8A286BCE"/>
    <w:multiLevelType w:val="multilevel"/>
    <w:tmpl w:val="8A286BCE"/>
    <w:lvl w:ilvl="0" w:tentative="0">
      <w:start w:val="1"/>
      <w:numFmt w:val="decimal"/>
      <w:lvlText w:val="%1."/>
      <w:lvlJc w:val="left"/>
      <w:pPr>
        <w:tabs>
          <w:tab w:val="left" w:pos="425"/>
        </w:tabs>
        <w:ind w:left="425" w:hanging="425"/>
      </w:pPr>
      <w:rPr>
        <w:rFonts w:hint="eastAsia" w:ascii="宋体" w:hAnsi="宋体" w:eastAsia="宋体"/>
        <w:b w:val="0"/>
        <w:color w:val="auto"/>
      </w:rPr>
    </w:lvl>
    <w:lvl w:ilvl="1" w:tentative="0">
      <w:start w:val="1"/>
      <w:numFmt w:val="decimal"/>
      <w:lvlText w:val="%2."/>
      <w:lvlJc w:val="left"/>
      <w:pPr>
        <w:tabs>
          <w:tab w:val="left" w:pos="567"/>
        </w:tabs>
        <w:ind w:left="567" w:hanging="567"/>
      </w:pPr>
      <w:rPr>
        <w:rFonts w:hint="eastAsia" w:ascii="宋体" w:hAnsi="宋体" w:eastAsia="宋体"/>
        <w:b w:val="0"/>
        <w:color w:val="auto"/>
      </w:rPr>
    </w:lvl>
    <w:lvl w:ilvl="2" w:tentative="0">
      <w:start w:val="1"/>
      <w:numFmt w:val="decimal"/>
      <w:lvlText w:val="%1.%2.%3"/>
      <w:lvlJc w:val="left"/>
      <w:pPr>
        <w:tabs>
          <w:tab w:val="left" w:pos="709"/>
        </w:tabs>
        <w:ind w:left="709" w:hanging="709"/>
      </w:pPr>
      <w:rPr>
        <w:rFonts w:hint="eastAsia" w:ascii="宋体" w:hAnsi="宋体" w:eastAsia="宋体"/>
      </w:rPr>
    </w:lvl>
    <w:lvl w:ilvl="3" w:tentative="0">
      <w:start w:val="1"/>
      <w:numFmt w:val="decimal"/>
      <w:lvlText w:val="%1.%2.%3.%4."/>
      <w:lvlJc w:val="left"/>
      <w:pPr>
        <w:tabs>
          <w:tab w:val="left" w:pos="851"/>
        </w:tabs>
        <w:ind w:left="851" w:hanging="85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981F5FC7"/>
    <w:multiLevelType w:val="multilevel"/>
    <w:tmpl w:val="981F5FC7"/>
    <w:lvl w:ilvl="0" w:tentative="0">
      <w:start w:val="1"/>
      <w:numFmt w:val="decimal"/>
      <w:lvlText w:val="%1."/>
      <w:lvlJc w:val="left"/>
      <w:pPr>
        <w:tabs>
          <w:tab w:val="left" w:pos="425"/>
        </w:tabs>
        <w:ind w:left="425" w:hanging="425"/>
      </w:pPr>
      <w:rPr>
        <w:rFonts w:hint="eastAsia" w:ascii="宋体" w:hAnsi="宋体" w:eastAsia="宋体"/>
        <w:b w:val="0"/>
        <w:color w:val="auto"/>
      </w:rPr>
    </w:lvl>
    <w:lvl w:ilvl="1" w:tentative="0">
      <w:start w:val="1"/>
      <w:numFmt w:val="decimal"/>
      <w:lvlText w:val="%2."/>
      <w:lvlJc w:val="left"/>
      <w:pPr>
        <w:tabs>
          <w:tab w:val="left" w:pos="567"/>
        </w:tabs>
        <w:ind w:left="567" w:hanging="567"/>
      </w:pPr>
      <w:rPr>
        <w:rFonts w:hint="eastAsia" w:ascii="宋体" w:hAnsi="宋体" w:eastAsia="宋体"/>
        <w:b w:val="0"/>
        <w:color w:val="auto"/>
      </w:rPr>
    </w:lvl>
    <w:lvl w:ilvl="2" w:tentative="0">
      <w:start w:val="1"/>
      <w:numFmt w:val="decimal"/>
      <w:lvlText w:val="%1.%2.%3"/>
      <w:lvlJc w:val="left"/>
      <w:pPr>
        <w:tabs>
          <w:tab w:val="left" w:pos="709"/>
        </w:tabs>
        <w:ind w:left="709" w:hanging="709"/>
      </w:pPr>
      <w:rPr>
        <w:rFonts w:hint="eastAsia" w:ascii="宋体" w:hAnsi="宋体" w:eastAsia="宋体"/>
      </w:rPr>
    </w:lvl>
    <w:lvl w:ilvl="3" w:tentative="0">
      <w:start w:val="1"/>
      <w:numFmt w:val="decimal"/>
      <w:lvlText w:val="%1.%2.%3.%4."/>
      <w:lvlJc w:val="left"/>
      <w:pPr>
        <w:tabs>
          <w:tab w:val="left" w:pos="851"/>
        </w:tabs>
        <w:ind w:left="851" w:hanging="85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A458B710"/>
    <w:multiLevelType w:val="multilevel"/>
    <w:tmpl w:val="A458B710"/>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6">
    <w:nsid w:val="B335C3E3"/>
    <w:multiLevelType w:val="singleLevel"/>
    <w:tmpl w:val="B335C3E3"/>
    <w:lvl w:ilvl="0" w:tentative="0">
      <w:start w:val="1"/>
      <w:numFmt w:val="decimalEnclosedCircleChinese"/>
      <w:suff w:val="nothing"/>
      <w:lvlText w:val="%1　"/>
      <w:lvlJc w:val="left"/>
      <w:rPr>
        <w:rFonts w:hint="eastAsia"/>
      </w:rPr>
    </w:lvl>
  </w:abstractNum>
  <w:abstractNum w:abstractNumId="7">
    <w:nsid w:val="BB1290B1"/>
    <w:multiLevelType w:val="singleLevel"/>
    <w:tmpl w:val="BB1290B1"/>
    <w:lvl w:ilvl="0" w:tentative="0">
      <w:start w:val="1"/>
      <w:numFmt w:val="decimal"/>
      <w:lvlText w:val="%1)"/>
      <w:lvlJc w:val="left"/>
      <w:pPr>
        <w:ind w:left="425" w:hanging="425"/>
      </w:pPr>
      <w:rPr>
        <w:rFonts w:hint="default"/>
      </w:rPr>
    </w:lvl>
  </w:abstractNum>
  <w:abstractNum w:abstractNumId="8">
    <w:nsid w:val="C253F5E7"/>
    <w:multiLevelType w:val="multilevel"/>
    <w:tmpl w:val="C253F5E7"/>
    <w:lvl w:ilvl="0" w:tentative="0">
      <w:start w:val="1"/>
      <w:numFmt w:val="chineseCounting"/>
      <w:suff w:val="nothing"/>
      <w:lvlText w:val="（%1）"/>
      <w:lvlJc w:val="left"/>
      <w:pPr>
        <w:ind w:left="0" w:firstLine="420"/>
      </w:pPr>
      <w:rPr>
        <w:rFonts w:hint="eastAsia"/>
        <w:b w:val="0"/>
        <w:bCs w:val="0"/>
        <w:color w:val="auto"/>
      </w:rPr>
    </w:lvl>
    <w:lvl w:ilvl="1" w:tentative="0">
      <w:start w:val="1"/>
      <w:numFmt w:val="decimal"/>
      <w:suff w:val="nothing"/>
      <w:lvlText w:val="%2．"/>
      <w:lvlJc w:val="left"/>
      <w:pPr>
        <w:ind w:left="0" w:firstLine="420"/>
      </w:pPr>
      <w:rPr>
        <w:rFonts w:hint="eastAsia"/>
        <w:b w:val="0"/>
        <w:bCs w:val="0"/>
        <w:color w:val="auto"/>
      </w:rPr>
    </w:lvl>
    <w:lvl w:ilvl="2" w:tentative="0">
      <w:start w:val="1"/>
      <w:numFmt w:val="decimal"/>
      <w:suff w:val="nothing"/>
      <w:lvlText w:val="（%3）"/>
      <w:lvlJc w:val="left"/>
      <w:pPr>
        <w:ind w:left="0" w:firstLine="420"/>
      </w:pPr>
      <w:rPr>
        <w:rFonts w:hint="eastAsia"/>
        <w:b w:val="0"/>
        <w:bCs w:val="0"/>
        <w:color w:val="auto"/>
      </w:rPr>
    </w:lvl>
    <w:lvl w:ilvl="3" w:tentative="0">
      <w:start w:val="1"/>
      <w:numFmt w:val="decimalEnclosedCircleChinese"/>
      <w:suff w:val="nothing"/>
      <w:lvlText w:val="%4"/>
      <w:lvlJc w:val="left"/>
      <w:pPr>
        <w:ind w:left="0" w:firstLine="420"/>
      </w:pPr>
      <w:rPr>
        <w:rFonts w:hint="eastAsia"/>
        <w:b w:val="0"/>
        <w:bCs w:val="0"/>
        <w:color w:val="auto"/>
      </w:rPr>
    </w:lvl>
    <w:lvl w:ilvl="4" w:tentative="0">
      <w:start w:val="1"/>
      <w:numFmt w:val="decimal"/>
      <w:suff w:val="nothing"/>
      <w:lvlText w:val="%5）"/>
      <w:lvlJc w:val="left"/>
      <w:pPr>
        <w:ind w:left="0" w:firstLine="420"/>
      </w:pPr>
      <w:rPr>
        <w:rFonts w:hint="eastAsia"/>
        <w:b w:val="0"/>
        <w:bCs w:val="0"/>
        <w:color w:val="auto"/>
      </w:rPr>
    </w:lvl>
    <w:lvl w:ilvl="5" w:tentative="0">
      <w:start w:val="1"/>
      <w:numFmt w:val="lowerLetter"/>
      <w:suff w:val="nothing"/>
      <w:lvlText w:val="%6．"/>
      <w:lvlJc w:val="left"/>
      <w:pPr>
        <w:ind w:left="0" w:firstLine="420"/>
      </w:pPr>
      <w:rPr>
        <w:rFonts w:hint="eastAsia"/>
        <w:b w:val="0"/>
        <w:bCs w:val="0"/>
        <w:color w:val="auto"/>
      </w:rPr>
    </w:lvl>
    <w:lvl w:ilvl="6" w:tentative="0">
      <w:start w:val="1"/>
      <w:numFmt w:val="lowerLetter"/>
      <w:suff w:val="nothing"/>
      <w:lvlText w:val="%7）"/>
      <w:lvlJc w:val="left"/>
      <w:pPr>
        <w:ind w:left="0" w:firstLine="420"/>
      </w:pPr>
      <w:rPr>
        <w:rFonts w:hint="eastAsia"/>
        <w:b w:val="0"/>
        <w:bCs w:val="0"/>
        <w:color w:val="auto"/>
      </w:rPr>
    </w:lvl>
    <w:lvl w:ilvl="7" w:tentative="0">
      <w:start w:val="1"/>
      <w:numFmt w:val="lowerRoman"/>
      <w:suff w:val="nothing"/>
      <w:lvlText w:val="%8．"/>
      <w:lvlJc w:val="left"/>
      <w:pPr>
        <w:ind w:left="0" w:firstLine="420"/>
      </w:pPr>
      <w:rPr>
        <w:rFonts w:hint="eastAsia"/>
        <w:b w:val="0"/>
        <w:bCs w:val="0"/>
        <w:color w:val="auto"/>
      </w:rPr>
    </w:lvl>
    <w:lvl w:ilvl="8" w:tentative="0">
      <w:start w:val="1"/>
      <w:numFmt w:val="lowerRoman"/>
      <w:suff w:val="nothing"/>
      <w:lvlText w:val="%9）"/>
      <w:lvlJc w:val="left"/>
      <w:pPr>
        <w:ind w:left="0" w:firstLine="420"/>
      </w:pPr>
      <w:rPr>
        <w:rFonts w:hint="eastAsia"/>
        <w:b w:val="0"/>
        <w:bCs w:val="0"/>
        <w:color w:val="auto"/>
      </w:rPr>
    </w:lvl>
  </w:abstractNum>
  <w:abstractNum w:abstractNumId="9">
    <w:nsid w:val="C3EC08A2"/>
    <w:multiLevelType w:val="multilevel"/>
    <w:tmpl w:val="C3EC08A2"/>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10">
    <w:nsid w:val="C526E099"/>
    <w:multiLevelType w:val="multilevel"/>
    <w:tmpl w:val="C526E099"/>
    <w:lvl w:ilvl="0" w:tentative="0">
      <w:start w:val="1"/>
      <w:numFmt w:val="decimal"/>
      <w:lvlText w:val="%1."/>
      <w:lvlJc w:val="left"/>
      <w:pPr>
        <w:tabs>
          <w:tab w:val="left" w:pos="425"/>
        </w:tabs>
        <w:ind w:left="425" w:hanging="425"/>
      </w:pPr>
      <w:rPr>
        <w:rFonts w:hint="eastAsia" w:ascii="宋体" w:hAnsi="宋体" w:eastAsia="宋体"/>
        <w:b w:val="0"/>
        <w:color w:val="auto"/>
      </w:rPr>
    </w:lvl>
    <w:lvl w:ilvl="1" w:tentative="0">
      <w:start w:val="1"/>
      <w:numFmt w:val="decimal"/>
      <w:lvlText w:val="%2."/>
      <w:lvlJc w:val="left"/>
      <w:pPr>
        <w:tabs>
          <w:tab w:val="left" w:pos="567"/>
        </w:tabs>
        <w:ind w:left="567" w:hanging="567"/>
      </w:pPr>
      <w:rPr>
        <w:rFonts w:hint="eastAsia" w:ascii="宋体" w:hAnsi="宋体" w:eastAsia="宋体"/>
        <w:b w:val="0"/>
        <w:color w:val="auto"/>
      </w:rPr>
    </w:lvl>
    <w:lvl w:ilvl="2" w:tentative="0">
      <w:start w:val="1"/>
      <w:numFmt w:val="decimal"/>
      <w:lvlText w:val="%1.%2.%3"/>
      <w:lvlJc w:val="left"/>
      <w:pPr>
        <w:tabs>
          <w:tab w:val="left" w:pos="709"/>
        </w:tabs>
        <w:ind w:left="709" w:hanging="709"/>
      </w:pPr>
      <w:rPr>
        <w:rFonts w:hint="eastAsia" w:ascii="宋体" w:hAnsi="宋体" w:eastAsia="宋体"/>
      </w:rPr>
    </w:lvl>
    <w:lvl w:ilvl="3" w:tentative="0">
      <w:start w:val="1"/>
      <w:numFmt w:val="decimal"/>
      <w:lvlText w:val="%1.%2.%3.%4."/>
      <w:lvlJc w:val="left"/>
      <w:pPr>
        <w:tabs>
          <w:tab w:val="left" w:pos="851"/>
        </w:tabs>
        <w:ind w:left="851" w:hanging="85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C6DFFAFE"/>
    <w:multiLevelType w:val="singleLevel"/>
    <w:tmpl w:val="C6DFFAFE"/>
    <w:lvl w:ilvl="0" w:tentative="0">
      <w:start w:val="1"/>
      <w:numFmt w:val="chineseCounting"/>
      <w:suff w:val="nothing"/>
      <w:lvlText w:val="（%1）"/>
      <w:lvlJc w:val="left"/>
      <w:pPr>
        <w:ind w:left="0" w:firstLine="420"/>
      </w:pPr>
      <w:rPr>
        <w:rFonts w:hint="eastAsia"/>
      </w:rPr>
    </w:lvl>
  </w:abstractNum>
  <w:abstractNum w:abstractNumId="12">
    <w:nsid w:val="C979F27E"/>
    <w:multiLevelType w:val="multilevel"/>
    <w:tmpl w:val="C979F27E"/>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13">
    <w:nsid w:val="CBBD4AF5"/>
    <w:multiLevelType w:val="multilevel"/>
    <w:tmpl w:val="CBBD4AF5"/>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14">
    <w:nsid w:val="CC1E6CB0"/>
    <w:multiLevelType w:val="singleLevel"/>
    <w:tmpl w:val="CC1E6CB0"/>
    <w:lvl w:ilvl="0" w:tentative="0">
      <w:start w:val="1"/>
      <w:numFmt w:val="decimal"/>
      <w:lvlText w:val="%1)"/>
      <w:lvlJc w:val="left"/>
      <w:pPr>
        <w:ind w:left="425" w:hanging="425"/>
      </w:pPr>
      <w:rPr>
        <w:rFonts w:hint="default"/>
      </w:rPr>
    </w:lvl>
  </w:abstractNum>
  <w:abstractNum w:abstractNumId="15">
    <w:nsid w:val="D14F499A"/>
    <w:multiLevelType w:val="multilevel"/>
    <w:tmpl w:val="D14F499A"/>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16">
    <w:nsid w:val="D4BAE61A"/>
    <w:multiLevelType w:val="multilevel"/>
    <w:tmpl w:val="D4BAE61A"/>
    <w:lvl w:ilvl="0" w:tentative="0">
      <w:start w:val="1"/>
      <w:numFmt w:val="decimal"/>
      <w:lvlText w:val="%1."/>
      <w:lvlJc w:val="left"/>
      <w:pPr>
        <w:tabs>
          <w:tab w:val="left" w:pos="425"/>
        </w:tabs>
        <w:ind w:left="425" w:hanging="425"/>
      </w:pPr>
      <w:rPr>
        <w:rFonts w:hint="eastAsia" w:ascii="宋体" w:hAnsi="宋体" w:eastAsia="宋体"/>
        <w:b w:val="0"/>
        <w:color w:val="auto"/>
      </w:rPr>
    </w:lvl>
    <w:lvl w:ilvl="1" w:tentative="0">
      <w:start w:val="1"/>
      <w:numFmt w:val="decimal"/>
      <w:lvlText w:val="%2."/>
      <w:lvlJc w:val="left"/>
      <w:pPr>
        <w:tabs>
          <w:tab w:val="left" w:pos="567"/>
        </w:tabs>
        <w:ind w:left="567" w:hanging="567"/>
      </w:pPr>
      <w:rPr>
        <w:rFonts w:hint="eastAsia" w:ascii="宋体" w:hAnsi="宋体" w:eastAsia="宋体"/>
        <w:b w:val="0"/>
        <w:color w:val="auto"/>
      </w:rPr>
    </w:lvl>
    <w:lvl w:ilvl="2" w:tentative="0">
      <w:start w:val="1"/>
      <w:numFmt w:val="decimal"/>
      <w:lvlText w:val="%1.%2.%3"/>
      <w:lvlJc w:val="left"/>
      <w:pPr>
        <w:tabs>
          <w:tab w:val="left" w:pos="709"/>
        </w:tabs>
        <w:ind w:left="709" w:hanging="709"/>
      </w:pPr>
      <w:rPr>
        <w:rFonts w:hint="eastAsia" w:ascii="宋体" w:hAnsi="宋体" w:eastAsia="宋体"/>
      </w:rPr>
    </w:lvl>
    <w:lvl w:ilvl="3" w:tentative="0">
      <w:start w:val="1"/>
      <w:numFmt w:val="decimal"/>
      <w:lvlText w:val="%1.%2.%3.%4."/>
      <w:lvlJc w:val="left"/>
      <w:pPr>
        <w:tabs>
          <w:tab w:val="left" w:pos="851"/>
        </w:tabs>
        <w:ind w:left="851" w:hanging="85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7">
    <w:nsid w:val="D61ED4D8"/>
    <w:multiLevelType w:val="singleLevel"/>
    <w:tmpl w:val="D61ED4D8"/>
    <w:lvl w:ilvl="0" w:tentative="0">
      <w:start w:val="1"/>
      <w:numFmt w:val="decimalEnclosedCircleChinese"/>
      <w:suff w:val="nothing"/>
      <w:lvlText w:val="%1　"/>
      <w:lvlJc w:val="left"/>
      <w:rPr>
        <w:rFonts w:hint="eastAsia"/>
      </w:rPr>
    </w:lvl>
  </w:abstractNum>
  <w:abstractNum w:abstractNumId="18">
    <w:nsid w:val="DF558BB8"/>
    <w:multiLevelType w:val="singleLevel"/>
    <w:tmpl w:val="DF558BB8"/>
    <w:lvl w:ilvl="0" w:tentative="0">
      <w:start w:val="1"/>
      <w:numFmt w:val="chineseCounting"/>
      <w:suff w:val="space"/>
      <w:lvlText w:val="第%1条"/>
      <w:lvlJc w:val="left"/>
      <w:rPr>
        <w:rFonts w:hint="eastAsia"/>
      </w:rPr>
    </w:lvl>
  </w:abstractNum>
  <w:abstractNum w:abstractNumId="19">
    <w:nsid w:val="E076F186"/>
    <w:multiLevelType w:val="multilevel"/>
    <w:tmpl w:val="E076F186"/>
    <w:lvl w:ilvl="0" w:tentative="0">
      <w:start w:val="1"/>
      <w:numFmt w:val="japaneseCounting"/>
      <w:lvlText w:val="%1、"/>
      <w:lvlJc w:val="left"/>
      <w:pPr>
        <w:tabs>
          <w:tab w:val="left" w:pos="420"/>
        </w:tabs>
        <w:ind w:left="420" w:hanging="420"/>
      </w:pPr>
      <w:rPr>
        <w:rFonts w:ascii="宋体" w:hAnsi="宋体" w:eastAsia="宋体" w:cs="Courier New"/>
      </w:rPr>
    </w:lvl>
    <w:lvl w:ilvl="1" w:tentative="0">
      <w:start w:val="1"/>
      <w:numFmt w:val="decimal"/>
      <w:lvlText w:val="%2、"/>
      <w:lvlJc w:val="left"/>
      <w:pPr>
        <w:tabs>
          <w:tab w:val="left" w:pos="780"/>
        </w:tabs>
        <w:ind w:left="780" w:hanging="360"/>
      </w:pPr>
      <w:rPr>
        <w:rFonts w:hint="default"/>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E1BD1D46"/>
    <w:multiLevelType w:val="singleLevel"/>
    <w:tmpl w:val="E1BD1D46"/>
    <w:lvl w:ilvl="0" w:tentative="0">
      <w:start w:val="1"/>
      <w:numFmt w:val="chineseCounting"/>
      <w:suff w:val="nothing"/>
      <w:lvlText w:val="（%1）"/>
      <w:lvlJc w:val="left"/>
      <w:pPr>
        <w:ind w:left="0" w:firstLine="420"/>
      </w:pPr>
      <w:rPr>
        <w:rFonts w:hint="eastAsia"/>
      </w:rPr>
    </w:lvl>
  </w:abstractNum>
  <w:abstractNum w:abstractNumId="21">
    <w:nsid w:val="E718B1C8"/>
    <w:multiLevelType w:val="multilevel"/>
    <w:tmpl w:val="E718B1C8"/>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22">
    <w:nsid w:val="E993B57D"/>
    <w:multiLevelType w:val="multilevel"/>
    <w:tmpl w:val="E993B57D"/>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23">
    <w:nsid w:val="EB4CDE6D"/>
    <w:multiLevelType w:val="multilevel"/>
    <w:tmpl w:val="EB4CDE6D"/>
    <w:lvl w:ilvl="0" w:tentative="0">
      <w:start w:val="1"/>
      <w:numFmt w:val="japaneseCounting"/>
      <w:suff w:val="space"/>
      <w:lvlText w:val="%1、"/>
      <w:lvlJc w:val="left"/>
      <w:pPr>
        <w:ind w:left="420" w:hanging="420"/>
      </w:pPr>
      <w:rPr>
        <w:rFonts w:hint="eastAsia" w:ascii="宋体" w:hAnsi="宋体" w:eastAsia="宋体" w:cs="Courier New"/>
      </w:rPr>
    </w:lvl>
    <w:lvl w:ilvl="1" w:tentative="0">
      <w:start w:val="1"/>
      <w:numFmt w:val="decimal"/>
      <w:lvlText w:val="%2、"/>
      <w:lvlJc w:val="left"/>
      <w:pPr>
        <w:tabs>
          <w:tab w:val="left" w:pos="780"/>
        </w:tabs>
        <w:ind w:left="780" w:hanging="360"/>
      </w:pPr>
      <w:rPr>
        <w:rFonts w:hint="eastAsia"/>
        <w:b w:val="0"/>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24">
    <w:nsid w:val="F1699DAC"/>
    <w:multiLevelType w:val="multilevel"/>
    <w:tmpl w:val="F1699DAC"/>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25">
    <w:nsid w:val="F5A68AA0"/>
    <w:multiLevelType w:val="multilevel"/>
    <w:tmpl w:val="F5A68AA0"/>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26">
    <w:nsid w:val="00000004"/>
    <w:multiLevelType w:val="singleLevel"/>
    <w:tmpl w:val="00000004"/>
    <w:lvl w:ilvl="0" w:tentative="0">
      <w:start w:val="1"/>
      <w:numFmt w:val="chineseCounting"/>
      <w:suff w:val="nothing"/>
      <w:lvlText w:val="（%1）"/>
      <w:lvlJc w:val="left"/>
      <w:pPr>
        <w:ind w:left="0" w:firstLine="420"/>
      </w:pPr>
      <w:rPr>
        <w:rFonts w:hint="eastAsia"/>
      </w:rPr>
    </w:lvl>
  </w:abstractNum>
  <w:abstractNum w:abstractNumId="27">
    <w:nsid w:val="00000008"/>
    <w:multiLevelType w:val="singleLevel"/>
    <w:tmpl w:val="00000008"/>
    <w:lvl w:ilvl="0" w:tentative="0">
      <w:start w:val="1"/>
      <w:numFmt w:val="chineseCounting"/>
      <w:suff w:val="nothing"/>
      <w:lvlText w:val="（%1）"/>
      <w:lvlJc w:val="left"/>
      <w:pPr>
        <w:ind w:left="0" w:firstLine="420"/>
      </w:pPr>
      <w:rPr>
        <w:rFonts w:hint="eastAsia"/>
      </w:rPr>
    </w:lvl>
  </w:abstractNum>
  <w:abstractNum w:abstractNumId="28">
    <w:nsid w:val="00000009"/>
    <w:multiLevelType w:val="multilevel"/>
    <w:tmpl w:val="00000009"/>
    <w:lvl w:ilvl="0" w:tentative="0">
      <w:start w:val="1"/>
      <w:numFmt w:val="decimal"/>
      <w:lvlText w:val="%1"/>
      <w:lvlJc w:val="left"/>
      <w:pPr>
        <w:tabs>
          <w:tab w:val="left" w:pos="360"/>
        </w:tabs>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0000000A"/>
    <w:multiLevelType w:val="multilevel"/>
    <w:tmpl w:val="0000000A"/>
    <w:lvl w:ilvl="0" w:tentative="0">
      <w:start w:val="1"/>
      <w:numFmt w:val="decimal"/>
      <w:lvlText w:val="%1"/>
      <w:lvlJc w:val="left"/>
      <w:pPr>
        <w:tabs>
          <w:tab w:val="left" w:pos="360"/>
        </w:tabs>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00000010"/>
    <w:multiLevelType w:val="singleLevel"/>
    <w:tmpl w:val="00000010"/>
    <w:lvl w:ilvl="0" w:tentative="0">
      <w:start w:val="1"/>
      <w:numFmt w:val="chineseCounting"/>
      <w:suff w:val="nothing"/>
      <w:lvlText w:val="（%1）"/>
      <w:lvlJc w:val="left"/>
      <w:pPr>
        <w:ind w:left="0" w:firstLine="420"/>
      </w:pPr>
      <w:rPr>
        <w:rFonts w:hint="eastAsia"/>
      </w:rPr>
    </w:lvl>
  </w:abstractNum>
  <w:abstractNum w:abstractNumId="31">
    <w:nsid w:val="00000011"/>
    <w:multiLevelType w:val="singleLevel"/>
    <w:tmpl w:val="00000011"/>
    <w:lvl w:ilvl="0" w:tentative="0">
      <w:start w:val="1"/>
      <w:numFmt w:val="chineseCounting"/>
      <w:suff w:val="nothing"/>
      <w:lvlText w:val="（%1）"/>
      <w:lvlJc w:val="left"/>
      <w:pPr>
        <w:ind w:left="0" w:firstLine="420"/>
      </w:pPr>
      <w:rPr>
        <w:rFonts w:hint="eastAsia"/>
      </w:rPr>
    </w:lvl>
  </w:abstractNum>
  <w:abstractNum w:abstractNumId="32">
    <w:nsid w:val="00000012"/>
    <w:multiLevelType w:val="multilevel"/>
    <w:tmpl w:val="00000012"/>
    <w:lvl w:ilvl="0" w:tentative="0">
      <w:start w:val="1"/>
      <w:numFmt w:val="decimal"/>
      <w:lvlText w:val="%1"/>
      <w:lvlJc w:val="left"/>
      <w:pPr>
        <w:tabs>
          <w:tab w:val="left" w:pos="0"/>
        </w:tabs>
        <w:ind w:left="0" w:firstLine="0"/>
      </w:pPr>
      <w:rPr>
        <w:rFonts w:hint="default"/>
        <w:b w:val="0"/>
        <w:bCs w:val="0"/>
        <w:color w:val="auto"/>
        <w:spacing w:val="-20"/>
        <w:kern w:val="1"/>
        <w:position w:val="0"/>
        <w:sz w:val="24"/>
        <w:vertAlign w:val="baseline"/>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33">
    <w:nsid w:val="00000013"/>
    <w:multiLevelType w:val="singleLevel"/>
    <w:tmpl w:val="00000013"/>
    <w:lvl w:ilvl="0" w:tentative="0">
      <w:start w:val="1"/>
      <w:numFmt w:val="chineseCounting"/>
      <w:suff w:val="nothing"/>
      <w:lvlText w:val="（%1）"/>
      <w:lvlJc w:val="left"/>
      <w:pPr>
        <w:ind w:left="0" w:firstLine="420"/>
      </w:pPr>
      <w:rPr>
        <w:rFonts w:hint="eastAsia"/>
      </w:rPr>
    </w:lvl>
  </w:abstractNum>
  <w:abstractNum w:abstractNumId="34">
    <w:nsid w:val="00EBE89D"/>
    <w:multiLevelType w:val="multilevel"/>
    <w:tmpl w:val="00EBE89D"/>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35">
    <w:nsid w:val="0C32FC1F"/>
    <w:multiLevelType w:val="singleLevel"/>
    <w:tmpl w:val="0C32FC1F"/>
    <w:lvl w:ilvl="0" w:tentative="0">
      <w:start w:val="2"/>
      <w:numFmt w:val="chineseCounting"/>
      <w:suff w:val="space"/>
      <w:lvlText w:val="第%1条"/>
      <w:lvlJc w:val="left"/>
      <w:rPr>
        <w:rFonts w:hint="eastAsia"/>
      </w:rPr>
    </w:lvl>
  </w:abstractNum>
  <w:abstractNum w:abstractNumId="36">
    <w:nsid w:val="14AD14A3"/>
    <w:multiLevelType w:val="multilevel"/>
    <w:tmpl w:val="14AD14A3"/>
    <w:lvl w:ilvl="0" w:tentative="0">
      <w:start w:val="1"/>
      <w:numFmt w:val="decimal"/>
      <w:suff w:val="space"/>
      <w:lvlText w:val="%1."/>
      <w:lvlJc w:val="left"/>
      <w:pPr>
        <w:ind w:left="425" w:hanging="425"/>
      </w:pPr>
      <w:rPr>
        <w:b w:val="0"/>
      </w:r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37">
    <w:nsid w:val="19946BCA"/>
    <w:multiLevelType w:val="multilevel"/>
    <w:tmpl w:val="19946BCA"/>
    <w:lvl w:ilvl="0" w:tentative="0">
      <w:start w:val="1"/>
      <w:numFmt w:val="decimal"/>
      <w:lvlText w:val="%1."/>
      <w:lvlJc w:val="left"/>
      <w:pPr>
        <w:tabs>
          <w:tab w:val="left" w:pos="425"/>
        </w:tabs>
        <w:ind w:left="425" w:hanging="425"/>
      </w:pPr>
      <w:rPr>
        <w:rFonts w:hint="eastAsia" w:ascii="宋体" w:hAnsi="宋体" w:eastAsia="宋体"/>
        <w:b w:val="0"/>
        <w:color w:val="auto"/>
      </w:rPr>
    </w:lvl>
    <w:lvl w:ilvl="1" w:tentative="0">
      <w:start w:val="1"/>
      <w:numFmt w:val="decimal"/>
      <w:lvlText w:val="%2."/>
      <w:lvlJc w:val="left"/>
      <w:pPr>
        <w:tabs>
          <w:tab w:val="left" w:pos="567"/>
        </w:tabs>
        <w:ind w:left="567" w:hanging="567"/>
      </w:pPr>
      <w:rPr>
        <w:rFonts w:hint="eastAsia" w:ascii="宋体" w:hAnsi="宋体" w:eastAsia="宋体"/>
        <w:b w:val="0"/>
        <w:color w:val="auto"/>
      </w:rPr>
    </w:lvl>
    <w:lvl w:ilvl="2" w:tentative="0">
      <w:start w:val="1"/>
      <w:numFmt w:val="decimal"/>
      <w:lvlText w:val="%1.%2.%3"/>
      <w:lvlJc w:val="left"/>
      <w:pPr>
        <w:tabs>
          <w:tab w:val="left" w:pos="709"/>
        </w:tabs>
        <w:ind w:left="709" w:hanging="709"/>
      </w:pPr>
      <w:rPr>
        <w:rFonts w:hint="eastAsia" w:ascii="宋体" w:hAnsi="宋体" w:eastAsia="宋体"/>
      </w:rPr>
    </w:lvl>
    <w:lvl w:ilvl="3" w:tentative="0">
      <w:start w:val="1"/>
      <w:numFmt w:val="decimal"/>
      <w:lvlText w:val="%1.%2.%3.%4."/>
      <w:lvlJc w:val="left"/>
      <w:pPr>
        <w:tabs>
          <w:tab w:val="left" w:pos="851"/>
        </w:tabs>
        <w:ind w:left="851" w:hanging="85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8">
    <w:nsid w:val="1A33AF55"/>
    <w:multiLevelType w:val="multilevel"/>
    <w:tmpl w:val="1A33AF55"/>
    <w:lvl w:ilvl="0" w:tentative="0">
      <w:start w:val="1"/>
      <w:numFmt w:val="decimal"/>
      <w:lvlText w:val="%1."/>
      <w:lvlJc w:val="left"/>
      <w:pPr>
        <w:tabs>
          <w:tab w:val="left" w:pos="425"/>
        </w:tabs>
        <w:ind w:left="425" w:hanging="425"/>
      </w:pPr>
      <w:rPr>
        <w:b w:val="0"/>
      </w:r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39">
    <w:nsid w:val="2A778DF2"/>
    <w:multiLevelType w:val="multilevel"/>
    <w:tmpl w:val="2A778DF2"/>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40">
    <w:nsid w:val="310DD92A"/>
    <w:multiLevelType w:val="singleLevel"/>
    <w:tmpl w:val="310DD92A"/>
    <w:lvl w:ilvl="0" w:tentative="0">
      <w:start w:val="1"/>
      <w:numFmt w:val="chineseCounting"/>
      <w:suff w:val="nothing"/>
      <w:lvlText w:val="%1、"/>
      <w:lvlJc w:val="left"/>
      <w:rPr>
        <w:rFonts w:hint="eastAsia"/>
      </w:rPr>
    </w:lvl>
  </w:abstractNum>
  <w:abstractNum w:abstractNumId="41">
    <w:nsid w:val="313917B5"/>
    <w:multiLevelType w:val="multilevel"/>
    <w:tmpl w:val="313917B5"/>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42">
    <w:nsid w:val="340BA22D"/>
    <w:multiLevelType w:val="multilevel"/>
    <w:tmpl w:val="340BA22D"/>
    <w:lvl w:ilvl="0" w:tentative="0">
      <w:start w:val="1"/>
      <w:numFmt w:val="decimal"/>
      <w:suff w:val="space"/>
      <w:lvlText w:val="%1."/>
      <w:lvlJc w:val="left"/>
      <w:pPr>
        <w:ind w:left="425" w:hanging="425"/>
      </w:pPr>
      <w:rPr>
        <w:b w:val="0"/>
      </w:r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43">
    <w:nsid w:val="462C2334"/>
    <w:multiLevelType w:val="multilevel"/>
    <w:tmpl w:val="462C2334"/>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44">
    <w:nsid w:val="473E8F23"/>
    <w:multiLevelType w:val="singleLevel"/>
    <w:tmpl w:val="473E8F23"/>
    <w:lvl w:ilvl="0" w:tentative="0">
      <w:start w:val="1"/>
      <w:numFmt w:val="chineseCounting"/>
      <w:suff w:val="nothing"/>
      <w:lvlText w:val="（%1）"/>
      <w:lvlJc w:val="left"/>
      <w:pPr>
        <w:ind w:left="0" w:firstLine="420"/>
      </w:pPr>
      <w:rPr>
        <w:rFonts w:hint="eastAsia"/>
      </w:rPr>
    </w:lvl>
  </w:abstractNum>
  <w:abstractNum w:abstractNumId="45">
    <w:nsid w:val="4AF300E9"/>
    <w:multiLevelType w:val="multilevel"/>
    <w:tmpl w:val="4AF300E9"/>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46">
    <w:nsid w:val="5113F6C7"/>
    <w:multiLevelType w:val="multilevel"/>
    <w:tmpl w:val="5113F6C7"/>
    <w:lvl w:ilvl="0" w:tentative="0">
      <w:start w:val="1"/>
      <w:numFmt w:val="decimal"/>
      <w:lvlText w:val="%1."/>
      <w:lvlJc w:val="left"/>
      <w:pPr>
        <w:tabs>
          <w:tab w:val="left" w:pos="425"/>
        </w:tabs>
        <w:ind w:left="425" w:hanging="425"/>
      </w:pPr>
      <w:rPr>
        <w:rFonts w:hint="eastAsia" w:ascii="宋体" w:hAnsi="宋体" w:eastAsia="宋体"/>
        <w:b w:val="0"/>
        <w:color w:val="auto"/>
      </w:rPr>
    </w:lvl>
    <w:lvl w:ilvl="1" w:tentative="0">
      <w:start w:val="1"/>
      <w:numFmt w:val="decimal"/>
      <w:lvlText w:val="%2."/>
      <w:lvlJc w:val="left"/>
      <w:pPr>
        <w:tabs>
          <w:tab w:val="left" w:pos="567"/>
        </w:tabs>
        <w:ind w:left="567" w:hanging="567"/>
      </w:pPr>
      <w:rPr>
        <w:rFonts w:hint="eastAsia" w:ascii="宋体" w:hAnsi="宋体" w:eastAsia="宋体"/>
        <w:b w:val="0"/>
        <w:color w:val="auto"/>
      </w:rPr>
    </w:lvl>
    <w:lvl w:ilvl="2" w:tentative="0">
      <w:start w:val="1"/>
      <w:numFmt w:val="decimal"/>
      <w:lvlText w:val="%1.%2.%3"/>
      <w:lvlJc w:val="left"/>
      <w:pPr>
        <w:tabs>
          <w:tab w:val="left" w:pos="709"/>
        </w:tabs>
        <w:ind w:left="709" w:hanging="709"/>
      </w:pPr>
      <w:rPr>
        <w:rFonts w:hint="eastAsia" w:ascii="宋体" w:hAnsi="宋体" w:eastAsia="宋体"/>
      </w:rPr>
    </w:lvl>
    <w:lvl w:ilvl="3" w:tentative="0">
      <w:start w:val="1"/>
      <w:numFmt w:val="decimal"/>
      <w:lvlText w:val="%1.%2.%3.%4."/>
      <w:lvlJc w:val="left"/>
      <w:pPr>
        <w:tabs>
          <w:tab w:val="left" w:pos="851"/>
        </w:tabs>
        <w:ind w:left="851" w:hanging="85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7">
    <w:nsid w:val="570B07C4"/>
    <w:multiLevelType w:val="multilevel"/>
    <w:tmpl w:val="570B07C4"/>
    <w:lvl w:ilvl="0" w:tentative="0">
      <w:start w:val="1"/>
      <w:numFmt w:val="decimal"/>
      <w:lvlText w:val="%1."/>
      <w:lvlJc w:val="left"/>
      <w:pPr>
        <w:tabs>
          <w:tab w:val="left" w:pos="425"/>
        </w:tabs>
        <w:ind w:left="425" w:hanging="425"/>
      </w:pPr>
      <w:rPr>
        <w:rFonts w:hint="eastAsia" w:ascii="宋体" w:hAnsi="宋体" w:eastAsia="宋体"/>
        <w:b w:val="0"/>
        <w:color w:val="auto"/>
      </w:rPr>
    </w:lvl>
    <w:lvl w:ilvl="1" w:tentative="0">
      <w:start w:val="1"/>
      <w:numFmt w:val="decimal"/>
      <w:lvlText w:val="%2."/>
      <w:lvlJc w:val="left"/>
      <w:pPr>
        <w:tabs>
          <w:tab w:val="left" w:pos="567"/>
        </w:tabs>
        <w:ind w:left="567" w:hanging="567"/>
      </w:pPr>
      <w:rPr>
        <w:rFonts w:hint="eastAsia" w:ascii="宋体" w:hAnsi="宋体" w:eastAsia="宋体"/>
        <w:b w:val="0"/>
        <w:color w:val="auto"/>
      </w:rPr>
    </w:lvl>
    <w:lvl w:ilvl="2" w:tentative="0">
      <w:start w:val="1"/>
      <w:numFmt w:val="decimal"/>
      <w:lvlText w:val="%1.%2.%3"/>
      <w:lvlJc w:val="left"/>
      <w:pPr>
        <w:tabs>
          <w:tab w:val="left" w:pos="709"/>
        </w:tabs>
        <w:ind w:left="709" w:hanging="709"/>
      </w:pPr>
      <w:rPr>
        <w:rFonts w:hint="eastAsia" w:ascii="宋体" w:hAnsi="宋体" w:eastAsia="宋体"/>
      </w:rPr>
    </w:lvl>
    <w:lvl w:ilvl="3" w:tentative="0">
      <w:start w:val="1"/>
      <w:numFmt w:val="decimal"/>
      <w:lvlText w:val="%1.%2.%3.%4."/>
      <w:lvlJc w:val="left"/>
      <w:pPr>
        <w:tabs>
          <w:tab w:val="left" w:pos="851"/>
        </w:tabs>
        <w:ind w:left="851" w:hanging="85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8">
    <w:nsid w:val="5BFFA6B2"/>
    <w:multiLevelType w:val="multilevel"/>
    <w:tmpl w:val="5BFFA6B2"/>
    <w:lvl w:ilvl="0" w:tentative="0">
      <w:start w:val="1"/>
      <w:numFmt w:val="decimal"/>
      <w:lvlText w:val="%1."/>
      <w:lvlJc w:val="left"/>
      <w:pPr>
        <w:tabs>
          <w:tab w:val="left" w:pos="425"/>
        </w:tabs>
        <w:ind w:left="425" w:hanging="425"/>
      </w:pPr>
      <w:rPr>
        <w:b w:val="0"/>
      </w:r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49">
    <w:nsid w:val="68E932DD"/>
    <w:multiLevelType w:val="multilevel"/>
    <w:tmpl w:val="68E932DD"/>
    <w:lvl w:ilvl="0" w:tentative="0">
      <w:start w:val="1"/>
      <w:numFmt w:val="decimal"/>
      <w:lvlText w:val="%1."/>
      <w:lvlJc w:val="left"/>
      <w:pPr>
        <w:tabs>
          <w:tab w:val="left" w:pos="425"/>
        </w:tabs>
        <w:ind w:left="425" w:hanging="425"/>
      </w:pPr>
      <w:rPr>
        <w:rFonts w:hint="eastAsia" w:ascii="宋体" w:hAnsi="宋体" w:eastAsia="宋体"/>
        <w:b w:val="0"/>
        <w:color w:val="auto"/>
      </w:rPr>
    </w:lvl>
    <w:lvl w:ilvl="1" w:tentative="0">
      <w:start w:val="1"/>
      <w:numFmt w:val="decimal"/>
      <w:lvlText w:val="%2."/>
      <w:lvlJc w:val="left"/>
      <w:pPr>
        <w:tabs>
          <w:tab w:val="left" w:pos="567"/>
        </w:tabs>
        <w:ind w:left="567" w:hanging="567"/>
      </w:pPr>
      <w:rPr>
        <w:rFonts w:hint="eastAsia" w:ascii="宋体" w:hAnsi="宋体" w:eastAsia="宋体"/>
        <w:b w:val="0"/>
        <w:color w:val="auto"/>
      </w:rPr>
    </w:lvl>
    <w:lvl w:ilvl="2" w:tentative="0">
      <w:start w:val="1"/>
      <w:numFmt w:val="decimal"/>
      <w:lvlText w:val="%1.%2.%3"/>
      <w:lvlJc w:val="left"/>
      <w:pPr>
        <w:tabs>
          <w:tab w:val="left" w:pos="709"/>
        </w:tabs>
        <w:ind w:left="709" w:hanging="709"/>
      </w:pPr>
      <w:rPr>
        <w:rFonts w:hint="eastAsia" w:ascii="宋体" w:hAnsi="宋体" w:eastAsia="宋体"/>
      </w:rPr>
    </w:lvl>
    <w:lvl w:ilvl="3" w:tentative="0">
      <w:start w:val="1"/>
      <w:numFmt w:val="decimal"/>
      <w:lvlText w:val="%1.%2.%3.%4."/>
      <w:lvlJc w:val="left"/>
      <w:pPr>
        <w:tabs>
          <w:tab w:val="left" w:pos="851"/>
        </w:tabs>
        <w:ind w:left="851" w:hanging="85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0">
    <w:nsid w:val="6E50A2A3"/>
    <w:multiLevelType w:val="multilevel"/>
    <w:tmpl w:val="6E50A2A3"/>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num w:numId="1">
    <w:abstractNumId w:val="47"/>
  </w:num>
  <w:num w:numId="2">
    <w:abstractNumId w:val="10"/>
  </w:num>
  <w:num w:numId="3">
    <w:abstractNumId w:val="7"/>
  </w:num>
  <w:num w:numId="4">
    <w:abstractNumId w:val="17"/>
  </w:num>
  <w:num w:numId="5">
    <w:abstractNumId w:val="3"/>
  </w:num>
  <w:num w:numId="6">
    <w:abstractNumId w:val="2"/>
  </w:num>
  <w:num w:numId="7">
    <w:abstractNumId w:val="37"/>
  </w:num>
  <w:num w:numId="8">
    <w:abstractNumId w:val="4"/>
  </w:num>
  <w:num w:numId="9">
    <w:abstractNumId w:val="46"/>
  </w:num>
  <w:num w:numId="10">
    <w:abstractNumId w:val="49"/>
  </w:num>
  <w:num w:numId="11">
    <w:abstractNumId w:val="19"/>
  </w:num>
  <w:num w:numId="12">
    <w:abstractNumId w:val="8"/>
  </w:num>
  <w:num w:numId="13">
    <w:abstractNumId w:val="24"/>
  </w:num>
  <w:num w:numId="14">
    <w:abstractNumId w:val="11"/>
  </w:num>
  <w:num w:numId="15">
    <w:abstractNumId w:val="44"/>
  </w:num>
  <w:num w:numId="16">
    <w:abstractNumId w:val="20"/>
  </w:num>
  <w:num w:numId="17">
    <w:abstractNumId w:val="38"/>
  </w:num>
  <w:num w:numId="18">
    <w:abstractNumId w:val="48"/>
  </w:num>
  <w:num w:numId="19">
    <w:abstractNumId w:val="23"/>
  </w:num>
  <w:num w:numId="20">
    <w:abstractNumId w:val="43"/>
  </w:num>
  <w:num w:numId="21">
    <w:abstractNumId w:val="25"/>
  </w:num>
  <w:num w:numId="22">
    <w:abstractNumId w:val="34"/>
  </w:num>
  <w:num w:numId="23">
    <w:abstractNumId w:val="1"/>
  </w:num>
  <w:num w:numId="24">
    <w:abstractNumId w:val="9"/>
  </w:num>
  <w:num w:numId="25">
    <w:abstractNumId w:val="21"/>
  </w:num>
  <w:num w:numId="26">
    <w:abstractNumId w:val="13"/>
  </w:num>
  <w:num w:numId="27">
    <w:abstractNumId w:val="0"/>
  </w:num>
  <w:num w:numId="28">
    <w:abstractNumId w:val="32"/>
  </w:num>
  <w:num w:numId="29">
    <w:abstractNumId w:val="18"/>
  </w:num>
  <w:num w:numId="30">
    <w:abstractNumId w:val="22"/>
  </w:num>
  <w:num w:numId="31">
    <w:abstractNumId w:val="15"/>
  </w:num>
  <w:num w:numId="32">
    <w:abstractNumId w:val="35"/>
  </w:num>
  <w:num w:numId="33">
    <w:abstractNumId w:val="42"/>
  </w:num>
  <w:num w:numId="34">
    <w:abstractNumId w:val="36"/>
  </w:num>
  <w:num w:numId="35">
    <w:abstractNumId w:val="12"/>
  </w:num>
  <w:num w:numId="36">
    <w:abstractNumId w:val="39"/>
  </w:num>
  <w:num w:numId="37">
    <w:abstractNumId w:val="5"/>
  </w:num>
  <w:num w:numId="38">
    <w:abstractNumId w:val="41"/>
  </w:num>
  <w:num w:numId="39">
    <w:abstractNumId w:val="50"/>
  </w:num>
  <w:num w:numId="40">
    <w:abstractNumId w:val="27"/>
  </w:num>
  <w:num w:numId="41">
    <w:abstractNumId w:val="26"/>
  </w:num>
  <w:num w:numId="42">
    <w:abstractNumId w:val="33"/>
  </w:num>
  <w:num w:numId="43">
    <w:abstractNumId w:val="30"/>
  </w:num>
  <w:num w:numId="44">
    <w:abstractNumId w:val="31"/>
  </w:num>
  <w:num w:numId="45">
    <w:abstractNumId w:val="29"/>
  </w:num>
  <w:num w:numId="46">
    <w:abstractNumId w:val="45"/>
  </w:num>
  <w:num w:numId="47">
    <w:abstractNumId w:val="40"/>
  </w:num>
  <w:num w:numId="48">
    <w:abstractNumId w:val="16"/>
  </w:num>
  <w:num w:numId="49">
    <w:abstractNumId w:val="14"/>
  </w:num>
  <w:num w:numId="50">
    <w:abstractNumId w:val="6"/>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zMGRlYmFhMDY4ZGFlY2M5MDRlY2I2ZGEwNGJhYzgifQ=="/>
  </w:docVars>
  <w:rsids>
    <w:rsidRoot w:val="633642E2"/>
    <w:rsid w:val="104E5D16"/>
    <w:rsid w:val="106B1EF6"/>
    <w:rsid w:val="11A0168A"/>
    <w:rsid w:val="133804CD"/>
    <w:rsid w:val="155A4930"/>
    <w:rsid w:val="15D171CD"/>
    <w:rsid w:val="1707638B"/>
    <w:rsid w:val="1AFE726A"/>
    <w:rsid w:val="1C1718FB"/>
    <w:rsid w:val="1F982A6E"/>
    <w:rsid w:val="2C891ED6"/>
    <w:rsid w:val="2EE824A0"/>
    <w:rsid w:val="349E076A"/>
    <w:rsid w:val="34B80B46"/>
    <w:rsid w:val="46301936"/>
    <w:rsid w:val="4662784A"/>
    <w:rsid w:val="49D756BA"/>
    <w:rsid w:val="49F10C60"/>
    <w:rsid w:val="543640C4"/>
    <w:rsid w:val="55110DB9"/>
    <w:rsid w:val="585175C5"/>
    <w:rsid w:val="5A2E7D17"/>
    <w:rsid w:val="633642E2"/>
    <w:rsid w:val="69802D51"/>
    <w:rsid w:val="790B2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Times New Roman"/>
      <w:kern w:val="2"/>
      <w:sz w:val="24"/>
      <w:szCs w:val="22"/>
      <w:lang w:val="en-US" w:eastAsia="zh-CN" w:bidi="ar-SA"/>
    </w:rPr>
  </w:style>
  <w:style w:type="paragraph" w:styleId="2">
    <w:name w:val="heading 1"/>
    <w:basedOn w:val="1"/>
    <w:next w:val="1"/>
    <w:qFormat/>
    <w:uiPriority w:val="9"/>
    <w:pPr>
      <w:keepNext/>
      <w:keepLines/>
      <w:spacing w:line="360" w:lineRule="auto"/>
      <w:outlineLvl w:val="0"/>
    </w:pPr>
    <w:rPr>
      <w:rFonts w:ascii="黑体" w:hAnsi="黑体" w:eastAsia="黑体"/>
      <w:b/>
      <w:bCs/>
      <w:kern w:val="44"/>
      <w:sz w:val="32"/>
      <w:szCs w:val="44"/>
    </w:rPr>
  </w:style>
  <w:style w:type="paragraph" w:styleId="3">
    <w:name w:val="heading 2"/>
    <w:basedOn w:val="1"/>
    <w:next w:val="1"/>
    <w:qFormat/>
    <w:uiPriority w:val="9"/>
    <w:pPr>
      <w:keepNext/>
      <w:keepLines/>
      <w:spacing w:line="360" w:lineRule="auto"/>
      <w:outlineLvl w:val="1"/>
    </w:pPr>
    <w:rPr>
      <w:rFonts w:ascii="宋体" w:hAnsi="宋体"/>
      <w:b/>
      <w:bCs/>
      <w:sz w:val="32"/>
      <w:szCs w:val="32"/>
    </w:rPr>
  </w:style>
  <w:style w:type="paragraph" w:styleId="4">
    <w:name w:val="heading 3"/>
    <w:basedOn w:val="1"/>
    <w:next w:val="1"/>
    <w:qFormat/>
    <w:uiPriority w:val="9"/>
    <w:pPr>
      <w:keepNext/>
      <w:keepLines/>
      <w:spacing w:line="360" w:lineRule="auto"/>
      <w:outlineLvl w:val="2"/>
    </w:pPr>
    <w:rPr>
      <w:rFonts w:ascii="宋体" w:hAnsi="宋体"/>
      <w:b/>
      <w:bCs/>
      <w:sz w:val="32"/>
      <w:szCs w:val="32"/>
    </w:rPr>
  </w:style>
  <w:style w:type="paragraph" w:styleId="5">
    <w:name w:val="heading 4"/>
    <w:basedOn w:val="1"/>
    <w:next w:val="1"/>
    <w:qFormat/>
    <w:uiPriority w:val="9"/>
    <w:pPr>
      <w:keepNext/>
      <w:keepLines/>
      <w:spacing w:before="280" w:after="290" w:line="376" w:lineRule="auto"/>
      <w:outlineLvl w:val="3"/>
    </w:pPr>
    <w:rPr>
      <w:rFonts w:ascii="Cambria" w:hAnsi="Cambria"/>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6">
    <w:name w:val="caption"/>
    <w:basedOn w:val="1"/>
    <w:next w:val="1"/>
    <w:qFormat/>
    <w:uiPriority w:val="0"/>
    <w:rPr>
      <w:rFonts w:ascii="Cambria" w:hAnsi="Cambria" w:eastAsia="黑体" w:cs="Times New Roman"/>
      <w:sz w:val="20"/>
      <w:szCs w:val="20"/>
    </w:rPr>
  </w:style>
  <w:style w:type="paragraph" w:styleId="7">
    <w:name w:val="annotation text"/>
    <w:basedOn w:val="1"/>
    <w:qFormat/>
    <w:uiPriority w:val="99"/>
    <w:pPr>
      <w:jc w:val="left"/>
    </w:pPr>
  </w:style>
  <w:style w:type="paragraph" w:styleId="8">
    <w:name w:val="Body Text"/>
    <w:basedOn w:val="1"/>
    <w:next w:val="1"/>
    <w:unhideWhenUsed/>
    <w:qFormat/>
    <w:uiPriority w:val="99"/>
    <w:pPr>
      <w:spacing w:after="120"/>
    </w:pPr>
    <w:rPr>
      <w:sz w:val="21"/>
    </w:rPr>
  </w:style>
  <w:style w:type="paragraph" w:styleId="9">
    <w:name w:val="footer"/>
    <w:basedOn w:val="1"/>
    <w:unhideWhenUsed/>
    <w:qFormat/>
    <w:uiPriority w:val="99"/>
    <w:pPr>
      <w:tabs>
        <w:tab w:val="center" w:pos="4153"/>
        <w:tab w:val="right" w:pos="8306"/>
      </w:tabs>
      <w:snapToGrid w:val="0"/>
      <w:jc w:val="left"/>
    </w:pPr>
    <w:rPr>
      <w:kern w:val="0"/>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toc 1"/>
    <w:basedOn w:val="1"/>
    <w:next w:val="1"/>
    <w:unhideWhenUsed/>
    <w:qFormat/>
    <w:uiPriority w:val="39"/>
    <w:pPr>
      <w:tabs>
        <w:tab w:val="right" w:leader="dot" w:pos="9288"/>
      </w:tabs>
    </w:pPr>
    <w:rPr>
      <w:b/>
    </w:r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bCs/>
    </w:rPr>
  </w:style>
  <w:style w:type="character" w:styleId="17">
    <w:name w:val="page number"/>
    <w:basedOn w:val="15"/>
    <w:qFormat/>
    <w:uiPriority w:val="0"/>
  </w:style>
  <w:style w:type="character" w:styleId="18">
    <w:name w:val="Hyperlink"/>
    <w:basedOn w:val="15"/>
    <w:qFormat/>
    <w:uiPriority w:val="99"/>
    <w:rPr>
      <w:color w:val="576B95"/>
      <w:u w:val="none"/>
    </w:rPr>
  </w:style>
  <w:style w:type="paragraph" w:customStyle="1" w:styleId="19">
    <w:name w:val="BodyText"/>
    <w:basedOn w:val="1"/>
    <w:qFormat/>
    <w:uiPriority w:val="0"/>
    <w:pPr>
      <w:spacing w:after="120"/>
    </w:pPr>
    <w:rPr>
      <w:kern w:val="0"/>
    </w:rPr>
  </w:style>
  <w:style w:type="paragraph" w:customStyle="1" w:styleId="20">
    <w:name w:val="Table Text"/>
    <w:basedOn w:val="1"/>
    <w:semiHidden/>
    <w:qFormat/>
    <w:uiPriority w:val="0"/>
    <w:rPr>
      <w:rFonts w:ascii="宋体" w:hAnsi="宋体" w:eastAsia="宋体" w:cs="宋体"/>
      <w:sz w:val="21"/>
      <w:szCs w:val="21"/>
      <w:lang w:val="en-US" w:eastAsia="en-US" w:bidi="ar-SA"/>
    </w:rPr>
  </w:style>
  <w:style w:type="paragraph" w:customStyle="1" w:styleId="21">
    <w:name w:val="题注4"/>
    <w:basedOn w:val="1"/>
    <w:next w:val="6"/>
    <w:qFormat/>
    <w:uiPriority w:val="0"/>
    <w:pPr>
      <w:ind w:left="-40" w:leftChars="-41" w:right="-107" w:rightChars="-51" w:hanging="46"/>
      <w:jc w:val="center"/>
    </w:pPr>
    <w:rPr>
      <w:rFonts w:ascii="Times New Roman" w:hAnsi="Times New Roman"/>
      <w:b/>
      <w:color w:val="000000"/>
      <w:sz w:val="18"/>
      <w:szCs w:val="21"/>
      <w:lang w:val="en-GB"/>
    </w:rPr>
  </w:style>
  <w:style w:type="paragraph" w:styleId="22">
    <w:name w:val="List Paragraph"/>
    <w:basedOn w:val="1"/>
    <w:qFormat/>
    <w:uiPriority w:val="0"/>
    <w:pPr>
      <w:ind w:firstLine="420" w:firstLineChars="200"/>
    </w:pPr>
  </w:style>
  <w:style w:type="paragraph" w:customStyle="1" w:styleId="23">
    <w:name w:val="正文_0_0"/>
    <w:basedOn w:val="24"/>
    <w:next w:val="33"/>
    <w:qFormat/>
    <w:uiPriority w:val="0"/>
    <w:pPr>
      <w:widowControl w:val="0"/>
      <w:suppressAutoHyphens/>
      <w:jc w:val="both"/>
    </w:pPr>
    <w:rPr>
      <w:kern w:val="1"/>
      <w:sz w:val="21"/>
      <w:szCs w:val="24"/>
      <w:lang w:val="en-US" w:eastAsia="ar-SA" w:bidi="ar-SA"/>
    </w:rPr>
  </w:style>
  <w:style w:type="paragraph" w:customStyle="1" w:styleId="24">
    <w:name w:val="正文_1_0"/>
    <w:next w:val="25"/>
    <w:qFormat/>
    <w:uiPriority w:val="0"/>
    <w:pPr>
      <w:widowControl w:val="0"/>
      <w:suppressAutoHyphens/>
      <w:jc w:val="both"/>
    </w:pPr>
    <w:rPr>
      <w:rFonts w:ascii="Times New Roman" w:hAnsi="Times New Roman" w:eastAsia="宋体" w:cs="Times New Roman"/>
      <w:kern w:val="1"/>
      <w:sz w:val="21"/>
      <w:szCs w:val="22"/>
      <w:lang w:val="en-US" w:eastAsia="ar-SA" w:bidi="ar-SA"/>
    </w:rPr>
  </w:style>
  <w:style w:type="paragraph" w:customStyle="1" w:styleId="25">
    <w:name w:val="表格文字_0"/>
    <w:basedOn w:val="26"/>
    <w:next w:val="27"/>
    <w:qFormat/>
    <w:uiPriority w:val="0"/>
    <w:pPr>
      <w:spacing w:line="300" w:lineRule="auto"/>
    </w:pPr>
    <w:rPr>
      <w:rFonts w:ascii="Times New Roman" w:hAnsi="Times New Roman" w:eastAsia="宋体" w:cs="Times New Roman"/>
      <w:szCs w:val="24"/>
    </w:rPr>
  </w:style>
  <w:style w:type="paragraph" w:customStyle="1" w:styleId="26">
    <w:name w:val="正文_1_1"/>
    <w:next w:val="25"/>
    <w:qFormat/>
    <w:uiPriority w:val="0"/>
    <w:pPr>
      <w:widowControl w:val="0"/>
      <w:suppressAutoHyphens/>
      <w:jc w:val="both"/>
    </w:pPr>
    <w:rPr>
      <w:rFonts w:ascii="Times New Roman" w:hAnsi="Times New Roman" w:eastAsia="宋体" w:cs="Times New Roman"/>
      <w:kern w:val="1"/>
      <w:sz w:val="21"/>
      <w:szCs w:val="22"/>
      <w:lang w:val="en-US" w:eastAsia="ar-SA" w:bidi="ar-SA"/>
    </w:rPr>
  </w:style>
  <w:style w:type="paragraph" w:customStyle="1" w:styleId="27">
    <w:name w:val="正文文本_0"/>
    <w:basedOn w:val="28"/>
    <w:next w:val="30"/>
    <w:unhideWhenUsed/>
    <w:qFormat/>
    <w:uiPriority w:val="0"/>
    <w:pPr>
      <w:spacing w:after="120"/>
    </w:pPr>
    <w:rPr>
      <w:rFonts w:ascii="Calibri" w:hAnsi="Calibri"/>
      <w:szCs w:val="22"/>
    </w:rPr>
  </w:style>
  <w:style w:type="paragraph" w:customStyle="1" w:styleId="28">
    <w:name w:val="正文_28_0"/>
    <w:next w:val="2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尾注文本_2"/>
    <w:basedOn w:val="28"/>
    <w:unhideWhenUsed/>
    <w:qFormat/>
    <w:uiPriority w:val="0"/>
    <w:pPr>
      <w:snapToGrid w:val="0"/>
      <w:jc w:val="left"/>
    </w:pPr>
    <w:rPr>
      <w:rFonts w:ascii="宋体" w:hAnsi="宋体"/>
      <w:kern w:val="0"/>
      <w:sz w:val="28"/>
    </w:rPr>
  </w:style>
  <w:style w:type="paragraph" w:customStyle="1" w:styleId="30">
    <w:name w:val="正文_2"/>
    <w:basedOn w:val="31"/>
    <w:next w:val="32"/>
    <w:qFormat/>
    <w:uiPriority w:val="0"/>
    <w:pPr>
      <w:widowControl w:val="0"/>
      <w:suppressAutoHyphens/>
      <w:jc w:val="both"/>
    </w:pPr>
    <w:rPr>
      <w:rFonts w:ascii="Calibri" w:hAnsi="Calibri" w:cs="Calibri"/>
      <w:kern w:val="1"/>
      <w:sz w:val="21"/>
      <w:szCs w:val="22"/>
      <w:lang w:val="en-US" w:eastAsia="ar-SA" w:bidi="ar-SA"/>
    </w:rPr>
  </w:style>
  <w:style w:type="paragraph" w:customStyle="1" w:styleId="31">
    <w:name w:val="正文_0"/>
    <w:qFormat/>
    <w:uiPriority w:val="0"/>
    <w:pPr>
      <w:widowControl w:val="0"/>
      <w:suppressAutoHyphens/>
      <w:jc w:val="both"/>
    </w:pPr>
    <w:rPr>
      <w:rFonts w:ascii="Calibri" w:hAnsi="Calibri" w:eastAsia="宋体" w:cs="Calibri"/>
      <w:kern w:val="1"/>
      <w:sz w:val="21"/>
      <w:szCs w:val="21"/>
      <w:lang w:val="en-US" w:eastAsia="ar-SA" w:bidi="ar-SA"/>
    </w:rPr>
  </w:style>
  <w:style w:type="paragraph" w:customStyle="1" w:styleId="32">
    <w:name w:val="标题 1_0"/>
    <w:basedOn w:val="23"/>
    <w:next w:val="30"/>
    <w:qFormat/>
    <w:uiPriority w:val="0"/>
    <w:pPr>
      <w:keepLines/>
      <w:adjustRightInd w:val="0"/>
      <w:spacing w:before="360" w:after="360" w:line="300" w:lineRule="auto"/>
      <w:jc w:val="center"/>
      <w:outlineLvl w:val="0"/>
    </w:pPr>
    <w:rPr>
      <w:rFonts w:ascii="宋体" w:hAnsi="宋体"/>
      <w:b/>
      <w:bCs/>
      <w:kern w:val="44"/>
      <w:sz w:val="44"/>
      <w:szCs w:val="44"/>
    </w:rPr>
  </w:style>
  <w:style w:type="paragraph" w:customStyle="1" w:styleId="33">
    <w:name w:val="Body Text First Indent1"/>
    <w:basedOn w:val="34"/>
    <w:qFormat/>
    <w:uiPriority w:val="0"/>
    <w:pPr>
      <w:spacing w:after="120" w:line="360" w:lineRule="exact"/>
      <w:ind w:left="400" w:leftChars="400" w:firstLine="420" w:firstLineChars="100"/>
    </w:pPr>
    <w:rPr>
      <w:rFonts w:ascii="Times New Roman" w:hAnsi="Times New Roman" w:eastAsia="楷体_GB2312"/>
      <w:szCs w:val="24"/>
    </w:rPr>
  </w:style>
  <w:style w:type="paragraph" w:customStyle="1" w:styleId="34">
    <w:name w:val="正文_0_0_0"/>
    <w:basedOn w:val="24"/>
    <w:next w:val="32"/>
    <w:qFormat/>
    <w:uiPriority w:val="99"/>
    <w:rPr>
      <w:rFonts w:ascii="Times New Roman" w:hAnsi="Times New Roman"/>
    </w:rPr>
  </w:style>
  <w:style w:type="paragraph" w:customStyle="1" w:styleId="35">
    <w:name w:val="Normal"/>
    <w:qFormat/>
    <w:uiPriority w:val="0"/>
    <w:rPr>
      <w:rFonts w:ascii="Times New Roman" w:hAnsi="Times New Roman" w:eastAsia="Times New Roman" w:cs="Times New Roman"/>
      <w:sz w:val="24"/>
      <w:szCs w:val="24"/>
      <w:lang w:val="en-US" w:eastAsia="zh-CN" w:bidi="ar-SA"/>
    </w:rPr>
  </w:style>
  <w:style w:type="paragraph" w:customStyle="1" w:styleId="36">
    <w:name w:val="Normal_0"/>
    <w:qFormat/>
    <w:uiPriority w:val="0"/>
    <w:rPr>
      <w:rFonts w:ascii="黑体" w:hAnsi="黑体" w:eastAsia="黑体" w:cs="Times New Roman"/>
      <w:b/>
      <w:sz w:val="32"/>
      <w:szCs w:val="24"/>
      <w:lang w:val="en-US" w:eastAsia="zh-CN" w:bidi="ar-SA"/>
    </w:rPr>
  </w:style>
  <w:style w:type="paragraph" w:customStyle="1" w:styleId="37">
    <w:name w:val="Normal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Normal_11"/>
    <w:qFormat/>
    <w:uiPriority w:val="0"/>
    <w:rPr>
      <w:rFonts w:ascii="Times New Roman" w:hAnsi="Times New Roman" w:eastAsia="Times New Roman" w:cs="Times New Roman"/>
      <w:sz w:val="24"/>
      <w:szCs w:val="24"/>
      <w:lang w:val="en-US" w:eastAsia="zh-CN" w:bidi="ar-SA"/>
    </w:rPr>
  </w:style>
  <w:style w:type="paragraph" w:customStyle="1" w:styleId="39">
    <w:name w:val="正文_25"/>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40">
    <w:name w:val="Normal_2"/>
    <w:qFormat/>
    <w:uiPriority w:val="0"/>
    <w:rPr>
      <w:rFonts w:ascii="黑体" w:hAnsi="黑体" w:eastAsia="黑体" w:cs="Times New Roman"/>
      <w:b/>
      <w:sz w:val="32"/>
      <w:szCs w:val="24"/>
      <w:lang w:val="en-US" w:eastAsia="zh-CN" w:bidi="ar-SA"/>
    </w:rPr>
  </w:style>
  <w:style w:type="paragraph" w:customStyle="1" w:styleId="41">
    <w:name w:val="正文_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2">
    <w:name w:val="正文_5"/>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3">
    <w:name w:val="Normal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Normal_4"/>
    <w:qFormat/>
    <w:uiPriority w:val="0"/>
    <w:rPr>
      <w:rFonts w:ascii="黑体" w:hAnsi="黑体" w:eastAsia="黑体" w:cs="Times New Roman"/>
      <w:b/>
      <w:sz w:val="32"/>
      <w:szCs w:val="24"/>
      <w:lang w:val="en-US" w:eastAsia="zh-CN" w:bidi="ar-SA"/>
    </w:rPr>
  </w:style>
  <w:style w:type="paragraph" w:customStyle="1" w:styleId="45">
    <w:name w:val="Normal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
    <w:name w:val="Body Text"/>
    <w:basedOn w:val="45"/>
    <w:next w:val="45"/>
    <w:semiHidden/>
    <w:qFormat/>
    <w:uiPriority w:val="0"/>
    <w:rPr>
      <w:rFonts w:ascii="Calibri" w:hAnsi="Calibri" w:eastAsia="宋体"/>
    </w:rPr>
  </w:style>
  <w:style w:type="paragraph" w:customStyle="1" w:styleId="47">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
    <w:name w:val="正文_0_1"/>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49">
    <w:name w:val="Normal_6"/>
    <w:qFormat/>
    <w:uiPriority w:val="0"/>
    <w:rPr>
      <w:rFonts w:ascii="黑体" w:hAnsi="黑体" w:eastAsia="黑体" w:cs="Times New Roman"/>
      <w:b/>
      <w:sz w:val="32"/>
      <w:szCs w:val="24"/>
      <w:lang w:val="en-US" w:eastAsia="zh-CN" w:bidi="ar-SA"/>
    </w:rPr>
  </w:style>
  <w:style w:type="paragraph" w:customStyle="1" w:styleId="50">
    <w:name w:val="正文_8"/>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51">
    <w:name w:val="正文_0_4"/>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color w:val="0000FF"/>
      <w:kern w:val="2"/>
      <w:sz w:val="24"/>
      <w:szCs w:val="24"/>
      <w:lang w:val="en-US" w:eastAsia="zh-CN" w:bidi="ar"/>
    </w:rPr>
  </w:style>
  <w:style w:type="paragraph" w:customStyle="1" w:styleId="52">
    <w:name w:val="正文_9"/>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
    <w:name w:val="Normal_10"/>
    <w:qFormat/>
    <w:uiPriority w:val="0"/>
    <w:rPr>
      <w:rFonts w:ascii="黑体" w:hAnsi="黑体" w:eastAsia="黑体" w:cs="Times New Roman"/>
      <w:b/>
      <w:sz w:val="32"/>
      <w:szCs w:val="24"/>
      <w:lang w:val="en-US" w:eastAsia="zh-CN" w:bidi="ar-SA"/>
    </w:rPr>
  </w:style>
  <w:style w:type="paragraph" w:customStyle="1" w:styleId="54">
    <w:name w:val="正文_7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
    <w:name w:val="正文_7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
    <w:name w:val="Normal_12"/>
    <w:qFormat/>
    <w:uiPriority w:val="0"/>
    <w:rPr>
      <w:rFonts w:ascii="黑体" w:hAnsi="黑体" w:eastAsia="黑体" w:cs="Times New Roman"/>
      <w:b/>
      <w:sz w:val="32"/>
      <w:szCs w:val="24"/>
      <w:lang w:val="en-US" w:eastAsia="zh-CN" w:bidi="ar-SA"/>
    </w:rPr>
  </w:style>
  <w:style w:type="paragraph" w:customStyle="1" w:styleId="57">
    <w:name w:val="Normal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
    <w:name w:val="Normal_14"/>
    <w:qFormat/>
    <w:uiPriority w:val="0"/>
    <w:rPr>
      <w:rFonts w:ascii="黑体" w:hAnsi="黑体" w:eastAsia="黑体" w:cs="Times New Roman"/>
      <w:b/>
      <w:sz w:val="32"/>
      <w:szCs w:val="24"/>
      <w:lang w:val="en-US" w:eastAsia="zh-CN" w:bidi="ar-SA"/>
    </w:rPr>
  </w:style>
  <w:style w:type="paragraph" w:customStyle="1" w:styleId="59">
    <w:name w:val="正文_9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Normal_16"/>
    <w:qFormat/>
    <w:uiPriority w:val="0"/>
    <w:rPr>
      <w:rFonts w:ascii="黑体" w:hAnsi="黑体" w:eastAsia="黑体" w:cs="Times New Roman"/>
      <w:b/>
      <w:sz w:val="32"/>
      <w:szCs w:val="24"/>
      <w:lang w:val="en-US" w:eastAsia="zh-CN" w:bidi="ar-SA"/>
    </w:rPr>
  </w:style>
  <w:style w:type="paragraph" w:customStyle="1" w:styleId="61">
    <w:name w:val="正文_0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
    <w:name w:val="正文_16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63">
    <w:name w:val="正文_16_0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64">
    <w:name w:val="Normal_18"/>
    <w:qFormat/>
    <w:uiPriority w:val="0"/>
    <w:rPr>
      <w:rFonts w:ascii="黑体" w:hAnsi="黑体" w:eastAsia="黑体" w:cs="Times New Roman"/>
      <w:b/>
      <w:sz w:val="32"/>
      <w:szCs w:val="24"/>
      <w:lang w:val="en-US" w:eastAsia="zh-CN" w:bidi="ar-SA"/>
    </w:rPr>
  </w:style>
  <w:style w:type="paragraph" w:customStyle="1" w:styleId="65">
    <w:name w:val="Normal_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正文_19"/>
    <w:qFormat/>
    <w:uiPriority w:val="0"/>
    <w:pPr>
      <w:widowControl w:val="0"/>
      <w:jc w:val="both"/>
    </w:pPr>
    <w:rPr>
      <w:rFonts w:ascii="Calibri" w:hAnsi="Calibri" w:eastAsia="宋体" w:cs="Times New Roman"/>
      <w:color w:val="0000FF"/>
      <w:kern w:val="2"/>
      <w:sz w:val="24"/>
      <w:szCs w:val="24"/>
      <w:lang w:val="en-US" w:eastAsia="zh-CN" w:bidi="ar-SA"/>
    </w:rPr>
  </w:style>
  <w:style w:type="paragraph" w:customStyle="1" w:styleId="67">
    <w:name w:val="正文_17_0"/>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68">
    <w:name w:val="正文_16_1"/>
    <w:qFormat/>
    <w:uiPriority w:val="0"/>
    <w:pPr>
      <w:widowControl w:val="0"/>
      <w:jc w:val="both"/>
    </w:pPr>
    <w:rPr>
      <w:rFonts w:ascii="Calibri" w:hAnsi="Calibri" w:eastAsia="宋体" w:cs="Times New Roman"/>
      <w:kern w:val="2"/>
      <w:sz w:val="21"/>
      <w:szCs w:val="24"/>
      <w:lang w:val="en-US" w:eastAsia="zh-CN" w:bidi="ar-SA"/>
    </w:rPr>
  </w:style>
  <w:style w:type="paragraph" w:customStyle="1" w:styleId="69">
    <w:name w:val="正文_17_0_0"/>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70">
    <w:name w:val="图"/>
    <w:basedOn w:val="1"/>
    <w:qFormat/>
    <w:uiPriority w:val="0"/>
    <w:pPr>
      <w:keepNext/>
      <w:adjustRightInd w:val="0"/>
      <w:spacing w:before="60" w:after="60" w:line="300" w:lineRule="auto"/>
      <w:jc w:val="center"/>
      <w:textAlignment w:val="center"/>
    </w:pPr>
    <w:rPr>
      <w:rFonts w:ascii="Times New Roman" w:hAnsi="Times New Roman"/>
      <w:spacing w:val="20"/>
      <w:kern w:val="0"/>
      <w:szCs w:val="20"/>
    </w:rPr>
  </w:style>
  <w:style w:type="paragraph" w:customStyle="1" w:styleId="71">
    <w:name w:val="Normal_22"/>
    <w:qFormat/>
    <w:uiPriority w:val="0"/>
    <w:rPr>
      <w:rFonts w:ascii="黑体" w:hAnsi="黑体" w:eastAsia="黑体" w:cs="Times New Roman"/>
      <w:b/>
      <w:sz w:val="32"/>
      <w:szCs w:val="24"/>
      <w:lang w:val="en-US" w:eastAsia="zh-CN" w:bidi="ar-SA"/>
    </w:rPr>
  </w:style>
  <w:style w:type="paragraph" w:customStyle="1" w:styleId="72">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
    <w:name w:val="Normal_23"/>
    <w:qFormat/>
    <w:uiPriority w:val="0"/>
    <w:rPr>
      <w:rFonts w:ascii="黑体" w:hAnsi="黑体" w:eastAsia="黑体" w:cs="Times New Roman"/>
      <w:b/>
      <w:sz w:val="32"/>
      <w:szCs w:val="24"/>
      <w:lang w:val="en-US" w:eastAsia="zh-CN" w:bidi="ar-SA"/>
    </w:rPr>
  </w:style>
  <w:style w:type="paragraph" w:customStyle="1" w:styleId="74">
    <w:name w:val="Normal_2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Normal_25"/>
    <w:qFormat/>
    <w:uiPriority w:val="0"/>
    <w:rPr>
      <w:rFonts w:ascii="黑体" w:hAnsi="黑体" w:eastAsia="黑体" w:cs="Times New Roman"/>
      <w:b/>
      <w:sz w:val="32"/>
      <w:szCs w:val="24"/>
      <w:lang w:val="en-US" w:eastAsia="zh-CN" w:bidi="ar-SA"/>
    </w:rPr>
  </w:style>
  <w:style w:type="paragraph" w:customStyle="1" w:styleId="76">
    <w:name w:val="Normal_26"/>
    <w:qFormat/>
    <w:uiPriority w:val="0"/>
    <w:pPr>
      <w:widowControl w:val="0"/>
      <w:jc w:val="both"/>
    </w:pPr>
    <w:rPr>
      <w:rFonts w:ascii="Calibri" w:hAnsi="Calibri" w:eastAsia="宋体" w:cs="Times New Roman"/>
      <w:kern w:val="2"/>
      <w:sz w:val="21"/>
      <w:szCs w:val="22"/>
      <w:lang w:val="en-US" w:eastAsia="zh-CN" w:bidi="ar-SA"/>
    </w:rPr>
  </w:style>
  <w:style w:type="paragraph" w:customStyle="1" w:styleId="77">
    <w:name w:val="普通(网站)_2"/>
    <w:basedOn w:val="1"/>
    <w:unhideWhenUsed/>
    <w:qFormat/>
    <w:uiPriority w:val="99"/>
    <w:pPr>
      <w:widowControl/>
      <w:spacing w:before="100" w:beforeAutospacing="1" w:after="100" w:afterAutospacing="1"/>
      <w:jc w:val="left"/>
    </w:pPr>
    <w:rPr>
      <w:rFonts w:ascii="宋体" w:hAnsi="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2026-08-27T09:37:00Z</dcterms:created>
  <dc:creator>L</dc:creator>
  <cp:lastModifiedBy>L</cp:lastModifiedBy>
  <dcterms:modified xsi:type="dcterms:W3CDTF">2026-08-28T02:56:05Z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6B17E20336E64DAAB8C5E3BC1729137A_11</vt:lpwstr>
  </property>
</Properties>
</file>