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AF3EC">
      <w:pPr>
        <w:pStyle w:val="9"/>
        <w:jc w:val="center"/>
        <w:outlineLvl w:val="1"/>
        <w:rPr>
          <w:b/>
          <w:sz w:val="36"/>
          <w:highlight w:val="none"/>
        </w:rPr>
      </w:pPr>
      <w:bookmarkStart w:id="2" w:name="_GoBack"/>
      <w:r>
        <w:rPr>
          <w:b/>
          <w:sz w:val="36"/>
          <w:highlight w:val="none"/>
        </w:rPr>
        <w:t>采购需求</w:t>
      </w:r>
    </w:p>
    <w:p w14:paraId="4673C014">
      <w:pPr>
        <w:numPr>
          <w:ilvl w:val="0"/>
          <w:numId w:val="1"/>
        </w:numPr>
        <w:spacing w:line="360" w:lineRule="auto"/>
        <w:ind w:left="0" w:leftChars="0" w:firstLine="0" w:firstLineChars="0"/>
        <w:rPr>
          <w:rFonts w:ascii="宋体" w:hAnsi="宋体"/>
          <w:szCs w:val="21"/>
        </w:rPr>
      </w:pPr>
      <w:r>
        <w:rPr>
          <w:rFonts w:hint="eastAsia" w:ascii="宋体" w:hAnsi="宋体"/>
          <w:szCs w:val="21"/>
        </w:rPr>
        <w:t>项目内容</w:t>
      </w:r>
    </w:p>
    <w:p w14:paraId="292E0509">
      <w:pPr>
        <w:numPr>
          <w:ilvl w:val="0"/>
          <w:numId w:val="2"/>
        </w:numPr>
        <w:spacing w:line="360" w:lineRule="auto"/>
        <w:ind w:firstLine="0" w:firstLineChars="0"/>
        <w:rPr>
          <w:rFonts w:ascii="宋体" w:hAnsi="宋体"/>
          <w:szCs w:val="21"/>
        </w:rPr>
      </w:pPr>
      <w:r>
        <w:rPr>
          <w:rFonts w:hint="eastAsia" w:ascii="宋体" w:hAnsi="宋体"/>
          <w:szCs w:val="21"/>
        </w:rPr>
        <w:t>围绕中心、服务大局，紧密围绕区委区政府中心工作开展宣传报道，营造良好氛围。</w:t>
      </w:r>
    </w:p>
    <w:p w14:paraId="71A468E8">
      <w:pPr>
        <w:numPr>
          <w:ilvl w:val="0"/>
          <w:numId w:val="2"/>
        </w:numPr>
        <w:spacing w:line="360" w:lineRule="auto"/>
        <w:ind w:firstLine="0" w:firstLineChars="0"/>
        <w:rPr>
          <w:rFonts w:ascii="宋体" w:hAnsi="宋体"/>
          <w:szCs w:val="21"/>
        </w:rPr>
      </w:pPr>
      <w:r>
        <w:rPr>
          <w:rFonts w:hint="eastAsia" w:ascii="宋体" w:hAnsi="宋体"/>
          <w:szCs w:val="21"/>
        </w:rPr>
        <w:t>坚持正确舆论导向和价值导向，构建报纸、电视、微信公众号、视频号、自主移动端等媒体平台矩阵，开设专题专栏宣传解读禅城中心工作，提供全品类宣传产品，并对阶段性工作成果进行梳理总结。</w:t>
      </w:r>
    </w:p>
    <w:p w14:paraId="69245E7E">
      <w:pPr>
        <w:numPr>
          <w:ilvl w:val="0"/>
          <w:numId w:val="2"/>
        </w:numPr>
        <w:spacing w:line="360" w:lineRule="auto"/>
        <w:ind w:firstLine="0" w:firstLineChars="0"/>
        <w:jc w:val="left"/>
        <w:rPr>
          <w:rFonts w:ascii="宋体" w:hAnsi="宋体"/>
          <w:szCs w:val="21"/>
        </w:rPr>
      </w:pPr>
      <w:r>
        <w:rPr>
          <w:rFonts w:hint="eastAsia" w:ascii="宋体" w:hAnsi="宋体"/>
          <w:szCs w:val="21"/>
        </w:rPr>
        <w:t>根据上级和区委区政府要求，配合做好突发事件和热点、敏感事件的宣传报道。</w:t>
      </w:r>
    </w:p>
    <w:p w14:paraId="6916C8F8">
      <w:pPr>
        <w:pStyle w:val="9"/>
        <w:spacing w:line="360" w:lineRule="auto"/>
        <w:jc w:val="left"/>
        <w:outlineLvl w:val="1"/>
        <w:rPr>
          <w:rFonts w:ascii="宋体" w:hAnsi="宋体"/>
          <w:kern w:val="2"/>
          <w:sz w:val="21"/>
          <w:szCs w:val="21"/>
        </w:rPr>
      </w:pPr>
      <w:r>
        <w:rPr>
          <w:rFonts w:ascii="宋体" w:hAnsi="宋体"/>
          <w:kern w:val="2"/>
          <w:sz w:val="21"/>
          <w:szCs w:val="21"/>
        </w:rPr>
        <w:t>加强对重大事件和政策的高质量策划及纵深梳理，创新报道方式，增加宣传思想文化报道，增强宣传报道的可读性和影响力。</w:t>
      </w:r>
    </w:p>
    <w:p w14:paraId="77EBFF16">
      <w:pPr>
        <w:numPr>
          <w:ilvl w:val="0"/>
          <w:numId w:val="1"/>
        </w:numPr>
        <w:spacing w:line="360" w:lineRule="auto"/>
        <w:ind w:left="0" w:leftChars="0" w:firstLine="0" w:firstLineChars="0"/>
        <w:rPr>
          <w:rFonts w:hint="eastAsia" w:ascii="宋体" w:hAnsi="宋体"/>
          <w:szCs w:val="21"/>
        </w:rPr>
      </w:pPr>
      <w:r>
        <w:rPr>
          <w:rFonts w:hint="eastAsia" w:ascii="宋体" w:hAnsi="宋体"/>
          <w:szCs w:val="21"/>
        </w:rPr>
        <w:t>具体宣传项目及考核指标</w:t>
      </w:r>
    </w:p>
    <w:tbl>
      <w:tblPr>
        <w:tblStyle w:val="5"/>
        <w:tblW w:w="8519" w:type="dxa"/>
        <w:tblInd w:w="0" w:type="dxa"/>
        <w:tblLayout w:type="fixed"/>
        <w:tblCellMar>
          <w:top w:w="0" w:type="dxa"/>
          <w:left w:w="108" w:type="dxa"/>
          <w:bottom w:w="0" w:type="dxa"/>
          <w:right w:w="108" w:type="dxa"/>
        </w:tblCellMar>
      </w:tblPr>
      <w:tblGrid>
        <w:gridCol w:w="557"/>
        <w:gridCol w:w="1411"/>
        <w:gridCol w:w="2532"/>
        <w:gridCol w:w="4019"/>
      </w:tblGrid>
      <w:tr w14:paraId="17A97250">
        <w:tblPrEx>
          <w:tblCellMar>
            <w:top w:w="0" w:type="dxa"/>
            <w:left w:w="108" w:type="dxa"/>
            <w:bottom w:w="0" w:type="dxa"/>
            <w:right w:w="108" w:type="dxa"/>
          </w:tblCellMar>
        </w:tblPrEx>
        <w:trPr>
          <w:trHeight w:val="480"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3B17B3CE">
            <w:pPr>
              <w:widowControl/>
              <w:jc w:val="center"/>
              <w:textAlignment w:val="center"/>
              <w:rPr>
                <w:rFonts w:ascii="宋体" w:hAnsi="宋体"/>
                <w:b/>
                <w:bCs/>
                <w:color w:val="000000"/>
                <w:szCs w:val="21"/>
              </w:rPr>
            </w:pPr>
            <w:r>
              <w:rPr>
                <w:rFonts w:hint="eastAsia" w:ascii="宋体" w:hAnsi="宋体"/>
                <w:b/>
                <w:bCs/>
                <w:color w:val="000000"/>
                <w:kern w:val="0"/>
                <w:szCs w:val="21"/>
              </w:rPr>
              <w:t>序号</w:t>
            </w:r>
          </w:p>
        </w:tc>
        <w:tc>
          <w:tcPr>
            <w:tcW w:w="1411" w:type="dxa"/>
            <w:tcBorders>
              <w:top w:val="single" w:color="000000" w:sz="4" w:space="0"/>
              <w:left w:val="single" w:color="000000" w:sz="4" w:space="0"/>
              <w:bottom w:val="single" w:color="000000" w:sz="4" w:space="0"/>
              <w:right w:val="single" w:color="000000" w:sz="4" w:space="0"/>
            </w:tcBorders>
            <w:vAlign w:val="center"/>
          </w:tcPr>
          <w:p w14:paraId="2C237531">
            <w:pPr>
              <w:widowControl/>
              <w:jc w:val="center"/>
              <w:textAlignment w:val="center"/>
              <w:rPr>
                <w:rFonts w:ascii="宋体" w:hAnsi="宋体"/>
                <w:b/>
                <w:bCs/>
                <w:color w:val="000000"/>
                <w:szCs w:val="21"/>
              </w:rPr>
            </w:pPr>
            <w:r>
              <w:rPr>
                <w:rFonts w:hint="eastAsia" w:ascii="宋体" w:hAnsi="宋体"/>
                <w:b/>
                <w:bCs/>
                <w:color w:val="000000"/>
                <w:kern w:val="0"/>
                <w:szCs w:val="21"/>
              </w:rPr>
              <w:t>宣传项目</w:t>
            </w:r>
          </w:p>
        </w:tc>
        <w:tc>
          <w:tcPr>
            <w:tcW w:w="2532" w:type="dxa"/>
            <w:tcBorders>
              <w:top w:val="single" w:color="000000" w:sz="4" w:space="0"/>
              <w:left w:val="single" w:color="000000" w:sz="4" w:space="0"/>
              <w:bottom w:val="single" w:color="000000" w:sz="4" w:space="0"/>
              <w:right w:val="single" w:color="000000" w:sz="4" w:space="0"/>
            </w:tcBorders>
            <w:vAlign w:val="center"/>
          </w:tcPr>
          <w:p w14:paraId="73FE4C6D">
            <w:pPr>
              <w:widowControl/>
              <w:jc w:val="center"/>
              <w:textAlignment w:val="center"/>
              <w:rPr>
                <w:rFonts w:ascii="宋体" w:hAnsi="宋体"/>
                <w:b/>
                <w:bCs/>
                <w:color w:val="000000"/>
                <w:szCs w:val="21"/>
              </w:rPr>
            </w:pPr>
            <w:r>
              <w:rPr>
                <w:rFonts w:hint="eastAsia" w:ascii="宋体" w:hAnsi="宋体"/>
                <w:b/>
                <w:bCs/>
                <w:color w:val="000000"/>
                <w:kern w:val="0"/>
                <w:szCs w:val="21"/>
              </w:rPr>
              <w:t>项目内容</w:t>
            </w:r>
          </w:p>
        </w:tc>
        <w:tc>
          <w:tcPr>
            <w:tcW w:w="4019" w:type="dxa"/>
            <w:tcBorders>
              <w:top w:val="single" w:color="000000" w:sz="4" w:space="0"/>
              <w:left w:val="single" w:color="000000" w:sz="4" w:space="0"/>
              <w:bottom w:val="single" w:color="000000" w:sz="4" w:space="0"/>
              <w:right w:val="single" w:color="000000" w:sz="4" w:space="0"/>
            </w:tcBorders>
            <w:vAlign w:val="center"/>
          </w:tcPr>
          <w:p w14:paraId="3F5E592F">
            <w:pPr>
              <w:widowControl/>
              <w:jc w:val="center"/>
              <w:textAlignment w:val="center"/>
              <w:rPr>
                <w:rFonts w:ascii="宋体" w:hAnsi="宋体"/>
                <w:b/>
                <w:bCs/>
                <w:color w:val="000000"/>
                <w:szCs w:val="21"/>
              </w:rPr>
            </w:pPr>
            <w:r>
              <w:rPr>
                <w:rFonts w:hint="eastAsia" w:ascii="宋体" w:hAnsi="宋体"/>
                <w:b/>
                <w:bCs/>
                <w:color w:val="000000"/>
                <w:kern w:val="0"/>
                <w:szCs w:val="21"/>
              </w:rPr>
              <w:t>考核指标</w:t>
            </w:r>
          </w:p>
        </w:tc>
      </w:tr>
      <w:tr w14:paraId="3AEAAD73">
        <w:tblPrEx>
          <w:tblCellMar>
            <w:top w:w="0" w:type="dxa"/>
            <w:left w:w="108" w:type="dxa"/>
            <w:bottom w:w="0" w:type="dxa"/>
            <w:right w:w="108" w:type="dxa"/>
          </w:tblCellMar>
        </w:tblPrEx>
        <w:trPr>
          <w:trHeight w:val="480" w:hRule="atLeast"/>
        </w:trPr>
        <w:tc>
          <w:tcPr>
            <w:tcW w:w="8519" w:type="dxa"/>
            <w:gridSpan w:val="4"/>
            <w:tcBorders>
              <w:top w:val="single" w:color="000000" w:sz="4" w:space="0"/>
              <w:left w:val="single" w:color="000000" w:sz="4" w:space="0"/>
              <w:bottom w:val="single" w:color="000000" w:sz="4" w:space="0"/>
              <w:right w:val="single" w:color="000000" w:sz="4" w:space="0"/>
            </w:tcBorders>
            <w:vAlign w:val="center"/>
          </w:tcPr>
          <w:p w14:paraId="79D37B62">
            <w:pPr>
              <w:widowControl/>
              <w:jc w:val="center"/>
              <w:textAlignment w:val="center"/>
              <w:rPr>
                <w:rFonts w:ascii="宋体" w:hAnsi="宋体"/>
                <w:b/>
                <w:bCs/>
                <w:color w:val="000000"/>
                <w:kern w:val="0"/>
                <w:szCs w:val="21"/>
              </w:rPr>
            </w:pPr>
            <w:r>
              <w:rPr>
                <w:rFonts w:hint="eastAsia" w:ascii="宋体" w:hAnsi="宋体"/>
                <w:b/>
                <w:bCs/>
                <w:color w:val="000000"/>
                <w:kern w:val="0"/>
                <w:szCs w:val="21"/>
              </w:rPr>
              <w:t>（一）基础服务</w:t>
            </w:r>
          </w:p>
        </w:tc>
      </w:tr>
      <w:tr w14:paraId="3D838969">
        <w:tblPrEx>
          <w:tblCellMar>
            <w:top w:w="0" w:type="dxa"/>
            <w:left w:w="108" w:type="dxa"/>
            <w:bottom w:w="0" w:type="dxa"/>
            <w:right w:w="108" w:type="dxa"/>
          </w:tblCellMar>
        </w:tblPrEx>
        <w:trPr>
          <w:trHeight w:val="2512"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0D89EC7B">
            <w:pPr>
              <w:widowControl/>
              <w:jc w:val="center"/>
              <w:textAlignment w:val="center"/>
              <w:rPr>
                <w:rFonts w:ascii="宋体" w:hAnsi="宋体"/>
                <w:color w:val="000000"/>
                <w:szCs w:val="21"/>
              </w:rPr>
            </w:pPr>
            <w:r>
              <w:rPr>
                <w:rFonts w:hint="eastAsia" w:ascii="宋体" w:hAnsi="宋体"/>
                <w:color w:val="000000"/>
                <w:szCs w:val="21"/>
              </w:rPr>
              <w:t>1</w:t>
            </w:r>
          </w:p>
        </w:tc>
        <w:tc>
          <w:tcPr>
            <w:tcW w:w="1411" w:type="dxa"/>
            <w:tcBorders>
              <w:top w:val="single" w:color="000000" w:sz="4" w:space="0"/>
              <w:left w:val="single" w:color="000000" w:sz="4" w:space="0"/>
              <w:bottom w:val="single" w:color="000000" w:sz="4" w:space="0"/>
              <w:right w:val="single" w:color="000000" w:sz="4" w:space="0"/>
            </w:tcBorders>
            <w:vAlign w:val="center"/>
          </w:tcPr>
          <w:p w14:paraId="26F15489">
            <w:pPr>
              <w:tabs>
                <w:tab w:val="left" w:pos="900"/>
              </w:tabs>
              <w:rPr>
                <w:rFonts w:hint="eastAsia" w:ascii="宋体" w:hAnsi="宋体" w:eastAsia="宋体"/>
                <w:color w:val="000000"/>
                <w:szCs w:val="21"/>
                <w:lang w:eastAsia="zh-CN"/>
              </w:rPr>
            </w:pPr>
            <w:r>
              <w:rPr>
                <w:rFonts w:hint="eastAsia" w:ascii="宋体" w:hAnsi="宋体"/>
                <w:kern w:val="0"/>
                <w:szCs w:val="21"/>
                <w:lang w:eastAsia="zh-CN"/>
              </w:rPr>
              <w:t>开设</w:t>
            </w:r>
            <w:r>
              <w:rPr>
                <w:rFonts w:hint="eastAsia" w:ascii="宋体" w:hAnsi="宋体"/>
                <w:kern w:val="0"/>
                <w:szCs w:val="21"/>
              </w:rPr>
              <w:t>电视</w:t>
            </w:r>
            <w:r>
              <w:rPr>
                <w:rFonts w:hint="eastAsia" w:ascii="宋体" w:hAnsi="宋体"/>
                <w:kern w:val="0"/>
                <w:szCs w:val="21"/>
                <w:lang w:eastAsia="zh-CN"/>
              </w:rPr>
              <w:t>新闻专题栏目</w:t>
            </w:r>
          </w:p>
        </w:tc>
        <w:tc>
          <w:tcPr>
            <w:tcW w:w="2532" w:type="dxa"/>
            <w:tcBorders>
              <w:top w:val="single" w:color="000000" w:sz="4" w:space="0"/>
              <w:left w:val="single" w:color="000000" w:sz="4" w:space="0"/>
              <w:bottom w:val="single" w:color="000000" w:sz="4" w:space="0"/>
              <w:right w:val="single" w:color="000000" w:sz="4" w:space="0"/>
            </w:tcBorders>
            <w:vAlign w:val="center"/>
          </w:tcPr>
          <w:p w14:paraId="6F9FB428">
            <w:pPr>
              <w:tabs>
                <w:tab w:val="left" w:pos="900"/>
              </w:tabs>
              <w:rPr>
                <w:rFonts w:ascii="宋体" w:hAnsi="宋体"/>
                <w:color w:val="000000"/>
                <w:szCs w:val="21"/>
              </w:rPr>
            </w:pPr>
            <w:r>
              <w:rPr>
                <w:rFonts w:hint="eastAsia" w:ascii="宋体" w:hAnsi="宋体"/>
                <w:kern w:val="0"/>
                <w:szCs w:val="21"/>
              </w:rPr>
              <w:t>中标供应商组建专业新闻采编团队，整合双方资源，围绕禅城区委区政府中心工作及社会经济文化事业发展</w:t>
            </w:r>
            <w:r>
              <w:rPr>
                <w:rFonts w:hint="eastAsia" w:ascii="宋体" w:hAnsi="宋体"/>
                <w:kern w:val="0"/>
                <w:szCs w:val="21"/>
                <w:lang w:eastAsia="zh-CN"/>
              </w:rPr>
              <w:t>编发电视新闻，</w:t>
            </w:r>
            <w:r>
              <w:rPr>
                <w:rFonts w:hint="eastAsia" w:ascii="宋体" w:hAnsi="宋体"/>
                <w:kern w:val="0"/>
                <w:szCs w:val="21"/>
              </w:rPr>
              <w:t>打造禅城区宣传工作的主阵地。</w:t>
            </w:r>
          </w:p>
        </w:tc>
        <w:tc>
          <w:tcPr>
            <w:tcW w:w="4019" w:type="dxa"/>
            <w:tcBorders>
              <w:top w:val="single" w:color="000000" w:sz="4" w:space="0"/>
              <w:left w:val="single" w:color="000000" w:sz="4" w:space="0"/>
              <w:bottom w:val="single" w:color="000000" w:sz="4" w:space="0"/>
              <w:right w:val="single" w:color="000000" w:sz="4" w:space="0"/>
            </w:tcBorders>
            <w:vAlign w:val="center"/>
          </w:tcPr>
          <w:p w14:paraId="5FC83455">
            <w:pPr>
              <w:tabs>
                <w:tab w:val="left" w:pos="900"/>
              </w:tabs>
              <w:rPr>
                <w:rFonts w:ascii="宋体" w:hAnsi="宋体"/>
                <w:color w:val="000000"/>
                <w:szCs w:val="21"/>
              </w:rPr>
            </w:pPr>
            <w:r>
              <w:rPr>
                <w:rFonts w:hint="eastAsia" w:ascii="宋体" w:hAnsi="宋体"/>
                <w:kern w:val="0"/>
                <w:szCs w:val="21"/>
              </w:rPr>
              <w:t>1、</w:t>
            </w:r>
            <w:bookmarkStart w:id="0" w:name="OLE_LINK4"/>
            <w:r>
              <w:rPr>
                <w:rFonts w:hint="eastAsia" w:ascii="宋体" w:hAnsi="宋体"/>
                <w:kern w:val="0"/>
                <w:szCs w:val="21"/>
              </w:rPr>
              <w:t>设置电视</w:t>
            </w:r>
            <w:r>
              <w:rPr>
                <w:rFonts w:hint="eastAsia" w:ascii="宋体" w:hAnsi="宋体"/>
                <w:kern w:val="0"/>
                <w:szCs w:val="21"/>
                <w:lang w:eastAsia="zh-CN"/>
              </w:rPr>
              <w:t>新闻专题</w:t>
            </w:r>
            <w:r>
              <w:rPr>
                <w:rFonts w:hint="eastAsia" w:ascii="宋体" w:hAnsi="宋体"/>
                <w:kern w:val="0"/>
                <w:szCs w:val="21"/>
              </w:rPr>
              <w:t>栏目</w:t>
            </w:r>
            <w:bookmarkEnd w:id="0"/>
            <w:r>
              <w:rPr>
                <w:rFonts w:hint="eastAsia" w:ascii="宋体" w:hAnsi="宋体"/>
                <w:kern w:val="0"/>
                <w:szCs w:val="21"/>
                <w:lang w:eastAsia="zh-CN"/>
              </w:rPr>
              <w:t>，</w:t>
            </w:r>
            <w:r>
              <w:rPr>
                <w:rFonts w:hint="eastAsia" w:ascii="宋体" w:hAnsi="宋体"/>
                <w:kern w:val="0"/>
                <w:szCs w:val="21"/>
              </w:rPr>
              <w:t>合作期内共发布49期，一周一期,时长约15分钟。（法定节假日不播出）</w:t>
            </w:r>
          </w:p>
        </w:tc>
      </w:tr>
      <w:tr w14:paraId="71A9AEED">
        <w:tblPrEx>
          <w:tblCellMar>
            <w:top w:w="0" w:type="dxa"/>
            <w:left w:w="108" w:type="dxa"/>
            <w:bottom w:w="0" w:type="dxa"/>
            <w:right w:w="108" w:type="dxa"/>
          </w:tblCellMar>
        </w:tblPrEx>
        <w:trPr>
          <w:trHeight w:val="415"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74862272">
            <w:pPr>
              <w:widowControl/>
              <w:jc w:val="center"/>
              <w:textAlignment w:val="center"/>
              <w:rPr>
                <w:rFonts w:ascii="宋体" w:hAnsi="宋体"/>
                <w:color w:val="000000"/>
                <w:szCs w:val="21"/>
              </w:rPr>
            </w:pPr>
            <w:r>
              <w:rPr>
                <w:rFonts w:hint="eastAsia" w:ascii="宋体" w:hAnsi="宋体"/>
                <w:color w:val="000000"/>
                <w:szCs w:val="21"/>
              </w:rPr>
              <w:t>2</w:t>
            </w:r>
          </w:p>
        </w:tc>
        <w:tc>
          <w:tcPr>
            <w:tcW w:w="1411" w:type="dxa"/>
            <w:tcBorders>
              <w:top w:val="single" w:color="000000" w:sz="4" w:space="0"/>
              <w:left w:val="single" w:color="000000" w:sz="4" w:space="0"/>
              <w:bottom w:val="single" w:color="000000" w:sz="4" w:space="0"/>
              <w:right w:val="single" w:color="000000" w:sz="4" w:space="0"/>
            </w:tcBorders>
            <w:vAlign w:val="center"/>
          </w:tcPr>
          <w:p w14:paraId="4028AE10">
            <w:pPr>
              <w:tabs>
                <w:tab w:val="left" w:pos="900"/>
              </w:tabs>
              <w:rPr>
                <w:rFonts w:ascii="宋体" w:hAnsi="宋体"/>
                <w:color w:val="000000"/>
                <w:szCs w:val="21"/>
              </w:rPr>
            </w:pPr>
            <w:r>
              <w:rPr>
                <w:rFonts w:hint="eastAsia" w:ascii="宋体" w:hAnsi="宋体"/>
                <w:kern w:val="0"/>
                <w:szCs w:val="21"/>
              </w:rPr>
              <w:t>开设报纸专版</w:t>
            </w:r>
          </w:p>
        </w:tc>
        <w:tc>
          <w:tcPr>
            <w:tcW w:w="2532" w:type="dxa"/>
            <w:tcBorders>
              <w:top w:val="single" w:color="000000" w:sz="4" w:space="0"/>
              <w:left w:val="single" w:color="000000" w:sz="4" w:space="0"/>
              <w:bottom w:val="single" w:color="000000" w:sz="4" w:space="0"/>
              <w:right w:val="single" w:color="000000" w:sz="4" w:space="0"/>
            </w:tcBorders>
            <w:vAlign w:val="center"/>
          </w:tcPr>
          <w:p w14:paraId="79E3CE6D">
            <w:pPr>
              <w:tabs>
                <w:tab w:val="left" w:pos="900"/>
              </w:tabs>
              <w:rPr>
                <w:rFonts w:ascii="宋体" w:hAnsi="宋体"/>
                <w:color w:val="000000"/>
                <w:szCs w:val="21"/>
              </w:rPr>
            </w:pPr>
            <w:r>
              <w:rPr>
                <w:rFonts w:hint="eastAsia" w:ascii="宋体" w:hAnsi="宋体"/>
                <w:kern w:val="0"/>
                <w:szCs w:val="21"/>
              </w:rPr>
              <w:t>开设报纸专版，专版围绕禅城区委区政府的中心工作、重大决策、重要政策、镇街发展、民生发展、文化体育、社会文明等各项工作，可结合央媒、省媒关于禅城的报道，刊登有策划、有观点、有深度的高质量新闻专版。</w:t>
            </w:r>
          </w:p>
        </w:tc>
        <w:tc>
          <w:tcPr>
            <w:tcW w:w="4019" w:type="dxa"/>
            <w:tcBorders>
              <w:top w:val="single" w:color="000000" w:sz="4" w:space="0"/>
              <w:left w:val="single" w:color="000000" w:sz="4" w:space="0"/>
              <w:bottom w:val="single" w:color="000000" w:sz="4" w:space="0"/>
              <w:right w:val="single" w:color="000000" w:sz="4" w:space="0"/>
            </w:tcBorders>
            <w:vAlign w:val="center"/>
          </w:tcPr>
          <w:p w14:paraId="746E6BCD">
            <w:pPr>
              <w:tabs>
                <w:tab w:val="left" w:pos="900"/>
              </w:tabs>
              <w:rPr>
                <w:rFonts w:ascii="宋体" w:hAnsi="宋体"/>
                <w:color w:val="000000"/>
                <w:szCs w:val="21"/>
              </w:rPr>
            </w:pPr>
            <w:r>
              <w:rPr>
                <w:rFonts w:hint="eastAsia"/>
              </w:rPr>
              <w:t>供应商应具有自主或合作的报纸发布渠道，该报纸需为地市级以上主办主管并出版的主流媒体报道报纸，并有正规国内统一连续出版物号</w:t>
            </w:r>
            <w:r>
              <w:rPr>
                <w:rFonts w:hint="eastAsia" w:ascii="宋体" w:hAnsi="宋体"/>
                <w:kern w:val="0"/>
                <w:szCs w:val="21"/>
              </w:rPr>
              <w:t>。报纸全年出12期，每期4个版面，共48个版面。</w:t>
            </w:r>
          </w:p>
        </w:tc>
      </w:tr>
      <w:tr w14:paraId="491B263A">
        <w:tblPrEx>
          <w:tblCellMar>
            <w:top w:w="0" w:type="dxa"/>
            <w:left w:w="108" w:type="dxa"/>
            <w:bottom w:w="0" w:type="dxa"/>
            <w:right w:w="108" w:type="dxa"/>
          </w:tblCellMar>
        </w:tblPrEx>
        <w:trPr>
          <w:trHeight w:val="90"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6B468D5E">
            <w:pPr>
              <w:widowControl/>
              <w:jc w:val="center"/>
              <w:textAlignment w:val="center"/>
              <w:rPr>
                <w:rFonts w:ascii="宋体" w:hAnsi="宋体"/>
                <w:color w:val="000000"/>
                <w:kern w:val="0"/>
                <w:szCs w:val="21"/>
              </w:rPr>
            </w:pPr>
            <w:r>
              <w:rPr>
                <w:rFonts w:hint="eastAsia" w:ascii="宋体" w:hAnsi="宋体"/>
                <w:color w:val="000000"/>
                <w:kern w:val="0"/>
                <w:szCs w:val="21"/>
              </w:rPr>
              <w:t>3</w:t>
            </w:r>
          </w:p>
        </w:tc>
        <w:tc>
          <w:tcPr>
            <w:tcW w:w="1411" w:type="dxa"/>
            <w:tcBorders>
              <w:top w:val="single" w:color="000000" w:sz="4" w:space="0"/>
              <w:left w:val="single" w:color="000000" w:sz="4" w:space="0"/>
              <w:bottom w:val="single" w:color="000000" w:sz="4" w:space="0"/>
              <w:right w:val="single" w:color="000000" w:sz="4" w:space="0"/>
            </w:tcBorders>
            <w:vAlign w:val="center"/>
          </w:tcPr>
          <w:p w14:paraId="603E3680">
            <w:pPr>
              <w:tabs>
                <w:tab w:val="left" w:pos="900"/>
              </w:tabs>
              <w:rPr>
                <w:rFonts w:ascii="宋体" w:hAnsi="宋体"/>
                <w:color w:val="000000"/>
                <w:szCs w:val="21"/>
              </w:rPr>
            </w:pPr>
            <w:r>
              <w:rPr>
                <w:rFonts w:hint="eastAsia" w:ascii="宋体" w:hAnsi="宋体"/>
                <w:kern w:val="0"/>
                <w:szCs w:val="21"/>
              </w:rPr>
              <w:t>主题宣传策划</w:t>
            </w:r>
          </w:p>
        </w:tc>
        <w:tc>
          <w:tcPr>
            <w:tcW w:w="2532" w:type="dxa"/>
            <w:tcBorders>
              <w:top w:val="single" w:color="000000" w:sz="4" w:space="0"/>
              <w:left w:val="single" w:color="000000" w:sz="4" w:space="0"/>
              <w:bottom w:val="single" w:color="000000" w:sz="4" w:space="0"/>
              <w:right w:val="single" w:color="000000" w:sz="4" w:space="0"/>
            </w:tcBorders>
            <w:vAlign w:val="center"/>
          </w:tcPr>
          <w:p w14:paraId="3E94408C">
            <w:pPr>
              <w:tabs>
                <w:tab w:val="left" w:pos="900"/>
              </w:tabs>
              <w:rPr>
                <w:rFonts w:ascii="宋体" w:hAnsi="宋体"/>
                <w:color w:val="000000"/>
                <w:szCs w:val="21"/>
              </w:rPr>
            </w:pPr>
            <w:r>
              <w:rPr>
                <w:rFonts w:hint="eastAsia" w:ascii="宋体" w:hAnsi="宋体"/>
                <w:kern w:val="0"/>
                <w:szCs w:val="21"/>
              </w:rPr>
              <w:t>中标供应商组建专业新闻采编团队，推动人才、资源挺进互联网阵地，重点依托新媒体矩阵平台，以更具网感的内容和产品，扩大主流传播声浪，讲好禅城故事。</w:t>
            </w:r>
          </w:p>
        </w:tc>
        <w:tc>
          <w:tcPr>
            <w:tcW w:w="4019" w:type="dxa"/>
            <w:tcBorders>
              <w:top w:val="single" w:color="000000" w:sz="4" w:space="0"/>
              <w:left w:val="single" w:color="000000" w:sz="4" w:space="0"/>
              <w:bottom w:val="single" w:color="000000" w:sz="4" w:space="0"/>
              <w:right w:val="single" w:color="000000" w:sz="4" w:space="0"/>
            </w:tcBorders>
            <w:vAlign w:val="center"/>
          </w:tcPr>
          <w:p w14:paraId="70002F31">
            <w:pPr>
              <w:tabs>
                <w:tab w:val="left" w:pos="900"/>
              </w:tabs>
              <w:rPr>
                <w:rFonts w:ascii="宋体" w:hAnsi="宋体"/>
                <w:kern w:val="0"/>
                <w:szCs w:val="21"/>
              </w:rPr>
            </w:pPr>
            <w:r>
              <w:rPr>
                <w:rFonts w:hint="eastAsia" w:ascii="宋体" w:hAnsi="宋体"/>
                <w:kern w:val="0"/>
                <w:szCs w:val="21"/>
              </w:rPr>
              <w:t>1、设置禅城频道</w:t>
            </w:r>
            <w:r>
              <w:rPr>
                <w:rFonts w:hint="eastAsia" w:ascii="宋体" w:hAnsi="宋体"/>
                <w:kern w:val="0"/>
                <w:szCs w:val="21"/>
                <w:lang w:eastAsia="zh-CN"/>
              </w:rPr>
              <w:t>。</w:t>
            </w:r>
            <w:r>
              <w:rPr>
                <w:rFonts w:hint="eastAsia" w:ascii="宋体" w:hAnsi="宋体"/>
                <w:kern w:val="0"/>
                <w:szCs w:val="21"/>
              </w:rPr>
              <w:t>以采用新闻报道、深度报道等多种形式开展宣传服务，合作期内在自主移动端中建立“禅城”频道，并发布原创图文报道（含文字报道、图文消息、深度报道）累计不少于1300条。其中包括但不限于：</w:t>
            </w:r>
          </w:p>
          <w:p w14:paraId="2C38B28B">
            <w:pPr>
              <w:tabs>
                <w:tab w:val="left" w:pos="900"/>
              </w:tabs>
              <w:rPr>
                <w:rFonts w:ascii="宋体" w:hAnsi="宋体"/>
                <w:kern w:val="0"/>
                <w:szCs w:val="21"/>
              </w:rPr>
            </w:pPr>
            <w:r>
              <w:rPr>
                <w:rFonts w:hint="eastAsia" w:ascii="宋体" w:hAnsi="宋体"/>
                <w:kern w:val="0"/>
                <w:szCs w:val="21"/>
              </w:rPr>
              <w:t>（1）平均每月开展不少于</w:t>
            </w:r>
            <w:r>
              <w:rPr>
                <w:rFonts w:hint="eastAsia" w:ascii="宋体" w:hAnsi="宋体"/>
                <w:kern w:val="0"/>
                <w:szCs w:val="21"/>
                <w:lang w:val="en-US" w:eastAsia="zh-CN"/>
              </w:rPr>
              <w:t>2</w:t>
            </w:r>
            <w:r>
              <w:rPr>
                <w:rFonts w:hint="eastAsia" w:ascii="宋体" w:hAnsi="宋体"/>
                <w:kern w:val="0"/>
                <w:szCs w:val="21"/>
              </w:rPr>
              <w:t>次</w:t>
            </w:r>
            <w:r>
              <w:rPr>
                <w:rFonts w:hint="eastAsia" w:ascii="宋体" w:hAnsi="宋体"/>
                <w:kern w:val="0"/>
                <w:szCs w:val="21"/>
                <w:lang w:eastAsia="zh-CN"/>
              </w:rPr>
              <w:t>专题宣传</w:t>
            </w:r>
            <w:r>
              <w:rPr>
                <w:rFonts w:hint="eastAsia" w:ascii="宋体" w:hAnsi="宋体"/>
                <w:kern w:val="0"/>
                <w:szCs w:val="21"/>
              </w:rPr>
              <w:t>策划，全年累计不少于</w:t>
            </w:r>
            <w:r>
              <w:rPr>
                <w:rFonts w:hint="eastAsia" w:ascii="宋体" w:hAnsi="宋体"/>
                <w:kern w:val="0"/>
                <w:szCs w:val="21"/>
                <w:lang w:val="en-US" w:eastAsia="zh-CN"/>
              </w:rPr>
              <w:t>24</w:t>
            </w:r>
            <w:r>
              <w:rPr>
                <w:rFonts w:hint="eastAsia" w:ascii="宋体" w:hAnsi="宋体"/>
                <w:kern w:val="0"/>
                <w:szCs w:val="21"/>
              </w:rPr>
              <w:t>次。</w:t>
            </w:r>
            <w:r>
              <w:rPr>
                <w:rFonts w:hint="eastAsia" w:ascii="宋体" w:hAnsi="宋体"/>
                <w:kern w:val="0"/>
                <w:szCs w:val="21"/>
                <w:lang w:eastAsia="zh-CN"/>
              </w:rPr>
              <w:t>策划内容</w:t>
            </w:r>
            <w:r>
              <w:rPr>
                <w:rFonts w:hint="eastAsia" w:ascii="宋体" w:hAnsi="宋体"/>
                <w:kern w:val="0"/>
                <w:szCs w:val="21"/>
              </w:rPr>
              <w:t>围绕区委区政府中心工作、阶段性重点任务、各领域典型案例开展，确保导向正确、内容详实。</w:t>
            </w:r>
          </w:p>
          <w:p w14:paraId="1FA601E0">
            <w:pPr>
              <w:tabs>
                <w:tab w:val="left" w:pos="900"/>
              </w:tabs>
              <w:rPr>
                <w:rFonts w:ascii="宋体" w:hAnsi="宋体"/>
                <w:kern w:val="0"/>
                <w:szCs w:val="21"/>
              </w:rPr>
            </w:pPr>
            <w:r>
              <w:rPr>
                <w:rFonts w:hint="eastAsia" w:ascii="宋体" w:hAnsi="宋体"/>
                <w:kern w:val="0"/>
                <w:szCs w:val="21"/>
              </w:rPr>
              <w:t>（2）采购人拥有</w:t>
            </w:r>
            <w:r>
              <w:rPr>
                <w:rFonts w:hint="eastAsia" w:ascii="宋体" w:hAnsi="宋体"/>
                <w:kern w:val="0"/>
                <w:szCs w:val="21"/>
                <w:lang w:eastAsia="zh-CN"/>
              </w:rPr>
              <w:t>每月</w:t>
            </w:r>
            <w:r>
              <w:rPr>
                <w:rFonts w:hint="eastAsia" w:ascii="宋体" w:hAnsi="宋体"/>
                <w:kern w:val="0"/>
                <w:szCs w:val="21"/>
              </w:rPr>
              <w:t>宣传</w:t>
            </w:r>
            <w:r>
              <w:rPr>
                <w:rFonts w:hint="eastAsia" w:ascii="宋体" w:hAnsi="宋体"/>
                <w:kern w:val="0"/>
                <w:szCs w:val="21"/>
                <w:lang w:eastAsia="zh-CN"/>
              </w:rPr>
              <w:t>专</w:t>
            </w:r>
            <w:r>
              <w:rPr>
                <w:rFonts w:hint="eastAsia" w:ascii="宋体" w:hAnsi="宋体"/>
                <w:kern w:val="0"/>
                <w:szCs w:val="21"/>
              </w:rPr>
              <w:t>题最终决定权，供应商提供备选策划方案与主题建议。供应商须配合提前提交</w:t>
            </w:r>
            <w:r>
              <w:rPr>
                <w:rFonts w:hint="eastAsia" w:ascii="宋体" w:hAnsi="宋体"/>
                <w:kern w:val="0"/>
                <w:szCs w:val="21"/>
                <w:lang w:eastAsia="zh-CN"/>
              </w:rPr>
              <w:t>宣传</w:t>
            </w:r>
            <w:r>
              <w:rPr>
                <w:rFonts w:hint="eastAsia" w:ascii="宋体" w:hAnsi="宋体"/>
                <w:kern w:val="0"/>
                <w:szCs w:val="21"/>
              </w:rPr>
              <w:t>策划方案供采购人审定。</w:t>
            </w:r>
            <w:r>
              <w:rPr>
                <w:rFonts w:hint="eastAsia" w:ascii="宋体" w:hAnsi="宋体"/>
                <w:kern w:val="0"/>
                <w:szCs w:val="21"/>
              </w:rPr>
              <w:br w:type="textWrapping"/>
            </w:r>
            <w:r>
              <w:rPr>
                <w:rFonts w:hint="eastAsia" w:ascii="宋体" w:hAnsi="宋体"/>
                <w:kern w:val="0"/>
                <w:szCs w:val="21"/>
              </w:rPr>
              <w:t>2、短视频创作：针对禅城的</w:t>
            </w:r>
            <w:r>
              <w:rPr>
                <w:rFonts w:hint="eastAsia" w:ascii="宋体" w:hAnsi="宋体"/>
                <w:kern w:val="0"/>
                <w:szCs w:val="21"/>
                <w:lang w:eastAsia="zh-CN"/>
              </w:rPr>
              <w:t>政务类</w:t>
            </w:r>
            <w:r>
              <w:rPr>
                <w:rFonts w:hint="eastAsia" w:ascii="宋体" w:hAnsi="宋体"/>
                <w:kern w:val="0"/>
                <w:szCs w:val="21"/>
              </w:rPr>
              <w:t>、民生类、文旅类等新闻热点，全年发布原创视频不少于400条；上述</w:t>
            </w:r>
            <w:r>
              <w:rPr>
                <w:rFonts w:hint="eastAsia" w:ascii="宋体" w:hAnsi="宋体"/>
                <w:kern w:val="0"/>
                <w:szCs w:val="21"/>
                <w:lang w:eastAsia="zh-CN"/>
              </w:rPr>
              <w:t>视频</w:t>
            </w:r>
            <w:r>
              <w:rPr>
                <w:rFonts w:hint="eastAsia" w:ascii="宋体" w:hAnsi="宋体"/>
                <w:kern w:val="0"/>
                <w:szCs w:val="21"/>
              </w:rPr>
              <w:t>产出包</w:t>
            </w:r>
            <w:r>
              <w:rPr>
                <w:rFonts w:hint="eastAsia" w:ascii="宋体" w:hAnsi="宋体"/>
                <w:kern w:val="0"/>
                <w:szCs w:val="21"/>
                <w:lang w:val="en-US" w:eastAsia="zh-CN"/>
              </w:rPr>
              <w:t>含</w:t>
            </w:r>
            <w:r>
              <w:rPr>
                <w:rFonts w:hint="eastAsia" w:ascii="宋体" w:hAnsi="宋体"/>
                <w:kern w:val="0"/>
                <w:szCs w:val="21"/>
              </w:rPr>
              <w:t>“禅城发布”微信公众号、视频号发布的原创内容，但不包含二创内容。</w:t>
            </w:r>
          </w:p>
        </w:tc>
      </w:tr>
      <w:tr w14:paraId="72A7F423">
        <w:tblPrEx>
          <w:tblCellMar>
            <w:top w:w="0" w:type="dxa"/>
            <w:left w:w="108" w:type="dxa"/>
            <w:bottom w:w="0" w:type="dxa"/>
            <w:right w:w="108" w:type="dxa"/>
          </w:tblCellMar>
        </w:tblPrEx>
        <w:trPr>
          <w:trHeight w:val="951"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3ACF37D8">
            <w:pPr>
              <w:widowControl/>
              <w:jc w:val="center"/>
              <w:textAlignment w:val="center"/>
              <w:rPr>
                <w:rFonts w:ascii="宋体" w:hAnsi="宋体"/>
                <w:color w:val="000000"/>
                <w:szCs w:val="21"/>
              </w:rPr>
            </w:pPr>
            <w:r>
              <w:rPr>
                <w:rFonts w:hint="eastAsia" w:ascii="宋体" w:hAnsi="宋体"/>
                <w:color w:val="000000"/>
                <w:kern w:val="0"/>
                <w:szCs w:val="21"/>
              </w:rPr>
              <w:t>4</w:t>
            </w:r>
          </w:p>
        </w:tc>
        <w:tc>
          <w:tcPr>
            <w:tcW w:w="1411" w:type="dxa"/>
            <w:tcBorders>
              <w:top w:val="single" w:color="000000" w:sz="4" w:space="0"/>
              <w:left w:val="single" w:color="000000" w:sz="4" w:space="0"/>
              <w:bottom w:val="single" w:color="000000" w:sz="4" w:space="0"/>
              <w:right w:val="single" w:color="000000" w:sz="4" w:space="0"/>
            </w:tcBorders>
            <w:vAlign w:val="center"/>
          </w:tcPr>
          <w:p w14:paraId="146BA22A">
            <w:pPr>
              <w:tabs>
                <w:tab w:val="left" w:pos="900"/>
              </w:tabs>
              <w:rPr>
                <w:rFonts w:ascii="宋体" w:hAnsi="宋体"/>
                <w:color w:val="000000"/>
                <w:szCs w:val="21"/>
              </w:rPr>
            </w:pPr>
            <w:r>
              <w:rPr>
                <w:rFonts w:hint="eastAsia" w:ascii="宋体" w:hAnsi="宋体"/>
                <w:kern w:val="0"/>
                <w:szCs w:val="21"/>
              </w:rPr>
              <w:t>运维“禅城发布”微信公众号和视频号</w:t>
            </w:r>
          </w:p>
        </w:tc>
        <w:tc>
          <w:tcPr>
            <w:tcW w:w="2532" w:type="dxa"/>
            <w:tcBorders>
              <w:top w:val="single" w:color="000000" w:sz="4" w:space="0"/>
              <w:left w:val="single" w:color="000000" w:sz="4" w:space="0"/>
              <w:bottom w:val="single" w:color="000000" w:sz="4" w:space="0"/>
              <w:right w:val="single" w:color="000000" w:sz="4" w:space="0"/>
            </w:tcBorders>
            <w:vAlign w:val="center"/>
          </w:tcPr>
          <w:p w14:paraId="14C7A657">
            <w:pPr>
              <w:tabs>
                <w:tab w:val="left" w:pos="900"/>
              </w:tabs>
              <w:rPr>
                <w:rFonts w:ascii="宋体" w:hAnsi="宋体"/>
                <w:color w:val="000000"/>
                <w:szCs w:val="21"/>
              </w:rPr>
            </w:pPr>
            <w:r>
              <w:rPr>
                <w:rFonts w:hint="eastAsia" w:ascii="宋体" w:hAnsi="宋体"/>
                <w:kern w:val="0"/>
                <w:szCs w:val="21"/>
              </w:rPr>
              <w:t>负责“禅城发布”微信公众号和视频号的运维。</w:t>
            </w:r>
          </w:p>
        </w:tc>
        <w:tc>
          <w:tcPr>
            <w:tcW w:w="4019" w:type="dxa"/>
            <w:tcBorders>
              <w:top w:val="single" w:color="000000" w:sz="4" w:space="0"/>
              <w:left w:val="single" w:color="000000" w:sz="4" w:space="0"/>
              <w:bottom w:val="single" w:color="000000" w:sz="4" w:space="0"/>
              <w:right w:val="single" w:color="000000" w:sz="4" w:space="0"/>
            </w:tcBorders>
            <w:vAlign w:val="center"/>
          </w:tcPr>
          <w:p w14:paraId="69C56A2F">
            <w:pPr>
              <w:numPr>
                <w:ilvl w:val="0"/>
                <w:numId w:val="3"/>
              </w:numPr>
              <w:tabs>
                <w:tab w:val="left" w:pos="900"/>
              </w:tabs>
              <w:rPr>
                <w:rFonts w:ascii="宋体" w:hAnsi="宋体"/>
                <w:kern w:val="0"/>
                <w:szCs w:val="21"/>
              </w:rPr>
            </w:pPr>
            <w:r>
              <w:rPr>
                <w:rFonts w:hint="eastAsia" w:ascii="宋体" w:hAnsi="宋体"/>
                <w:kern w:val="0"/>
                <w:szCs w:val="21"/>
              </w:rPr>
              <w:t>负责“禅城发布”微信公众号和视频号的阵地建设管理。组建“禅城发布”专责运维团队，固定专人对接，开展官方微信公众号、微信视频号评论区日常运维服务。制定具体工作方案，对评论区开展常态化巡查，及时发布</w:t>
            </w:r>
            <w:r>
              <w:rPr>
                <w:rFonts w:hint="eastAsia" w:ascii="宋体" w:hAnsi="宋体"/>
                <w:kern w:val="0"/>
                <w:szCs w:val="21"/>
                <w:lang w:val="en-US" w:eastAsia="zh-CN"/>
              </w:rPr>
              <w:t>评论</w:t>
            </w:r>
            <w:r>
              <w:rPr>
                <w:rFonts w:hint="eastAsia" w:ascii="宋体" w:hAnsi="宋体"/>
                <w:kern w:val="0"/>
                <w:szCs w:val="21"/>
              </w:rPr>
              <w:t>留言。对敏感不当言论，及时采取删除或不予精选等操作；对把握不准的内容及时上报采购人，按指令处理。对咨询诉求类评论，依据采购人提供的官方口径规范回复，无回应口径的汇总采购人审定后回复，不得擅自答复政策类、承诺类内容。</w:t>
            </w:r>
          </w:p>
          <w:p w14:paraId="05DEEC94">
            <w:pPr>
              <w:numPr>
                <w:ilvl w:val="0"/>
                <w:numId w:val="3"/>
              </w:numPr>
              <w:tabs>
                <w:tab w:val="left" w:pos="900"/>
              </w:tabs>
              <w:rPr>
                <w:rFonts w:ascii="宋体" w:hAnsi="宋体"/>
                <w:kern w:val="0"/>
                <w:szCs w:val="21"/>
              </w:rPr>
            </w:pPr>
            <w:r>
              <w:rPr>
                <w:rFonts w:hint="eastAsia" w:ascii="宋体" w:hAnsi="宋体"/>
                <w:kern w:val="0"/>
                <w:szCs w:val="21"/>
              </w:rPr>
              <w:t>负责“禅城发布”微信公众号内容的策划、采写、编辑、排版、发布全流程服务，确保内容导向正确、发布及时、排版规范；配合重大主题、重要节点设置专题专栏，做好内容聚合与传播；定期提供公众号运营数据与传播分析。日常推文的编辑、推送，每天至少发布1期推送。</w:t>
            </w:r>
          </w:p>
          <w:p w14:paraId="69BA5B0C">
            <w:pPr>
              <w:numPr>
                <w:ilvl w:val="0"/>
                <w:numId w:val="3"/>
              </w:numPr>
              <w:tabs>
                <w:tab w:val="left" w:pos="900"/>
              </w:tabs>
              <w:rPr>
                <w:rFonts w:ascii="宋体" w:hAnsi="宋体"/>
                <w:color w:val="000000"/>
                <w:kern w:val="0"/>
                <w:szCs w:val="21"/>
              </w:rPr>
            </w:pPr>
            <w:r>
              <w:rPr>
                <w:rFonts w:hint="eastAsia" w:ascii="宋体" w:hAnsi="宋体"/>
                <w:kern w:val="0"/>
                <w:szCs w:val="21"/>
              </w:rPr>
              <w:t>负责“禅城发布”微信视频号内容的策划、拍摄、剪辑、发布全流程服务，适配短视频传播规律，优化内容呈现形式；配合重大主题打造适配视频号传播的内容产品，扩大传播覆盖面；定期提供视频号运营数据与传播分析。全年发布原创视频不少于110条，二创短视频不少于260条，单条浏览量10万+的视频不少于6条；全年禅城发布微信公众号和视频号阅读总量合计不少于</w:t>
            </w:r>
            <w:r>
              <w:rPr>
                <w:rFonts w:hint="eastAsia" w:ascii="宋体" w:hAnsi="宋体"/>
                <w:kern w:val="0"/>
                <w:szCs w:val="21"/>
                <w:lang w:val="en-US" w:eastAsia="zh-CN"/>
              </w:rPr>
              <w:t>2</w:t>
            </w:r>
            <w:r>
              <w:rPr>
                <w:rFonts w:hint="eastAsia" w:ascii="宋体" w:hAnsi="宋体"/>
                <w:kern w:val="0"/>
                <w:szCs w:val="21"/>
              </w:rPr>
              <w:t>000万。</w:t>
            </w:r>
          </w:p>
        </w:tc>
      </w:tr>
      <w:tr w14:paraId="6BCC2994">
        <w:tblPrEx>
          <w:tblCellMar>
            <w:top w:w="0" w:type="dxa"/>
            <w:left w:w="108" w:type="dxa"/>
            <w:bottom w:w="0" w:type="dxa"/>
            <w:right w:w="108" w:type="dxa"/>
          </w:tblCellMar>
        </w:tblPrEx>
        <w:trPr>
          <w:trHeight w:val="1030" w:hRule="atLeast"/>
        </w:trPr>
        <w:tc>
          <w:tcPr>
            <w:tcW w:w="557" w:type="dxa"/>
            <w:tcBorders>
              <w:top w:val="single" w:color="000000" w:sz="4" w:space="0"/>
              <w:left w:val="single" w:color="000000" w:sz="4" w:space="0"/>
              <w:bottom w:val="single" w:color="000000" w:sz="4" w:space="0"/>
              <w:right w:val="single" w:color="000000" w:sz="4" w:space="0"/>
            </w:tcBorders>
            <w:vAlign w:val="center"/>
          </w:tcPr>
          <w:p w14:paraId="1D6F1A87">
            <w:pPr>
              <w:widowControl/>
              <w:jc w:val="center"/>
              <w:textAlignment w:val="center"/>
              <w:rPr>
                <w:rFonts w:hint="eastAsia" w:ascii="宋体" w:hAnsi="宋体" w:eastAsia="宋体"/>
                <w:color w:val="000000"/>
                <w:szCs w:val="21"/>
                <w:lang w:val="en-US" w:eastAsia="zh-CN"/>
              </w:rPr>
            </w:pPr>
            <w:r>
              <w:rPr>
                <w:rFonts w:hint="eastAsia" w:ascii="宋体" w:hAnsi="宋体"/>
                <w:color w:val="000000"/>
                <w:szCs w:val="21"/>
                <w:lang w:val="en-US" w:eastAsia="zh-CN"/>
              </w:rPr>
              <w:t>5</w:t>
            </w:r>
          </w:p>
        </w:tc>
        <w:tc>
          <w:tcPr>
            <w:tcW w:w="1411" w:type="dxa"/>
            <w:tcBorders>
              <w:top w:val="single" w:color="000000" w:sz="4" w:space="0"/>
              <w:left w:val="single" w:color="000000" w:sz="4" w:space="0"/>
              <w:bottom w:val="single" w:color="000000" w:sz="4" w:space="0"/>
              <w:right w:val="single" w:color="000000" w:sz="4" w:space="0"/>
            </w:tcBorders>
            <w:vAlign w:val="center"/>
          </w:tcPr>
          <w:p w14:paraId="1EFBE024">
            <w:pPr>
              <w:widowControl/>
              <w:textAlignment w:val="center"/>
              <w:rPr>
                <w:rFonts w:ascii="宋体" w:hAnsi="宋体"/>
                <w:color w:val="000000"/>
                <w:szCs w:val="21"/>
              </w:rPr>
            </w:pPr>
            <w:r>
              <w:rPr>
                <w:rFonts w:hint="eastAsia" w:ascii="宋体" w:hAnsi="宋体"/>
                <w:color w:val="000000"/>
                <w:kern w:val="0"/>
                <w:szCs w:val="21"/>
              </w:rPr>
              <w:t>其他合作事项</w:t>
            </w:r>
          </w:p>
        </w:tc>
        <w:tc>
          <w:tcPr>
            <w:tcW w:w="6551" w:type="dxa"/>
            <w:gridSpan w:val="2"/>
            <w:tcBorders>
              <w:top w:val="single" w:color="000000" w:sz="4" w:space="0"/>
              <w:left w:val="single" w:color="000000" w:sz="4" w:space="0"/>
              <w:bottom w:val="single" w:color="000000" w:sz="4" w:space="0"/>
              <w:right w:val="single" w:color="000000" w:sz="4" w:space="0"/>
            </w:tcBorders>
            <w:vAlign w:val="center"/>
          </w:tcPr>
          <w:p w14:paraId="7047616A">
            <w:pPr>
              <w:tabs>
                <w:tab w:val="left" w:pos="900"/>
              </w:tabs>
              <w:rPr>
                <w:rFonts w:hint="eastAsia" w:ascii="宋体" w:hAnsi="宋体"/>
                <w:kern w:val="0"/>
                <w:szCs w:val="21"/>
              </w:rPr>
            </w:pPr>
            <w:r>
              <w:rPr>
                <w:rFonts w:hint="eastAsia" w:ascii="宋体" w:hAnsi="宋体"/>
                <w:kern w:val="0"/>
                <w:szCs w:val="21"/>
              </w:rPr>
              <w:t>1、对于发生在禅城区域内的重大突发公共</w:t>
            </w:r>
            <w:r>
              <w:rPr>
                <w:rFonts w:hint="eastAsia" w:ascii="宋体" w:hAnsi="宋体"/>
                <w:kern w:val="0"/>
                <w:szCs w:val="21"/>
                <w:lang w:eastAsia="zh-CN"/>
              </w:rPr>
              <w:t>事件</w:t>
            </w:r>
            <w:r>
              <w:rPr>
                <w:rFonts w:hint="eastAsia" w:ascii="宋体" w:hAnsi="宋体"/>
                <w:kern w:val="0"/>
                <w:szCs w:val="21"/>
              </w:rPr>
              <w:t>，配合采购人做好宣传引导。</w:t>
            </w:r>
            <w:r>
              <w:rPr>
                <w:rFonts w:hint="eastAsia" w:ascii="宋体" w:hAnsi="宋体"/>
                <w:kern w:val="0"/>
                <w:szCs w:val="21"/>
              </w:rPr>
              <w:br w:type="textWrapping"/>
            </w:r>
            <w:r>
              <w:rPr>
                <w:rFonts w:hint="eastAsia" w:ascii="宋体" w:hAnsi="宋体"/>
                <w:kern w:val="0"/>
                <w:szCs w:val="21"/>
              </w:rPr>
              <w:t>2</w:t>
            </w:r>
            <w:r>
              <w:rPr>
                <w:rFonts w:hint="eastAsia" w:ascii="宋体" w:hAnsi="宋体"/>
                <w:kern w:val="0"/>
                <w:szCs w:val="21"/>
                <w:lang w:eastAsia="zh-CN"/>
              </w:rPr>
              <w:t>、</w:t>
            </w:r>
            <w:r>
              <w:rPr>
                <w:rFonts w:hint="eastAsia" w:ascii="宋体" w:hAnsi="宋体"/>
                <w:kern w:val="0"/>
                <w:szCs w:val="21"/>
              </w:rPr>
              <w:t>安排不少于</w:t>
            </w:r>
            <w:r>
              <w:rPr>
                <w:rFonts w:hint="eastAsia" w:ascii="宋体" w:hAnsi="宋体"/>
                <w:kern w:val="0"/>
                <w:szCs w:val="21"/>
                <w:lang w:val="en-US" w:eastAsia="zh-CN"/>
              </w:rPr>
              <w:t>20</w:t>
            </w:r>
            <w:r>
              <w:rPr>
                <w:rFonts w:hint="eastAsia" w:ascii="宋体" w:hAnsi="宋体"/>
                <w:kern w:val="0"/>
                <w:szCs w:val="21"/>
              </w:rPr>
              <w:t>人的新闻采编团队跟进</w:t>
            </w:r>
            <w:r>
              <w:rPr>
                <w:rFonts w:hint="eastAsia" w:ascii="宋体" w:hAnsi="宋体"/>
                <w:kern w:val="0"/>
                <w:szCs w:val="21"/>
                <w:lang w:eastAsia="zh-CN"/>
              </w:rPr>
              <w:t>禅城</w:t>
            </w:r>
            <w:r>
              <w:rPr>
                <w:rFonts w:hint="eastAsia" w:ascii="宋体" w:hAnsi="宋体"/>
                <w:kern w:val="0"/>
                <w:szCs w:val="21"/>
              </w:rPr>
              <w:t>宣传工作，服务保障区委区政府中心工作宣传任务。</w:t>
            </w:r>
          </w:p>
          <w:p w14:paraId="6718D99B">
            <w:pPr>
              <w:tabs>
                <w:tab w:val="left" w:pos="900"/>
              </w:tabs>
              <w:rPr>
                <w:rFonts w:ascii="宋体" w:hAnsi="宋体"/>
                <w:color w:val="000000"/>
                <w:kern w:val="0"/>
                <w:szCs w:val="21"/>
              </w:rPr>
            </w:pPr>
            <w:r>
              <w:rPr>
                <w:rFonts w:hint="eastAsia" w:ascii="宋体" w:hAnsi="宋体"/>
                <w:kern w:val="0"/>
                <w:szCs w:val="21"/>
                <w:lang w:val="en-US" w:eastAsia="zh-CN"/>
              </w:rPr>
              <w:t>3</w:t>
            </w:r>
            <w:r>
              <w:rPr>
                <w:rFonts w:hint="eastAsia" w:ascii="宋体" w:hAnsi="宋体"/>
                <w:kern w:val="0"/>
                <w:szCs w:val="21"/>
              </w:rPr>
              <w:t>、中标供应商须提供7×24小时全天候宣传响应服务。建立节假日、周末及夜间值班制度，确保通讯渠道畅通。在接到采购人任务指令后，原则上必须在30分钟内有效响应，2小时内</w:t>
            </w:r>
            <w:r>
              <w:rPr>
                <w:rFonts w:hint="eastAsia" w:ascii="宋体" w:hAnsi="宋体"/>
                <w:kern w:val="0"/>
                <w:szCs w:val="21"/>
                <w:lang w:eastAsia="zh-CN"/>
              </w:rPr>
              <w:t>给出落实意见</w:t>
            </w:r>
            <w:r>
              <w:rPr>
                <w:rFonts w:hint="eastAsia" w:ascii="宋体" w:hAnsi="宋体"/>
                <w:kern w:val="0"/>
                <w:szCs w:val="21"/>
              </w:rPr>
              <w:t>。</w:t>
            </w:r>
            <w:r>
              <w:rPr>
                <w:rFonts w:hint="eastAsia" w:ascii="宋体" w:hAnsi="宋体"/>
                <w:kern w:val="0"/>
                <w:szCs w:val="21"/>
              </w:rPr>
              <w:br w:type="textWrapping"/>
            </w:r>
            <w:r>
              <w:rPr>
                <w:rFonts w:hint="eastAsia" w:ascii="宋体" w:hAnsi="宋体"/>
                <w:kern w:val="0"/>
                <w:szCs w:val="21"/>
                <w:lang w:val="en-US" w:eastAsia="zh-CN"/>
              </w:rPr>
              <w:t>4</w:t>
            </w:r>
            <w:r>
              <w:rPr>
                <w:rFonts w:hint="eastAsia" w:ascii="宋体" w:hAnsi="宋体"/>
                <w:kern w:val="0"/>
                <w:szCs w:val="21"/>
              </w:rPr>
              <w:t>、对于发生在禅城区域内的重要新闻事件，如上级要求必须在电视端播出报道的，需配合区委宣传部做好播出安排。</w:t>
            </w:r>
            <w:r>
              <w:rPr>
                <w:rFonts w:hint="eastAsia" w:ascii="宋体" w:hAnsi="宋体"/>
                <w:kern w:val="0"/>
                <w:szCs w:val="21"/>
              </w:rPr>
              <w:br w:type="textWrapping"/>
            </w:r>
            <w:r>
              <w:rPr>
                <w:rFonts w:hint="eastAsia" w:ascii="宋体" w:hAnsi="宋体"/>
                <w:kern w:val="0"/>
                <w:szCs w:val="21"/>
                <w:lang w:val="en-US" w:eastAsia="zh-CN"/>
              </w:rPr>
              <w:t>5</w:t>
            </w:r>
            <w:r>
              <w:rPr>
                <w:rFonts w:hint="eastAsia" w:ascii="宋体" w:hAnsi="宋体"/>
                <w:kern w:val="0"/>
                <w:szCs w:val="21"/>
              </w:rPr>
              <w:t>、完成采购人交代的其他日常宣传任务。</w:t>
            </w:r>
          </w:p>
        </w:tc>
      </w:tr>
    </w:tbl>
    <w:p w14:paraId="776FF68F">
      <w:pPr>
        <w:pStyle w:val="9"/>
        <w:jc w:val="left"/>
        <w:outlineLvl w:val="1"/>
        <w:rPr>
          <w:rFonts w:hint="eastAsia" w:ascii="宋体" w:hAnsi="宋体"/>
          <w:kern w:val="2"/>
          <w:sz w:val="21"/>
          <w:szCs w:val="21"/>
        </w:rPr>
      </w:pPr>
    </w:p>
    <w:p w14:paraId="23EFDCBB">
      <w:pPr>
        <w:numPr>
          <w:ilvl w:val="0"/>
          <w:numId w:val="1"/>
        </w:numPr>
        <w:spacing w:line="360" w:lineRule="auto"/>
        <w:ind w:left="0" w:leftChars="0" w:firstLine="0" w:firstLineChars="0"/>
        <w:rPr>
          <w:rFonts w:hint="eastAsia" w:ascii="宋体" w:hAnsi="宋体"/>
          <w:szCs w:val="21"/>
        </w:rPr>
      </w:pPr>
      <w:r>
        <w:rPr>
          <w:rFonts w:hint="eastAsia" w:ascii="宋体" w:hAnsi="宋体"/>
          <w:szCs w:val="21"/>
        </w:rPr>
        <w:t>项目考核</w:t>
      </w:r>
    </w:p>
    <w:p w14:paraId="45E2473B">
      <w:pPr>
        <w:ind w:firstLine="420"/>
        <w:jc w:val="left"/>
        <w:rPr>
          <w:rFonts w:hint="eastAsia" w:ascii="宋体" w:hAnsi="宋体"/>
          <w:szCs w:val="21"/>
          <w:lang w:eastAsia="zh-CN"/>
        </w:rPr>
      </w:pPr>
      <w:r>
        <w:rPr>
          <w:rFonts w:hint="eastAsia" w:ascii="宋体" w:hAnsi="宋体"/>
          <w:szCs w:val="21"/>
        </w:rPr>
        <w:t>合同服务期内</w:t>
      </w:r>
      <w:r>
        <w:rPr>
          <w:rFonts w:hint="eastAsia" w:ascii="宋体" w:hAnsi="宋体"/>
          <w:szCs w:val="21"/>
          <w:lang w:val="en-US" w:eastAsia="zh-CN"/>
        </w:rPr>
        <w:t>中标供应商按合同约定的支付进度向采购人提交项目执行情况报告，如按进度要求完成相应合同执行内容，则进度款按期支付。项目尾款以</w:t>
      </w:r>
      <w:r>
        <w:rPr>
          <w:rFonts w:hint="eastAsia" w:ascii="宋体" w:hAnsi="宋体"/>
          <w:szCs w:val="21"/>
        </w:rPr>
        <w:t>《中共佛山市禅城区委宣传部2026年新闻宣传服务项目服务评价表》考核</w:t>
      </w:r>
      <w:r>
        <w:rPr>
          <w:rStyle w:val="8"/>
          <w:rFonts w:hint="eastAsia" w:ascii="宋体" w:hAnsi="宋体"/>
          <w:lang w:eastAsia="zh-CN"/>
        </w:rPr>
        <w:t>形式对合同期内执行情况进行整体考核，</w:t>
      </w:r>
      <w:r>
        <w:rPr>
          <w:rFonts w:hint="eastAsia" w:ascii="宋体" w:hAnsi="宋体"/>
          <w:szCs w:val="21"/>
        </w:rPr>
        <w:t>并根据考核结果支付尾款</w:t>
      </w:r>
      <w:r>
        <w:rPr>
          <w:rFonts w:hint="eastAsia" w:ascii="宋体" w:hAnsi="宋体"/>
          <w:szCs w:val="21"/>
          <w:lang w:eastAsia="zh-CN"/>
        </w:rPr>
        <w:t>。</w:t>
      </w:r>
    </w:p>
    <w:p w14:paraId="57D630AD">
      <w:pPr>
        <w:ind w:firstLine="420"/>
        <w:jc w:val="left"/>
        <w:rPr>
          <w:rFonts w:ascii="宋体" w:hAnsi="宋体"/>
          <w:szCs w:val="21"/>
        </w:rPr>
      </w:pPr>
      <w:r>
        <w:rPr>
          <w:rFonts w:hint="eastAsia" w:ascii="宋体" w:hAnsi="宋体"/>
          <w:szCs w:val="21"/>
        </w:rPr>
        <w:t>采购人根据中标供应商</w:t>
      </w:r>
      <w:r>
        <w:rPr>
          <w:rFonts w:hint="eastAsia" w:ascii="宋体" w:hAnsi="宋体"/>
          <w:szCs w:val="21"/>
          <w:lang w:eastAsia="zh-CN"/>
        </w:rPr>
        <w:t>服务期内整体表现情况对</w:t>
      </w:r>
      <w:r>
        <w:rPr>
          <w:rFonts w:hint="eastAsia" w:ascii="宋体" w:hAnsi="宋体"/>
          <w:szCs w:val="21"/>
        </w:rPr>
        <w:t>评价表中各项指标进行评分。考核评定分数达到90分或以上的为合格；89分或以下为不合格。评定分数90分以上（含90分）的，项目尾款按100%支付；考核评定分为80-89分的（含80分）的，项目尾款按90%支付；考核评定分为60-79分的（含60分），项目尾款按50%支付；考核评定分低于60的，不支付项目尾款款项。</w:t>
      </w:r>
    </w:p>
    <w:p w14:paraId="5DDD498C">
      <w:pPr>
        <w:ind w:firstLine="420"/>
        <w:jc w:val="left"/>
        <w:rPr>
          <w:rFonts w:ascii="宋体" w:hAnsi="宋体"/>
          <w:szCs w:val="21"/>
        </w:rPr>
      </w:pPr>
      <w:r>
        <w:rPr>
          <w:rFonts w:hint="eastAsia" w:ascii="宋体" w:hAnsi="宋体"/>
          <w:szCs w:val="21"/>
        </w:rPr>
        <w:t>附件：《中共佛山市禅城区委宣传部2026年新闻宣传服务项目服务评价表》</w:t>
      </w:r>
    </w:p>
    <w:p w14:paraId="67B62973">
      <w:pPr>
        <w:ind w:firstLine="420"/>
        <w:jc w:val="left"/>
        <w:rPr>
          <w:rFonts w:ascii="宋体" w:hAnsi="宋体"/>
          <w:szCs w:val="21"/>
        </w:rPr>
      </w:pPr>
    </w:p>
    <w:p w14:paraId="1551FF41">
      <w:pPr>
        <w:rPr>
          <w:rFonts w:hint="eastAsia" w:ascii="宋体" w:hAnsi="宋体"/>
          <w:b/>
          <w:szCs w:val="21"/>
        </w:rPr>
      </w:pPr>
      <w:r>
        <w:rPr>
          <w:rFonts w:hint="eastAsia" w:ascii="宋体" w:hAnsi="宋体"/>
          <w:b/>
          <w:szCs w:val="21"/>
        </w:rPr>
        <w:t>中共佛山市禅城区委宣传部2026年新闻宣传服务项目服务评价表</w:t>
      </w: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8"/>
        <w:gridCol w:w="3411"/>
        <w:gridCol w:w="1191"/>
      </w:tblGrid>
      <w:tr w14:paraId="3D30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22B83A67">
            <w:pPr>
              <w:jc w:val="center"/>
              <w:rPr>
                <w:rFonts w:ascii="宋体" w:hAnsi="宋体"/>
                <w:b/>
                <w:szCs w:val="21"/>
              </w:rPr>
            </w:pPr>
            <w:r>
              <w:rPr>
                <w:rFonts w:hint="eastAsia" w:ascii="宋体" w:hAnsi="宋体"/>
                <w:szCs w:val="21"/>
              </w:rPr>
              <w:t>内容</w:t>
            </w:r>
          </w:p>
        </w:tc>
        <w:tc>
          <w:tcPr>
            <w:tcW w:w="3411" w:type="dxa"/>
          </w:tcPr>
          <w:p w14:paraId="2FD5CF43">
            <w:pPr>
              <w:jc w:val="center"/>
              <w:rPr>
                <w:rFonts w:ascii="宋体" w:hAnsi="宋体"/>
                <w:b/>
                <w:szCs w:val="21"/>
              </w:rPr>
            </w:pPr>
            <w:r>
              <w:rPr>
                <w:rFonts w:hint="eastAsia" w:ascii="宋体" w:hAnsi="宋体"/>
                <w:szCs w:val="21"/>
              </w:rPr>
              <w:t>评分</w:t>
            </w:r>
          </w:p>
        </w:tc>
        <w:tc>
          <w:tcPr>
            <w:tcW w:w="1191" w:type="dxa"/>
          </w:tcPr>
          <w:p w14:paraId="748A0F31">
            <w:pPr>
              <w:jc w:val="center"/>
              <w:rPr>
                <w:rFonts w:ascii="宋体" w:hAnsi="宋体"/>
                <w:b/>
                <w:szCs w:val="21"/>
              </w:rPr>
            </w:pPr>
            <w:r>
              <w:rPr>
                <w:rFonts w:hint="eastAsia" w:ascii="宋体" w:hAnsi="宋体"/>
                <w:bCs/>
                <w:szCs w:val="21"/>
              </w:rPr>
              <w:t>得分</w:t>
            </w:r>
          </w:p>
        </w:tc>
      </w:tr>
      <w:tr w14:paraId="7E27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5E131CAE">
            <w:pPr>
              <w:rPr>
                <w:rFonts w:ascii="宋体" w:hAnsi="宋体"/>
                <w:szCs w:val="21"/>
              </w:rPr>
            </w:pPr>
            <w:r>
              <w:rPr>
                <w:rFonts w:hint="eastAsia" w:ascii="宋体" w:hAnsi="宋体"/>
                <w:szCs w:val="21"/>
              </w:rPr>
              <w:t>1.服务期间中标供应商合同完成情况</w:t>
            </w:r>
          </w:p>
        </w:tc>
        <w:tc>
          <w:tcPr>
            <w:tcW w:w="3411" w:type="dxa"/>
            <w:vAlign w:val="center"/>
          </w:tcPr>
          <w:p w14:paraId="5980A004">
            <w:pPr>
              <w:jc w:val="center"/>
              <w:rPr>
                <w:rFonts w:ascii="宋体" w:hAnsi="宋体"/>
                <w:szCs w:val="21"/>
              </w:rPr>
            </w:pPr>
            <w:r>
              <w:rPr>
                <w:rFonts w:hint="eastAsia" w:ascii="宋体" w:hAnsi="宋体"/>
                <w:szCs w:val="21"/>
              </w:rPr>
              <w:t>如约完成（100分）</w:t>
            </w:r>
          </w:p>
          <w:p w14:paraId="7B2B4E61">
            <w:pPr>
              <w:jc w:val="center"/>
              <w:rPr>
                <w:rFonts w:ascii="宋体" w:hAnsi="宋体"/>
                <w:szCs w:val="21"/>
              </w:rPr>
            </w:pPr>
            <w:r>
              <w:rPr>
                <w:rFonts w:hint="eastAsia" w:ascii="宋体" w:hAnsi="宋体"/>
                <w:szCs w:val="21"/>
              </w:rPr>
              <w:t>1次合约内容没有完成扣</w:t>
            </w:r>
            <w:r>
              <w:rPr>
                <w:rFonts w:hint="eastAsia" w:ascii="宋体" w:hAnsi="宋体"/>
                <w:szCs w:val="21"/>
                <w:lang w:val="en-US" w:eastAsia="zh-CN"/>
              </w:rPr>
              <w:t>0.5</w:t>
            </w:r>
            <w:r>
              <w:rPr>
                <w:rFonts w:hint="eastAsia" w:ascii="宋体" w:hAnsi="宋体"/>
                <w:szCs w:val="21"/>
              </w:rPr>
              <w:t>分</w:t>
            </w:r>
          </w:p>
        </w:tc>
        <w:tc>
          <w:tcPr>
            <w:tcW w:w="1191" w:type="dxa"/>
          </w:tcPr>
          <w:p w14:paraId="3F0DD793">
            <w:pPr>
              <w:jc w:val="center"/>
              <w:rPr>
                <w:rFonts w:ascii="宋体" w:hAnsi="宋体"/>
                <w:b/>
                <w:szCs w:val="21"/>
              </w:rPr>
            </w:pPr>
          </w:p>
        </w:tc>
      </w:tr>
      <w:tr w14:paraId="0B55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6B657DFF">
            <w:pPr>
              <w:rPr>
                <w:rFonts w:ascii="宋体" w:hAnsi="宋体"/>
                <w:szCs w:val="21"/>
              </w:rPr>
            </w:pPr>
            <w:r>
              <w:rPr>
                <w:rFonts w:hint="eastAsia" w:ascii="宋体" w:hAnsi="宋体"/>
                <w:szCs w:val="21"/>
              </w:rPr>
              <w:t>2.服务期间由中标供应商单方责任导致内容审核不严，对外报道内容有误</w:t>
            </w:r>
          </w:p>
        </w:tc>
        <w:tc>
          <w:tcPr>
            <w:tcW w:w="3411" w:type="dxa"/>
            <w:vAlign w:val="center"/>
          </w:tcPr>
          <w:p w14:paraId="772C880F">
            <w:pPr>
              <w:jc w:val="center"/>
              <w:rPr>
                <w:rFonts w:ascii="宋体" w:hAnsi="宋体"/>
                <w:b/>
                <w:szCs w:val="21"/>
              </w:rPr>
            </w:pPr>
            <w:r>
              <w:rPr>
                <w:rFonts w:hint="eastAsia" w:ascii="宋体" w:hAnsi="宋体"/>
                <w:szCs w:val="21"/>
              </w:rPr>
              <w:t>出现1次扣</w:t>
            </w:r>
            <w:r>
              <w:rPr>
                <w:rFonts w:hint="eastAsia" w:ascii="宋体" w:hAnsi="宋体"/>
                <w:szCs w:val="21"/>
                <w:lang w:val="en-US" w:eastAsia="zh-CN"/>
              </w:rPr>
              <w:t>0.5</w:t>
            </w:r>
            <w:r>
              <w:rPr>
                <w:rFonts w:hint="eastAsia" w:ascii="宋体" w:hAnsi="宋体"/>
                <w:szCs w:val="21"/>
              </w:rPr>
              <w:t>分</w:t>
            </w:r>
          </w:p>
        </w:tc>
        <w:tc>
          <w:tcPr>
            <w:tcW w:w="1191" w:type="dxa"/>
          </w:tcPr>
          <w:p w14:paraId="78A790E6">
            <w:pPr>
              <w:jc w:val="center"/>
              <w:rPr>
                <w:rFonts w:ascii="宋体" w:hAnsi="宋体"/>
                <w:b/>
                <w:szCs w:val="21"/>
              </w:rPr>
            </w:pPr>
          </w:p>
        </w:tc>
      </w:tr>
      <w:tr w14:paraId="4B3D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54C0AFF7">
            <w:pPr>
              <w:rPr>
                <w:rFonts w:ascii="宋体" w:hAnsi="宋体"/>
                <w:szCs w:val="21"/>
              </w:rPr>
            </w:pPr>
            <w:r>
              <w:rPr>
                <w:rFonts w:hint="eastAsia" w:ascii="宋体" w:hAnsi="宋体"/>
                <w:szCs w:val="21"/>
              </w:rPr>
              <w:t>3.服务期间中标供应商未妥善管理评论区阵地，评论区</w:t>
            </w:r>
            <w:r>
              <w:rPr>
                <w:rFonts w:hint="eastAsia" w:ascii="宋体" w:hAnsi="宋体"/>
                <w:kern w:val="0"/>
                <w:szCs w:val="21"/>
              </w:rPr>
              <w:t>出现负面不实、违规敏感信息未在规定时效内处置或上报</w:t>
            </w:r>
          </w:p>
        </w:tc>
        <w:tc>
          <w:tcPr>
            <w:tcW w:w="3411" w:type="dxa"/>
            <w:vAlign w:val="center"/>
          </w:tcPr>
          <w:p w14:paraId="16CC4B06">
            <w:pPr>
              <w:jc w:val="center"/>
              <w:rPr>
                <w:rFonts w:ascii="宋体" w:hAnsi="宋体"/>
                <w:szCs w:val="21"/>
              </w:rPr>
            </w:pPr>
            <w:r>
              <w:rPr>
                <w:rFonts w:hint="eastAsia" w:ascii="宋体" w:hAnsi="宋体"/>
                <w:szCs w:val="21"/>
              </w:rPr>
              <w:t>出现1次扣</w:t>
            </w:r>
            <w:r>
              <w:rPr>
                <w:rFonts w:hint="eastAsia" w:ascii="宋体" w:hAnsi="宋体"/>
                <w:szCs w:val="21"/>
                <w:lang w:val="en-US" w:eastAsia="zh-CN"/>
              </w:rPr>
              <w:t>0.5</w:t>
            </w:r>
            <w:r>
              <w:rPr>
                <w:rFonts w:hint="eastAsia" w:ascii="宋体" w:hAnsi="宋体"/>
                <w:szCs w:val="21"/>
              </w:rPr>
              <w:t>分</w:t>
            </w:r>
          </w:p>
        </w:tc>
        <w:tc>
          <w:tcPr>
            <w:tcW w:w="1191" w:type="dxa"/>
          </w:tcPr>
          <w:p w14:paraId="63DCAC7F">
            <w:pPr>
              <w:jc w:val="center"/>
              <w:rPr>
                <w:rFonts w:ascii="宋体" w:hAnsi="宋体"/>
                <w:b/>
                <w:szCs w:val="21"/>
              </w:rPr>
            </w:pPr>
          </w:p>
        </w:tc>
      </w:tr>
      <w:tr w14:paraId="5DF0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55E4DF40">
            <w:pPr>
              <w:rPr>
                <w:rFonts w:ascii="宋体" w:hAnsi="宋体"/>
                <w:szCs w:val="21"/>
              </w:rPr>
            </w:pPr>
            <w:r>
              <w:rPr>
                <w:rFonts w:hint="eastAsia" w:ascii="宋体" w:hAnsi="宋体"/>
                <w:szCs w:val="21"/>
              </w:rPr>
              <w:t>4.服务期间中标供应商在评论区</w:t>
            </w:r>
            <w:r>
              <w:rPr>
                <w:rFonts w:hint="eastAsia" w:ascii="宋体" w:hAnsi="宋体"/>
                <w:kern w:val="0"/>
                <w:szCs w:val="21"/>
              </w:rPr>
              <w:t>擅自回复政策类、承诺类咨询造成不良影响</w:t>
            </w:r>
          </w:p>
        </w:tc>
        <w:tc>
          <w:tcPr>
            <w:tcW w:w="3411" w:type="dxa"/>
            <w:vAlign w:val="center"/>
          </w:tcPr>
          <w:p w14:paraId="2EE27625">
            <w:pPr>
              <w:jc w:val="center"/>
              <w:rPr>
                <w:rFonts w:ascii="宋体" w:hAnsi="宋体"/>
                <w:szCs w:val="21"/>
              </w:rPr>
            </w:pPr>
            <w:r>
              <w:rPr>
                <w:rFonts w:hint="eastAsia" w:ascii="宋体" w:hAnsi="宋体"/>
                <w:szCs w:val="21"/>
              </w:rPr>
              <w:t>出现1次扣</w:t>
            </w:r>
            <w:r>
              <w:rPr>
                <w:rFonts w:hint="eastAsia" w:ascii="宋体" w:hAnsi="宋体"/>
                <w:szCs w:val="21"/>
                <w:lang w:val="en-US" w:eastAsia="zh-CN"/>
              </w:rPr>
              <w:t>0.5</w:t>
            </w:r>
            <w:r>
              <w:rPr>
                <w:rFonts w:hint="eastAsia" w:ascii="宋体" w:hAnsi="宋体"/>
                <w:szCs w:val="21"/>
              </w:rPr>
              <w:t>分</w:t>
            </w:r>
          </w:p>
        </w:tc>
        <w:tc>
          <w:tcPr>
            <w:tcW w:w="1191" w:type="dxa"/>
          </w:tcPr>
          <w:p w14:paraId="188A83A1">
            <w:pPr>
              <w:jc w:val="center"/>
              <w:rPr>
                <w:rFonts w:ascii="宋体" w:hAnsi="宋体"/>
                <w:b/>
                <w:szCs w:val="21"/>
              </w:rPr>
            </w:pPr>
          </w:p>
        </w:tc>
      </w:tr>
      <w:tr w14:paraId="183F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10E6FA14">
            <w:pPr>
              <w:rPr>
                <w:rFonts w:hint="default" w:ascii="宋体" w:hAnsi="宋体"/>
                <w:szCs w:val="21"/>
                <w:lang w:val="en-US"/>
              </w:rPr>
            </w:pPr>
            <w:r>
              <w:rPr>
                <w:rFonts w:hint="eastAsia" w:ascii="宋体" w:hAnsi="宋体"/>
                <w:szCs w:val="21"/>
              </w:rPr>
              <w:t>5.服务期间中标</w:t>
            </w:r>
            <w:r>
              <w:rPr>
                <w:rFonts w:hint="eastAsia" w:ascii="宋体" w:hAnsi="宋体"/>
                <w:szCs w:val="21"/>
                <w:lang w:eastAsia="zh-CN"/>
              </w:rPr>
              <w:t>供应商</w:t>
            </w:r>
            <w:r>
              <w:rPr>
                <w:rFonts w:hint="eastAsia" w:ascii="宋体" w:hAnsi="宋体"/>
                <w:kern w:val="0"/>
                <w:szCs w:val="21"/>
              </w:rPr>
              <w:t>在接到采购人任务指令后，</w:t>
            </w:r>
            <w:r>
              <w:rPr>
                <w:rFonts w:hint="eastAsia" w:ascii="宋体" w:hAnsi="宋体"/>
                <w:szCs w:val="21"/>
                <w:lang w:eastAsia="zh-CN"/>
              </w:rPr>
              <w:t>超出</w:t>
            </w:r>
            <w:r>
              <w:rPr>
                <w:rFonts w:hint="eastAsia" w:ascii="宋体" w:hAnsi="宋体"/>
                <w:szCs w:val="21"/>
                <w:lang w:val="en-US" w:eastAsia="zh-CN"/>
              </w:rPr>
              <w:t>30分钟未有效响应，</w:t>
            </w:r>
            <w:r>
              <w:rPr>
                <w:rFonts w:hint="eastAsia" w:ascii="宋体" w:hAnsi="宋体"/>
                <w:kern w:val="0"/>
                <w:szCs w:val="21"/>
              </w:rPr>
              <w:t>2小时内</w:t>
            </w:r>
            <w:r>
              <w:rPr>
                <w:rFonts w:hint="eastAsia" w:ascii="宋体" w:hAnsi="宋体"/>
                <w:kern w:val="0"/>
                <w:szCs w:val="21"/>
                <w:lang w:eastAsia="zh-CN"/>
              </w:rPr>
              <w:t>未给落实意见</w:t>
            </w:r>
          </w:p>
        </w:tc>
        <w:tc>
          <w:tcPr>
            <w:tcW w:w="3411" w:type="dxa"/>
            <w:vAlign w:val="center"/>
          </w:tcPr>
          <w:p w14:paraId="70DE0D3F">
            <w:pPr>
              <w:jc w:val="center"/>
              <w:rPr>
                <w:rFonts w:ascii="宋体" w:hAnsi="宋体"/>
                <w:szCs w:val="21"/>
              </w:rPr>
            </w:pPr>
            <w:r>
              <w:rPr>
                <w:rFonts w:hint="eastAsia" w:ascii="宋体" w:hAnsi="宋体"/>
                <w:szCs w:val="21"/>
              </w:rPr>
              <w:t>出现1次扣</w:t>
            </w:r>
            <w:r>
              <w:rPr>
                <w:rFonts w:hint="eastAsia" w:ascii="宋体" w:hAnsi="宋体"/>
                <w:szCs w:val="21"/>
                <w:lang w:val="en-US" w:eastAsia="zh-CN"/>
              </w:rPr>
              <w:t>0.5</w:t>
            </w:r>
            <w:r>
              <w:rPr>
                <w:rFonts w:hint="eastAsia" w:ascii="宋体" w:hAnsi="宋体"/>
                <w:szCs w:val="21"/>
              </w:rPr>
              <w:t>分</w:t>
            </w:r>
          </w:p>
        </w:tc>
        <w:tc>
          <w:tcPr>
            <w:tcW w:w="1191" w:type="dxa"/>
          </w:tcPr>
          <w:p w14:paraId="37D8273E">
            <w:pPr>
              <w:jc w:val="center"/>
              <w:rPr>
                <w:rFonts w:ascii="宋体" w:hAnsi="宋体"/>
                <w:b/>
                <w:szCs w:val="21"/>
              </w:rPr>
            </w:pPr>
          </w:p>
        </w:tc>
      </w:tr>
      <w:tr w14:paraId="39B5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18" w:type="dxa"/>
          </w:tcPr>
          <w:p w14:paraId="3FAA4181">
            <w:pPr>
              <w:rPr>
                <w:rFonts w:ascii="宋体" w:hAnsi="宋体"/>
                <w:szCs w:val="21"/>
              </w:rPr>
            </w:pPr>
            <w:r>
              <w:rPr>
                <w:rFonts w:hint="eastAsia" w:ascii="宋体" w:hAnsi="宋体"/>
                <w:szCs w:val="21"/>
              </w:rPr>
              <w:t>6.服务期间由于中标供应商单方面责任引发重大舆情、造成严重社会影响</w:t>
            </w:r>
          </w:p>
        </w:tc>
        <w:tc>
          <w:tcPr>
            <w:tcW w:w="3411" w:type="dxa"/>
            <w:vAlign w:val="center"/>
          </w:tcPr>
          <w:p w14:paraId="5A29A900">
            <w:pPr>
              <w:jc w:val="center"/>
              <w:rPr>
                <w:rFonts w:ascii="宋体" w:hAnsi="宋体"/>
                <w:szCs w:val="21"/>
              </w:rPr>
            </w:pPr>
            <w:r>
              <w:rPr>
                <w:rFonts w:hint="eastAsia" w:ascii="宋体" w:hAnsi="宋体"/>
                <w:szCs w:val="21"/>
              </w:rPr>
              <w:t>出现1次扣8分</w:t>
            </w:r>
          </w:p>
        </w:tc>
        <w:tc>
          <w:tcPr>
            <w:tcW w:w="1191" w:type="dxa"/>
          </w:tcPr>
          <w:p w14:paraId="53719B10">
            <w:pPr>
              <w:jc w:val="center"/>
              <w:rPr>
                <w:rFonts w:ascii="宋体" w:hAnsi="宋体"/>
                <w:b/>
                <w:szCs w:val="21"/>
              </w:rPr>
            </w:pPr>
          </w:p>
        </w:tc>
      </w:tr>
      <w:tr w14:paraId="66CC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9" w:type="dxa"/>
            <w:gridSpan w:val="2"/>
          </w:tcPr>
          <w:p w14:paraId="34F779A1">
            <w:pPr>
              <w:jc w:val="center"/>
              <w:rPr>
                <w:rFonts w:ascii="宋体" w:hAnsi="宋体"/>
                <w:b/>
                <w:szCs w:val="21"/>
              </w:rPr>
            </w:pPr>
            <w:r>
              <w:rPr>
                <w:rFonts w:hint="eastAsia" w:ascii="宋体" w:hAnsi="宋体"/>
                <w:szCs w:val="21"/>
              </w:rPr>
              <w:t>服务评价得分（满分 = 100分）</w:t>
            </w:r>
          </w:p>
        </w:tc>
        <w:tc>
          <w:tcPr>
            <w:tcW w:w="1191" w:type="dxa"/>
          </w:tcPr>
          <w:p w14:paraId="2E3B1A03">
            <w:pPr>
              <w:jc w:val="center"/>
              <w:rPr>
                <w:rFonts w:ascii="宋体" w:hAnsi="宋体"/>
                <w:b/>
                <w:szCs w:val="21"/>
              </w:rPr>
            </w:pPr>
          </w:p>
        </w:tc>
      </w:tr>
      <w:tr w14:paraId="6A787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9" w:type="dxa"/>
            <w:gridSpan w:val="2"/>
          </w:tcPr>
          <w:p w14:paraId="29B59294">
            <w:pPr>
              <w:rPr>
                <w:rFonts w:ascii="宋体" w:hAnsi="宋体"/>
                <w:szCs w:val="21"/>
              </w:rPr>
            </w:pPr>
            <w:r>
              <w:rPr>
                <w:rFonts w:hint="eastAsia" w:ascii="宋体" w:hAnsi="宋体"/>
                <w:szCs w:val="21"/>
              </w:rPr>
              <w:t>备注：评价表所涉评分扣减内容，采购人日常</w:t>
            </w:r>
            <w:r>
              <w:rPr>
                <w:rFonts w:hint="eastAsia" w:ascii="宋体" w:hAnsi="宋体"/>
                <w:szCs w:val="21"/>
                <w:lang w:eastAsia="zh-CN"/>
              </w:rPr>
              <w:t>与</w:t>
            </w:r>
            <w:r>
              <w:rPr>
                <w:rFonts w:hint="eastAsia" w:ascii="宋体" w:hAnsi="宋体"/>
                <w:szCs w:val="21"/>
              </w:rPr>
              <w:t>中标供应商以微信形式的聊天记录等均</w:t>
            </w:r>
            <w:r>
              <w:rPr>
                <w:rFonts w:hint="eastAsia" w:ascii="宋体" w:hAnsi="宋体"/>
                <w:szCs w:val="21"/>
                <w:lang w:eastAsia="zh-CN"/>
              </w:rPr>
              <w:t>可作为评价</w:t>
            </w:r>
            <w:r>
              <w:rPr>
                <w:rFonts w:hint="eastAsia" w:ascii="宋体" w:hAnsi="宋体"/>
                <w:szCs w:val="21"/>
              </w:rPr>
              <w:t>依据。</w:t>
            </w:r>
          </w:p>
        </w:tc>
        <w:tc>
          <w:tcPr>
            <w:tcW w:w="1191" w:type="dxa"/>
          </w:tcPr>
          <w:p w14:paraId="3E995344">
            <w:pPr>
              <w:jc w:val="center"/>
              <w:rPr>
                <w:rFonts w:ascii="宋体" w:hAnsi="宋体"/>
                <w:b/>
                <w:szCs w:val="21"/>
              </w:rPr>
            </w:pPr>
          </w:p>
        </w:tc>
      </w:tr>
      <w:tr w14:paraId="14A1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29" w:type="dxa"/>
            <w:gridSpan w:val="2"/>
          </w:tcPr>
          <w:p w14:paraId="5DF12876">
            <w:pPr>
              <w:rPr>
                <w:rFonts w:ascii="宋体" w:hAnsi="宋体"/>
                <w:szCs w:val="21"/>
              </w:rPr>
            </w:pPr>
            <w:r>
              <w:rPr>
                <w:rFonts w:hint="eastAsia" w:ascii="宋体" w:hAnsi="宋体"/>
                <w:szCs w:val="21"/>
              </w:rPr>
              <w:t>意见或建议：</w:t>
            </w:r>
          </w:p>
          <w:p w14:paraId="1D99BD88">
            <w:pPr>
              <w:rPr>
                <w:rFonts w:ascii="宋体" w:hAnsi="宋体"/>
                <w:szCs w:val="21"/>
              </w:rPr>
            </w:pPr>
          </w:p>
          <w:p w14:paraId="24FD681B">
            <w:pPr>
              <w:rPr>
                <w:rFonts w:ascii="宋体" w:hAnsi="宋体"/>
                <w:szCs w:val="21"/>
              </w:rPr>
            </w:pPr>
          </w:p>
          <w:p w14:paraId="10E47847">
            <w:pPr>
              <w:jc w:val="center"/>
              <w:rPr>
                <w:rFonts w:ascii="宋体" w:hAnsi="宋体"/>
                <w:b/>
                <w:szCs w:val="21"/>
              </w:rPr>
            </w:pPr>
            <w:r>
              <w:rPr>
                <w:rFonts w:hint="eastAsia" w:ascii="宋体" w:hAnsi="宋体"/>
                <w:szCs w:val="21"/>
              </w:rPr>
              <w:t xml:space="preserve">                          评价人：</w:t>
            </w:r>
          </w:p>
        </w:tc>
        <w:tc>
          <w:tcPr>
            <w:tcW w:w="1191" w:type="dxa"/>
          </w:tcPr>
          <w:p w14:paraId="0076E805">
            <w:pPr>
              <w:jc w:val="center"/>
              <w:rPr>
                <w:rFonts w:ascii="宋体" w:hAnsi="宋体"/>
                <w:b/>
                <w:szCs w:val="21"/>
              </w:rPr>
            </w:pPr>
          </w:p>
        </w:tc>
      </w:tr>
    </w:tbl>
    <w:p w14:paraId="2852B66C">
      <w:pPr>
        <w:numPr>
          <w:ilvl w:val="0"/>
          <w:numId w:val="1"/>
        </w:numPr>
        <w:spacing w:line="360" w:lineRule="auto"/>
        <w:ind w:left="0" w:leftChars="0" w:firstLine="0" w:firstLineChars="0"/>
        <w:rPr>
          <w:rFonts w:hint="eastAsia" w:ascii="宋体" w:hAnsi="宋体"/>
          <w:szCs w:val="21"/>
        </w:rPr>
      </w:pPr>
      <w:r>
        <w:rPr>
          <w:rFonts w:hint="eastAsia" w:ascii="宋体" w:hAnsi="宋体"/>
          <w:szCs w:val="21"/>
        </w:rPr>
        <w:t>双方权利与义务</w:t>
      </w:r>
    </w:p>
    <w:p w14:paraId="56B0484E">
      <w:pPr>
        <w:numPr>
          <w:ilvl w:val="0"/>
          <w:numId w:val="4"/>
        </w:numPr>
        <w:tabs>
          <w:tab w:val="left" w:pos="900"/>
        </w:tabs>
        <w:spacing w:line="360" w:lineRule="auto"/>
        <w:ind w:left="0" w:leftChars="0" w:firstLine="420" w:firstLineChars="200"/>
        <w:jc w:val="left"/>
        <w:rPr>
          <w:rFonts w:ascii="宋体" w:hAnsi="宋体"/>
          <w:kern w:val="0"/>
          <w:szCs w:val="21"/>
        </w:rPr>
      </w:pPr>
      <w:r>
        <w:rPr>
          <w:rFonts w:hint="eastAsia" w:ascii="宋体" w:hAnsi="宋体"/>
          <w:kern w:val="0"/>
          <w:szCs w:val="21"/>
        </w:rPr>
        <w:t>采购人的权利和义务：</w:t>
      </w:r>
    </w:p>
    <w:p w14:paraId="334AACB1">
      <w:pPr>
        <w:numPr>
          <w:ilvl w:val="0"/>
          <w:numId w:val="5"/>
        </w:numPr>
        <w:tabs>
          <w:tab w:val="left" w:pos="900"/>
        </w:tabs>
        <w:spacing w:line="360" w:lineRule="auto"/>
        <w:ind w:left="425" w:leftChars="0" w:hanging="425" w:firstLineChars="0"/>
        <w:rPr>
          <w:rFonts w:ascii="宋体" w:hAnsi="宋体"/>
          <w:kern w:val="0"/>
          <w:szCs w:val="21"/>
        </w:rPr>
      </w:pPr>
      <w:r>
        <w:rPr>
          <w:rFonts w:hint="eastAsia" w:ascii="宋体" w:hAnsi="宋体"/>
          <w:kern w:val="0"/>
          <w:szCs w:val="21"/>
        </w:rPr>
        <w:t>采购人应积极与中标供应商进行积极沟通，共同推进项目执行落地。</w:t>
      </w:r>
    </w:p>
    <w:p w14:paraId="66DE5EA7">
      <w:pPr>
        <w:numPr>
          <w:ilvl w:val="0"/>
          <w:numId w:val="5"/>
        </w:numPr>
        <w:tabs>
          <w:tab w:val="left" w:pos="900"/>
        </w:tabs>
        <w:spacing w:line="360" w:lineRule="auto"/>
        <w:ind w:left="425" w:leftChars="0" w:hanging="425" w:firstLineChars="0"/>
        <w:rPr>
          <w:rFonts w:ascii="宋体" w:hAnsi="宋体"/>
          <w:kern w:val="0"/>
          <w:szCs w:val="21"/>
        </w:rPr>
      </w:pPr>
      <w:r>
        <w:rPr>
          <w:rFonts w:hint="eastAsia" w:ascii="宋体" w:hAnsi="宋体"/>
          <w:kern w:val="0"/>
          <w:szCs w:val="21"/>
        </w:rPr>
        <w:t>服务期内，采购人有权按本项目的考核内容和执行指标，对中标供应商进行不定期抽查检查，若对不合格的管理服务提出警告后，仍未得到有效解决时，采购人有权终止合同。</w:t>
      </w:r>
    </w:p>
    <w:p w14:paraId="12AB74AD">
      <w:pPr>
        <w:numPr>
          <w:ilvl w:val="0"/>
          <w:numId w:val="4"/>
        </w:numPr>
        <w:tabs>
          <w:tab w:val="left" w:pos="900"/>
        </w:tabs>
        <w:spacing w:line="360" w:lineRule="auto"/>
        <w:ind w:left="0" w:leftChars="0" w:firstLine="420" w:firstLineChars="200"/>
        <w:jc w:val="left"/>
        <w:rPr>
          <w:rFonts w:ascii="宋体" w:hAnsi="宋体"/>
          <w:kern w:val="0"/>
          <w:szCs w:val="21"/>
        </w:rPr>
      </w:pPr>
      <w:r>
        <w:rPr>
          <w:rFonts w:hint="eastAsia" w:ascii="宋体" w:hAnsi="宋体"/>
          <w:kern w:val="0"/>
          <w:szCs w:val="21"/>
        </w:rPr>
        <w:t>中标供应商的权利和义务：</w:t>
      </w:r>
    </w:p>
    <w:p w14:paraId="17C4EA9B">
      <w:pPr>
        <w:numPr>
          <w:ilvl w:val="0"/>
          <w:numId w:val="6"/>
        </w:numPr>
        <w:tabs>
          <w:tab w:val="left" w:pos="900"/>
        </w:tabs>
        <w:spacing w:line="360" w:lineRule="auto"/>
        <w:ind w:left="425" w:leftChars="0" w:hanging="425" w:firstLineChars="0"/>
        <w:rPr>
          <w:rFonts w:ascii="宋体" w:hAnsi="宋体"/>
          <w:kern w:val="0"/>
          <w:szCs w:val="21"/>
        </w:rPr>
      </w:pPr>
      <w:r>
        <w:rPr>
          <w:rFonts w:hint="eastAsia" w:ascii="宋体" w:hAnsi="宋体"/>
          <w:kern w:val="0"/>
          <w:szCs w:val="21"/>
        </w:rPr>
        <w:t>中标供应商根据本合同合作条款按时按量履行合同约定服务内容，应严格按照本协议约定及时在双方约定的推广渠道上发布推广内容。</w:t>
      </w:r>
    </w:p>
    <w:p w14:paraId="4AC7B8EB">
      <w:pPr>
        <w:numPr>
          <w:ilvl w:val="0"/>
          <w:numId w:val="6"/>
        </w:numPr>
        <w:tabs>
          <w:tab w:val="left" w:pos="900"/>
        </w:tabs>
        <w:spacing w:line="360" w:lineRule="auto"/>
        <w:ind w:left="425" w:leftChars="0" w:hanging="425" w:firstLineChars="0"/>
        <w:rPr>
          <w:rFonts w:ascii="宋体" w:hAnsi="宋体"/>
          <w:kern w:val="0"/>
          <w:szCs w:val="21"/>
        </w:rPr>
      </w:pPr>
      <w:r>
        <w:rPr>
          <w:rFonts w:hint="eastAsia" w:ascii="宋体" w:hAnsi="宋体"/>
          <w:kern w:val="0"/>
          <w:szCs w:val="21"/>
        </w:rPr>
        <w:t>推广内容如由中标供应商根据采购人提供的素材进行创作，中标供应商应保证采购人的信息露出，并满足采购人提出的合理修改要求。中标供应商保证其所提供的项目成果不侵犯第三方的合法权利，并保证采购人能按协议的约定享有及或使用服务、项目成果。</w:t>
      </w:r>
    </w:p>
    <w:p w14:paraId="3748578E">
      <w:pPr>
        <w:numPr>
          <w:ilvl w:val="0"/>
          <w:numId w:val="6"/>
        </w:numPr>
        <w:tabs>
          <w:tab w:val="left" w:pos="900"/>
        </w:tabs>
        <w:spacing w:line="360" w:lineRule="auto"/>
        <w:ind w:left="425" w:leftChars="0" w:hanging="425" w:firstLineChars="0"/>
        <w:rPr>
          <w:rFonts w:ascii="宋体" w:hAnsi="宋体"/>
          <w:kern w:val="0"/>
          <w:szCs w:val="21"/>
        </w:rPr>
      </w:pPr>
      <w:r>
        <w:rPr>
          <w:rFonts w:hint="eastAsia" w:ascii="宋体" w:hAnsi="宋体"/>
          <w:kern w:val="0"/>
          <w:szCs w:val="21"/>
        </w:rPr>
        <w:t>中标供应商在本协议完成的服务成果的知识产权属于采购人所有。</w:t>
      </w:r>
    </w:p>
    <w:p w14:paraId="637CD33C">
      <w:pPr>
        <w:numPr>
          <w:ilvl w:val="0"/>
          <w:numId w:val="6"/>
        </w:numPr>
        <w:spacing w:line="360" w:lineRule="auto"/>
        <w:ind w:left="425" w:leftChars="0" w:hanging="425" w:firstLineChars="0"/>
        <w:rPr>
          <w:rFonts w:hint="eastAsia" w:ascii="宋体" w:hAnsi="宋体"/>
          <w:b/>
          <w:szCs w:val="21"/>
        </w:rPr>
      </w:pPr>
      <w:bookmarkStart w:id="1" w:name="OLE_LINK1"/>
      <w:r>
        <w:rPr>
          <w:rFonts w:hint="eastAsia" w:ascii="宋体" w:hAnsi="宋体"/>
          <w:kern w:val="0"/>
          <w:szCs w:val="21"/>
        </w:rPr>
        <w:t>中标供应商</w:t>
      </w:r>
      <w:bookmarkEnd w:id="1"/>
      <w:r>
        <w:rPr>
          <w:rFonts w:hint="eastAsia" w:ascii="宋体" w:hAnsi="宋体"/>
          <w:kern w:val="0"/>
          <w:szCs w:val="21"/>
        </w:rPr>
        <w:t>应在合作全部执行完毕后十五个工作日向采购人提供完整的验收报告（验收报告内容包括但不限于推广内容渠道的整体情况报告和细项执行链接清单、截图等文件）给采购人，采购人</w:t>
      </w:r>
      <w:r>
        <w:rPr>
          <w:rFonts w:hint="eastAsia" w:ascii="宋体" w:hAnsi="宋体"/>
          <w:kern w:val="0"/>
          <w:szCs w:val="21"/>
          <w:lang w:val="en-US" w:eastAsia="zh-CN"/>
        </w:rPr>
        <w:t>在</w:t>
      </w:r>
      <w:r>
        <w:rPr>
          <w:rFonts w:hint="eastAsia" w:ascii="宋体" w:hAnsi="宋体"/>
          <w:kern w:val="0"/>
          <w:szCs w:val="21"/>
        </w:rPr>
        <w:t>收到中标供应商</w:t>
      </w:r>
      <w:r>
        <w:rPr>
          <w:rFonts w:hint="eastAsia" w:ascii="宋体" w:hAnsi="宋体"/>
          <w:kern w:val="0"/>
          <w:szCs w:val="21"/>
          <w:lang w:val="en-US" w:eastAsia="zh-CN"/>
        </w:rPr>
        <w:t>提供的</w:t>
      </w:r>
      <w:r>
        <w:rPr>
          <w:rFonts w:hint="eastAsia" w:ascii="宋体" w:hAnsi="宋体"/>
          <w:kern w:val="0"/>
          <w:szCs w:val="21"/>
        </w:rPr>
        <w:t>验收报告之日起</w:t>
      </w:r>
      <w:r>
        <w:rPr>
          <w:rFonts w:hint="eastAsia"/>
          <w:lang w:val="en-US" w:eastAsia="zh-CN"/>
        </w:rPr>
        <w:t>七</w:t>
      </w:r>
      <w:r>
        <w:rPr>
          <w:rFonts w:hint="eastAsia" w:ascii="宋体" w:hAnsi="宋体"/>
          <w:kern w:val="0"/>
          <w:szCs w:val="21"/>
        </w:rPr>
        <w:t>个工作日内按照合同约定对履约情况进行验收。</w:t>
      </w:r>
    </w:p>
    <w:p w14:paraId="71B06998">
      <w:pPr>
        <w:numPr>
          <w:ilvl w:val="0"/>
          <w:numId w:val="1"/>
        </w:numPr>
        <w:spacing w:line="360" w:lineRule="auto"/>
        <w:ind w:left="0" w:leftChars="0" w:firstLine="0" w:firstLineChars="0"/>
        <w:rPr>
          <w:rFonts w:hint="eastAsia" w:ascii="宋体" w:hAnsi="宋体"/>
          <w:szCs w:val="21"/>
        </w:rPr>
      </w:pPr>
      <w:r>
        <w:rPr>
          <w:rFonts w:hint="eastAsia" w:ascii="宋体" w:hAnsi="宋体"/>
          <w:szCs w:val="21"/>
        </w:rPr>
        <w:t>违约责任</w:t>
      </w:r>
    </w:p>
    <w:p w14:paraId="7820BC35">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自协议签订之日起，除采购人书面同意外，中标供应商不得单方解除协议，否则中标供应商应向采购人支付协议总费用10%的违约金。</w:t>
      </w:r>
    </w:p>
    <w:p w14:paraId="4FB64A62">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中标供应商违反保密约定的，应向采购人支付合同总额20%的违约金；违约金不足以弥补采购人损失的，还应就差额部分继续赔偿。保密责任不因合同的终止或解除而失效。</w:t>
      </w:r>
    </w:p>
    <w:p w14:paraId="0CF0F4CE">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未经采购人书面同意，中标供应商不得将本项目全部或部分服务转包或分包给第三方。违反本条约定的，采购人有权解除合同，中标供应商应返还采购人已支付的全部费用，并支付合同总额10%的违约金。</w:t>
      </w:r>
    </w:p>
    <w:p w14:paraId="2517353F">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守约方为追究违约方的责任所支付的相关费用（包括但不限于诉讼费、财产保全费、律师费、交通费等）由违约方承担。</w:t>
      </w:r>
    </w:p>
    <w:p w14:paraId="2D2C002A">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中标供应商不履行合同义务或者履行合同义务不符合约定的，应当承担继续履行、采取补救措施或者赔偿损失等违约责任。给采购人造成损失的，应当赔偿采购人的全部损失（包括但不限于直接损失、预期利益损失及采购人为维权所支付的诉讼费、律师费、保全费等合理费用）。</w:t>
      </w:r>
    </w:p>
    <w:p w14:paraId="69FA4F54">
      <w:pPr>
        <w:numPr>
          <w:ilvl w:val="0"/>
          <w:numId w:val="7"/>
        </w:numPr>
        <w:spacing w:line="360" w:lineRule="auto"/>
        <w:ind w:left="0" w:leftChars="0" w:firstLine="420" w:firstLineChars="200"/>
        <w:rPr>
          <w:rFonts w:hint="eastAsia" w:ascii="宋体" w:hAnsi="宋体"/>
          <w:b w:val="0"/>
          <w:bCs/>
          <w:szCs w:val="21"/>
        </w:rPr>
      </w:pPr>
      <w:r>
        <w:rPr>
          <w:rFonts w:hint="eastAsia" w:ascii="宋体" w:hAnsi="宋体"/>
          <w:b w:val="0"/>
          <w:bCs/>
          <w:szCs w:val="21"/>
        </w:rPr>
        <w:t>在履行本协议过程中如发生争议，由双方友好协商解决。如果双方不能通过友好协商解决争议，则任何一方均可向采购人所在地的人民法院提起诉讼。</w:t>
      </w:r>
    </w:p>
    <w:p w14:paraId="363B82F4">
      <w:pPr>
        <w:numPr>
          <w:ilvl w:val="0"/>
          <w:numId w:val="1"/>
        </w:numPr>
        <w:spacing w:line="360" w:lineRule="auto"/>
        <w:ind w:left="0" w:leftChars="0" w:firstLine="0" w:firstLineChars="0"/>
        <w:rPr>
          <w:rFonts w:hint="eastAsia" w:ascii="宋体" w:hAnsi="宋体"/>
          <w:szCs w:val="21"/>
        </w:rPr>
      </w:pPr>
      <w:r>
        <w:rPr>
          <w:rFonts w:hint="eastAsia" w:ascii="宋体" w:hAnsi="宋体"/>
          <w:szCs w:val="21"/>
        </w:rPr>
        <w:t>内容安全与审核机制</w:t>
      </w:r>
    </w:p>
    <w:p w14:paraId="08D506A9">
      <w:pPr>
        <w:numPr>
          <w:ilvl w:val="0"/>
          <w:numId w:val="0"/>
        </w:numPr>
        <w:spacing w:line="360" w:lineRule="auto"/>
        <w:ind w:left="0" w:leftChars="0" w:firstLine="420" w:firstLineChars="200"/>
        <w:rPr>
          <w:rFonts w:hint="eastAsia" w:ascii="宋体" w:hAnsi="宋体"/>
          <w:b w:val="0"/>
          <w:bCs/>
          <w:szCs w:val="21"/>
        </w:rPr>
      </w:pPr>
      <w:r>
        <w:rPr>
          <w:rFonts w:hint="eastAsia" w:ascii="宋体" w:hAnsi="宋体"/>
          <w:b w:val="0"/>
          <w:bCs/>
          <w:szCs w:val="21"/>
        </w:rPr>
        <w:t>中标供应商应建立完善的内容审核机制，所有对外发布内容须经“三审三校”后方可发布。采购人有权对发布内容进行抽查审核，中标供应商应配合采购人的审核要求，对不符合要求的内容及时修改，因审核不严导致的一切后果由中标供应商承担。</w:t>
      </w:r>
    </w:p>
    <w:bookmarkEnd w:id="2"/>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AB878">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5AE93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5AE93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596CF1"/>
    <w:multiLevelType w:val="singleLevel"/>
    <w:tmpl w:val="92596CF1"/>
    <w:lvl w:ilvl="0" w:tentative="0">
      <w:start w:val="1"/>
      <w:numFmt w:val="decimal"/>
      <w:suff w:val="nothing"/>
      <w:lvlText w:val="%1．"/>
      <w:lvlJc w:val="left"/>
      <w:pPr>
        <w:ind w:left="0" w:firstLine="400"/>
      </w:pPr>
      <w:rPr>
        <w:rFonts w:hint="default"/>
      </w:rPr>
    </w:lvl>
  </w:abstractNum>
  <w:abstractNum w:abstractNumId="1">
    <w:nsid w:val="A464C781"/>
    <w:multiLevelType w:val="singleLevel"/>
    <w:tmpl w:val="A464C781"/>
    <w:lvl w:ilvl="0" w:tentative="0">
      <w:start w:val="1"/>
      <w:numFmt w:val="decimal"/>
      <w:lvlText w:val="(%1)"/>
      <w:lvlJc w:val="left"/>
      <w:pPr>
        <w:ind w:left="425" w:hanging="425"/>
      </w:pPr>
      <w:rPr>
        <w:rFonts w:hint="default"/>
        <w:b w:val="0"/>
        <w:bCs w:val="0"/>
      </w:rPr>
    </w:lvl>
  </w:abstractNum>
  <w:abstractNum w:abstractNumId="2">
    <w:nsid w:val="CA089AED"/>
    <w:multiLevelType w:val="singleLevel"/>
    <w:tmpl w:val="CA089AED"/>
    <w:lvl w:ilvl="0" w:tentative="0">
      <w:start w:val="1"/>
      <w:numFmt w:val="decimal"/>
      <w:lvlText w:val="(%1)"/>
      <w:lvlJc w:val="left"/>
      <w:pPr>
        <w:ind w:left="425" w:hanging="425"/>
      </w:pPr>
      <w:rPr>
        <w:rFonts w:hint="default"/>
      </w:rPr>
    </w:lvl>
  </w:abstractNum>
  <w:abstractNum w:abstractNumId="3">
    <w:nsid w:val="FEBFF71C"/>
    <w:multiLevelType w:val="singleLevel"/>
    <w:tmpl w:val="FEBFF71C"/>
    <w:lvl w:ilvl="0" w:tentative="0">
      <w:start w:val="1"/>
      <w:numFmt w:val="decimal"/>
      <w:suff w:val="nothing"/>
      <w:lvlText w:val="（%1）"/>
      <w:lvlJc w:val="left"/>
    </w:lvl>
  </w:abstractNum>
  <w:abstractNum w:abstractNumId="4">
    <w:nsid w:val="011C2D15"/>
    <w:multiLevelType w:val="singleLevel"/>
    <w:tmpl w:val="011C2D15"/>
    <w:lvl w:ilvl="0" w:tentative="0">
      <w:start w:val="1"/>
      <w:numFmt w:val="chineseCounting"/>
      <w:suff w:val="nothing"/>
      <w:lvlText w:val="%1、"/>
      <w:lvlJc w:val="left"/>
      <w:pPr>
        <w:ind w:left="0" w:firstLine="420"/>
      </w:pPr>
      <w:rPr>
        <w:rFonts w:hint="eastAsia"/>
      </w:rPr>
    </w:lvl>
  </w:abstractNum>
  <w:abstractNum w:abstractNumId="5">
    <w:nsid w:val="01F83BD8"/>
    <w:multiLevelType w:val="singleLevel"/>
    <w:tmpl w:val="01F83BD8"/>
    <w:lvl w:ilvl="0" w:tentative="0">
      <w:start w:val="1"/>
      <w:numFmt w:val="decimal"/>
      <w:suff w:val="nothing"/>
      <w:lvlText w:val="%1．"/>
      <w:lvlJc w:val="left"/>
      <w:pPr>
        <w:ind w:left="0" w:firstLine="400"/>
      </w:pPr>
      <w:rPr>
        <w:rFonts w:hint="default"/>
      </w:rPr>
    </w:lvl>
  </w:abstractNum>
  <w:abstractNum w:abstractNumId="6">
    <w:nsid w:val="731CA3A6"/>
    <w:multiLevelType w:val="singleLevel"/>
    <w:tmpl w:val="731CA3A6"/>
    <w:lvl w:ilvl="0" w:tentative="0">
      <w:start w:val="1"/>
      <w:numFmt w:val="decimal"/>
      <w:suff w:val="nothing"/>
      <w:lvlText w:val="%1．"/>
      <w:lvlJc w:val="left"/>
      <w:pPr>
        <w:ind w:left="0" w:firstLine="400"/>
      </w:pPr>
      <w:rPr>
        <w:rFonts w:hint="default"/>
      </w:rPr>
    </w:lvl>
  </w:abstractNum>
  <w:num w:numId="1">
    <w:abstractNumId w:val="4"/>
  </w:num>
  <w:num w:numId="2">
    <w:abstractNumId w:val="0"/>
  </w:num>
  <w:num w:numId="3">
    <w:abstractNumId w:val="3"/>
  </w:num>
  <w:num w:numId="4">
    <w:abstractNumId w:val="5"/>
  </w:num>
  <w:num w:numId="5">
    <w:abstractNumId w:val="2"/>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97FE3B6"/>
    <w:rsid w:val="01CF29B7"/>
    <w:rsid w:val="34BF6F94"/>
    <w:rsid w:val="494D41AC"/>
    <w:rsid w:val="61DB5042"/>
    <w:rsid w:val="6C2E66BB"/>
    <w:rsid w:val="74F468B9"/>
    <w:rsid w:val="C97FE3B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annotation reference"/>
    <w:basedOn w:val="7"/>
    <w:qFormat/>
    <w:uiPriority w:val="0"/>
    <w:rPr>
      <w:sz w:val="21"/>
      <w:szCs w:val="21"/>
    </w:rPr>
  </w:style>
  <w:style w:type="paragraph" w:customStyle="1" w:styleId="9">
    <w:name w:val="null3"/>
    <w:qFormat/>
    <w:uiPriority w:val="0"/>
    <w:rPr>
      <w:rFonts w:hint="eastAsia" w:ascii="Calibri" w:hAnsi="Calibri" w:eastAsia="宋体" w:cs="宋体"/>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3471</Words>
  <Characters>3550</Characters>
  <Lines>0</Lines>
  <Paragraphs>0</Paragraphs>
  <TotalTime>0</TotalTime>
  <ScaleCrop>false</ScaleCrop>
  <LinksUpToDate>false</LinksUpToDate>
  <CharactersWithSpaces>3578</CharactersWithSpaces>
  <Application>WPS Office_12.1.0.26381_F1E327BC-269C-435d-A152-05C5408002CA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2026-08-12T08:06:00Z</dcterms:created>
  <dc:creator>admin</dc:creator>
  <cp:lastModifiedBy>admin</cp:lastModifiedBy>
  <dcterms:modified xsi:type="dcterms:W3CDTF">2026-09-30T01:50:46Z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2052-12.1.0.26381</vt:lpwstr>
  </property>
  <property fmtid="{D5CDD505-2E9C-101B-9397-08002B2CF9AE}" pid="3" name="ICV">
    <vt:lpwstr>D098376D322D4098AF4AAC1323EF2B8B_13</vt:lpwstr>
  </property>
  <property fmtid="{D5CDD505-2E9C-101B-9397-08002B2CF9AE}" pid="4" name="KSOTemplateDocerSaveRecord">
    <vt:lpwstr>eyJoZGlkIjoiNDVjYmI3NDIwYzlkMjM5ZGQxNTEyOWU4YmQ2MjEwNWYiLCJ1c2VySWQiOiIxNDk3NzU1NjQ3In0=</vt:lpwstr>
  </property>
</Properties>
</file>